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5CC24" w14:textId="77777777" w:rsidR="00CB2A99" w:rsidRDefault="00CB2A99" w:rsidP="00CB2A99">
      <w:pPr>
        <w:pStyle w:val="Heading1"/>
      </w:pPr>
      <w:bookmarkStart w:id="0" w:name="_Toc212567842"/>
      <w:r>
        <w:t>Iodine evidence summary report</w:t>
      </w:r>
      <w:bookmarkEnd w:id="0"/>
    </w:p>
    <w:p w14:paraId="36850256" w14:textId="77777777" w:rsidR="00CB2A99" w:rsidRDefault="00CB2A99" w:rsidP="00FD4979">
      <w:pPr>
        <w:pStyle w:val="Subtitle"/>
      </w:pPr>
      <w:r>
        <w:t>Summary of the evidence used to inform development of Iodine Nutrient Reference Values for Australia and New Zealand</w:t>
      </w:r>
    </w:p>
    <w:p w14:paraId="2BD2412E" w14:textId="10098C1A" w:rsidR="00FD4979" w:rsidRDefault="00CB2A99" w:rsidP="00FD4979">
      <w:pPr>
        <w:pStyle w:val="Date"/>
      </w:pPr>
      <w:r w:rsidRPr="00FD4979">
        <w:t>October 2025</w:t>
      </w:r>
    </w:p>
    <w:p w14:paraId="5950834E" w14:textId="77777777" w:rsidR="00FD4979" w:rsidRDefault="00FD4979">
      <w:pPr>
        <w:spacing w:line="240" w:lineRule="atLeast"/>
      </w:pPr>
      <w:r>
        <w:br w:type="page"/>
      </w:r>
    </w:p>
    <w:sdt>
      <w:sdtPr>
        <w:rPr>
          <w:rFonts w:ascii="Gotham Book" w:eastAsiaTheme="minorEastAsia" w:hAnsi="Gotham Book" w:cs="Times New Roman"/>
          <w:color w:val="000000" w:themeColor="text1"/>
          <w:kern w:val="0"/>
          <w:sz w:val="20"/>
          <w:szCs w:val="20"/>
        </w:rPr>
        <w:id w:val="-605801970"/>
        <w:docPartObj>
          <w:docPartGallery w:val="Table of Contents"/>
          <w:docPartUnique/>
        </w:docPartObj>
      </w:sdtPr>
      <w:sdtEndPr>
        <w:rPr>
          <w:b/>
        </w:rPr>
      </w:sdtEndPr>
      <w:sdtContent>
        <w:p w14:paraId="1A747C83" w14:textId="7317AA72" w:rsidR="00F3228C" w:rsidRDefault="00F3228C">
          <w:pPr>
            <w:pStyle w:val="TOCHeading"/>
          </w:pPr>
          <w:r>
            <w:t>Contents</w:t>
          </w:r>
        </w:p>
        <w:p w14:paraId="1F390402" w14:textId="6C5476FB" w:rsidR="00F3228C" w:rsidRDefault="00F3228C" w:rsidP="00F3228C">
          <w:pPr>
            <w:pStyle w:val="TOC2"/>
            <w:rPr>
              <w:rFonts w:asciiTheme="minorHAnsi" w:hAnsiTheme="minorHAnsi" w:cstheme="minorBidi"/>
              <w:noProof/>
              <w:color w:val="auto"/>
              <w:kern w:val="2"/>
              <w:sz w:val="24"/>
              <w:szCs w:val="24"/>
              <w14:ligatures w14:val="standardContextual"/>
            </w:rPr>
          </w:pPr>
          <w:r>
            <w:rPr>
              <w:color w:val="auto"/>
              <w:sz w:val="24"/>
            </w:rPr>
            <w:fldChar w:fldCharType="begin"/>
          </w:r>
          <w:r>
            <w:rPr>
              <w:color w:val="auto"/>
              <w:sz w:val="24"/>
            </w:rPr>
            <w:instrText xml:space="preserve"> TOC \o "1-4" \h \z \u </w:instrText>
          </w:r>
          <w:r>
            <w:rPr>
              <w:color w:val="auto"/>
              <w:sz w:val="24"/>
            </w:rPr>
            <w:fldChar w:fldCharType="separate"/>
          </w:r>
          <w:hyperlink w:anchor="_Toc212567843" w:history="1">
            <w:r w:rsidRPr="00CF58D3">
              <w:rPr>
                <w:rStyle w:val="Hyperlink"/>
                <w:noProof/>
              </w:rPr>
              <w:t>Purpose</w:t>
            </w:r>
            <w:r>
              <w:rPr>
                <w:noProof/>
                <w:webHidden/>
              </w:rPr>
              <w:tab/>
            </w:r>
            <w:r>
              <w:rPr>
                <w:noProof/>
                <w:webHidden/>
              </w:rPr>
              <w:fldChar w:fldCharType="begin"/>
            </w:r>
            <w:r>
              <w:rPr>
                <w:noProof/>
                <w:webHidden/>
              </w:rPr>
              <w:instrText xml:space="preserve"> PAGEREF _Toc212567843 \h </w:instrText>
            </w:r>
            <w:r>
              <w:rPr>
                <w:noProof/>
                <w:webHidden/>
              </w:rPr>
            </w:r>
            <w:r>
              <w:rPr>
                <w:noProof/>
                <w:webHidden/>
              </w:rPr>
              <w:fldChar w:fldCharType="separate"/>
            </w:r>
            <w:r>
              <w:rPr>
                <w:noProof/>
                <w:webHidden/>
              </w:rPr>
              <w:t>5</w:t>
            </w:r>
            <w:r>
              <w:rPr>
                <w:noProof/>
                <w:webHidden/>
              </w:rPr>
              <w:fldChar w:fldCharType="end"/>
            </w:r>
          </w:hyperlink>
        </w:p>
        <w:p w14:paraId="695B7E64" w14:textId="71FD1FB5" w:rsidR="00F3228C" w:rsidRDefault="00F3228C">
          <w:pPr>
            <w:pStyle w:val="TOC2"/>
            <w:rPr>
              <w:rFonts w:asciiTheme="minorHAnsi" w:hAnsiTheme="minorHAnsi" w:cstheme="minorBidi"/>
              <w:noProof/>
              <w:color w:val="auto"/>
              <w:kern w:val="2"/>
              <w:sz w:val="24"/>
              <w:szCs w:val="24"/>
              <w14:ligatures w14:val="standardContextual"/>
            </w:rPr>
          </w:pPr>
          <w:hyperlink w:anchor="_Toc212567844" w:history="1">
            <w:r w:rsidRPr="00CF58D3">
              <w:rPr>
                <w:rStyle w:val="Hyperlink"/>
                <w:noProof/>
              </w:rPr>
              <w:t>Iodine background</w:t>
            </w:r>
            <w:r>
              <w:rPr>
                <w:noProof/>
                <w:webHidden/>
              </w:rPr>
              <w:tab/>
            </w:r>
            <w:r>
              <w:rPr>
                <w:noProof/>
                <w:webHidden/>
              </w:rPr>
              <w:fldChar w:fldCharType="begin"/>
            </w:r>
            <w:r>
              <w:rPr>
                <w:noProof/>
                <w:webHidden/>
              </w:rPr>
              <w:instrText xml:space="preserve"> PAGEREF _Toc212567844 \h </w:instrText>
            </w:r>
            <w:r>
              <w:rPr>
                <w:noProof/>
                <w:webHidden/>
              </w:rPr>
            </w:r>
            <w:r>
              <w:rPr>
                <w:noProof/>
                <w:webHidden/>
              </w:rPr>
              <w:fldChar w:fldCharType="separate"/>
            </w:r>
            <w:r>
              <w:rPr>
                <w:noProof/>
                <w:webHidden/>
              </w:rPr>
              <w:t>6</w:t>
            </w:r>
            <w:r>
              <w:rPr>
                <w:noProof/>
                <w:webHidden/>
              </w:rPr>
              <w:fldChar w:fldCharType="end"/>
            </w:r>
          </w:hyperlink>
        </w:p>
        <w:p w14:paraId="760CAEF9" w14:textId="6D69A979"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45" w:history="1">
            <w:r w:rsidRPr="00CF58D3">
              <w:rPr>
                <w:rStyle w:val="Hyperlink"/>
                <w:noProof/>
              </w:rPr>
              <w:t>Function, physiology and metabolism</w:t>
            </w:r>
            <w:r>
              <w:rPr>
                <w:noProof/>
                <w:webHidden/>
              </w:rPr>
              <w:tab/>
            </w:r>
            <w:r>
              <w:rPr>
                <w:noProof/>
                <w:webHidden/>
              </w:rPr>
              <w:fldChar w:fldCharType="begin"/>
            </w:r>
            <w:r>
              <w:rPr>
                <w:noProof/>
                <w:webHidden/>
              </w:rPr>
              <w:instrText xml:space="preserve"> PAGEREF _Toc212567845 \h </w:instrText>
            </w:r>
            <w:r>
              <w:rPr>
                <w:noProof/>
                <w:webHidden/>
              </w:rPr>
            </w:r>
            <w:r>
              <w:rPr>
                <w:noProof/>
                <w:webHidden/>
              </w:rPr>
              <w:fldChar w:fldCharType="separate"/>
            </w:r>
            <w:r>
              <w:rPr>
                <w:noProof/>
                <w:webHidden/>
              </w:rPr>
              <w:t>6</w:t>
            </w:r>
            <w:r>
              <w:rPr>
                <w:noProof/>
                <w:webHidden/>
              </w:rPr>
              <w:fldChar w:fldCharType="end"/>
            </w:r>
          </w:hyperlink>
        </w:p>
        <w:p w14:paraId="5FA16ED5" w14:textId="13C1B1E3"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46" w:history="1">
            <w:r w:rsidRPr="00CF58D3">
              <w:rPr>
                <w:rStyle w:val="Hyperlink"/>
                <w:noProof/>
              </w:rPr>
              <w:t>Dietary sources of iodine</w:t>
            </w:r>
            <w:r>
              <w:rPr>
                <w:noProof/>
                <w:webHidden/>
              </w:rPr>
              <w:tab/>
            </w:r>
            <w:r>
              <w:rPr>
                <w:noProof/>
                <w:webHidden/>
              </w:rPr>
              <w:fldChar w:fldCharType="begin"/>
            </w:r>
            <w:r>
              <w:rPr>
                <w:noProof/>
                <w:webHidden/>
              </w:rPr>
              <w:instrText xml:space="preserve"> PAGEREF _Toc212567846 \h </w:instrText>
            </w:r>
            <w:r>
              <w:rPr>
                <w:noProof/>
                <w:webHidden/>
              </w:rPr>
            </w:r>
            <w:r>
              <w:rPr>
                <w:noProof/>
                <w:webHidden/>
              </w:rPr>
              <w:fldChar w:fldCharType="separate"/>
            </w:r>
            <w:r>
              <w:rPr>
                <w:noProof/>
                <w:webHidden/>
              </w:rPr>
              <w:t>6</w:t>
            </w:r>
            <w:r>
              <w:rPr>
                <w:noProof/>
                <w:webHidden/>
              </w:rPr>
              <w:fldChar w:fldCharType="end"/>
            </w:r>
          </w:hyperlink>
        </w:p>
        <w:p w14:paraId="4F25BC44" w14:textId="7ACF91D5"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47" w:history="1">
            <w:r w:rsidRPr="00CF58D3">
              <w:rPr>
                <w:rStyle w:val="Hyperlink"/>
                <w:noProof/>
              </w:rPr>
              <w:t>Bioavailability factors</w:t>
            </w:r>
            <w:r>
              <w:rPr>
                <w:noProof/>
                <w:webHidden/>
              </w:rPr>
              <w:tab/>
            </w:r>
            <w:r>
              <w:rPr>
                <w:noProof/>
                <w:webHidden/>
              </w:rPr>
              <w:fldChar w:fldCharType="begin"/>
            </w:r>
            <w:r>
              <w:rPr>
                <w:noProof/>
                <w:webHidden/>
              </w:rPr>
              <w:instrText xml:space="preserve"> PAGEREF _Toc212567847 \h </w:instrText>
            </w:r>
            <w:r>
              <w:rPr>
                <w:noProof/>
                <w:webHidden/>
              </w:rPr>
            </w:r>
            <w:r>
              <w:rPr>
                <w:noProof/>
                <w:webHidden/>
              </w:rPr>
              <w:fldChar w:fldCharType="separate"/>
            </w:r>
            <w:r>
              <w:rPr>
                <w:noProof/>
                <w:webHidden/>
              </w:rPr>
              <w:t>7</w:t>
            </w:r>
            <w:r>
              <w:rPr>
                <w:noProof/>
                <w:webHidden/>
              </w:rPr>
              <w:fldChar w:fldCharType="end"/>
            </w:r>
          </w:hyperlink>
        </w:p>
        <w:p w14:paraId="75B46334" w14:textId="00173566"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48" w:history="1">
            <w:r w:rsidRPr="00CF58D3">
              <w:rPr>
                <w:rStyle w:val="Hyperlink"/>
                <w:noProof/>
              </w:rPr>
              <w:t>Health effects of insufficiency or excess</w:t>
            </w:r>
            <w:r>
              <w:rPr>
                <w:noProof/>
                <w:webHidden/>
              </w:rPr>
              <w:tab/>
            </w:r>
            <w:r>
              <w:rPr>
                <w:noProof/>
                <w:webHidden/>
              </w:rPr>
              <w:fldChar w:fldCharType="begin"/>
            </w:r>
            <w:r>
              <w:rPr>
                <w:noProof/>
                <w:webHidden/>
              </w:rPr>
              <w:instrText xml:space="preserve"> PAGEREF _Toc212567848 \h </w:instrText>
            </w:r>
            <w:r>
              <w:rPr>
                <w:noProof/>
                <w:webHidden/>
              </w:rPr>
            </w:r>
            <w:r>
              <w:rPr>
                <w:noProof/>
                <w:webHidden/>
              </w:rPr>
              <w:fldChar w:fldCharType="separate"/>
            </w:r>
            <w:r>
              <w:rPr>
                <w:noProof/>
                <w:webHidden/>
              </w:rPr>
              <w:t>8</w:t>
            </w:r>
            <w:r>
              <w:rPr>
                <w:noProof/>
                <w:webHidden/>
              </w:rPr>
              <w:fldChar w:fldCharType="end"/>
            </w:r>
          </w:hyperlink>
        </w:p>
        <w:p w14:paraId="244EAE50" w14:textId="5B15FBB1" w:rsidR="00F3228C" w:rsidRDefault="00F3228C" w:rsidP="002C32CE">
          <w:pPr>
            <w:pStyle w:val="TOC4"/>
            <w:rPr>
              <w:rFonts w:asciiTheme="minorHAnsi" w:hAnsiTheme="minorHAnsi" w:cstheme="minorBidi"/>
              <w:color w:val="auto"/>
              <w:kern w:val="2"/>
              <w:sz w:val="24"/>
              <w:szCs w:val="24"/>
              <w14:ligatures w14:val="standardContextual"/>
            </w:rPr>
          </w:pPr>
          <w:hyperlink w:anchor="_Toc212567849" w:history="1">
            <w:r w:rsidRPr="00CF58D3">
              <w:rPr>
                <w:rStyle w:val="Hyperlink"/>
              </w:rPr>
              <w:t>Iodine deficiency disorders</w:t>
            </w:r>
            <w:r>
              <w:rPr>
                <w:webHidden/>
              </w:rPr>
              <w:tab/>
            </w:r>
            <w:r>
              <w:rPr>
                <w:webHidden/>
              </w:rPr>
              <w:fldChar w:fldCharType="begin"/>
            </w:r>
            <w:r>
              <w:rPr>
                <w:webHidden/>
              </w:rPr>
              <w:instrText xml:space="preserve"> PAGEREF _Toc212567849 \h </w:instrText>
            </w:r>
            <w:r>
              <w:rPr>
                <w:webHidden/>
              </w:rPr>
            </w:r>
            <w:r>
              <w:rPr>
                <w:webHidden/>
              </w:rPr>
              <w:fldChar w:fldCharType="separate"/>
            </w:r>
            <w:r>
              <w:rPr>
                <w:webHidden/>
              </w:rPr>
              <w:t>8</w:t>
            </w:r>
            <w:r>
              <w:rPr>
                <w:webHidden/>
              </w:rPr>
              <w:fldChar w:fldCharType="end"/>
            </w:r>
          </w:hyperlink>
        </w:p>
        <w:p w14:paraId="7982069B" w14:textId="54518047" w:rsidR="00F3228C" w:rsidRDefault="00F3228C" w:rsidP="002C32CE">
          <w:pPr>
            <w:pStyle w:val="TOC4"/>
            <w:rPr>
              <w:rFonts w:asciiTheme="minorHAnsi" w:hAnsiTheme="minorHAnsi" w:cstheme="minorBidi"/>
              <w:color w:val="auto"/>
              <w:kern w:val="2"/>
              <w:sz w:val="24"/>
              <w:szCs w:val="24"/>
              <w14:ligatures w14:val="standardContextual"/>
            </w:rPr>
          </w:pPr>
          <w:hyperlink w:anchor="_Toc212567850" w:history="1">
            <w:r w:rsidRPr="00CF58D3">
              <w:rPr>
                <w:rStyle w:val="Hyperlink"/>
              </w:rPr>
              <w:t>Excess iodine</w:t>
            </w:r>
            <w:r>
              <w:rPr>
                <w:webHidden/>
              </w:rPr>
              <w:tab/>
            </w:r>
            <w:r>
              <w:rPr>
                <w:webHidden/>
              </w:rPr>
              <w:fldChar w:fldCharType="begin"/>
            </w:r>
            <w:r>
              <w:rPr>
                <w:webHidden/>
              </w:rPr>
              <w:instrText xml:space="preserve"> PAGEREF _Toc212567850 \h </w:instrText>
            </w:r>
            <w:r>
              <w:rPr>
                <w:webHidden/>
              </w:rPr>
            </w:r>
            <w:r>
              <w:rPr>
                <w:webHidden/>
              </w:rPr>
              <w:fldChar w:fldCharType="separate"/>
            </w:r>
            <w:r>
              <w:rPr>
                <w:webHidden/>
              </w:rPr>
              <w:t>10</w:t>
            </w:r>
            <w:r>
              <w:rPr>
                <w:webHidden/>
              </w:rPr>
              <w:fldChar w:fldCharType="end"/>
            </w:r>
          </w:hyperlink>
        </w:p>
        <w:p w14:paraId="0C445675" w14:textId="4D32131C"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51" w:history="1">
            <w:r w:rsidRPr="00CF58D3">
              <w:rPr>
                <w:rStyle w:val="Hyperlink"/>
                <w:noProof/>
              </w:rPr>
              <w:t>Measuring intake or status</w:t>
            </w:r>
            <w:r>
              <w:rPr>
                <w:noProof/>
                <w:webHidden/>
              </w:rPr>
              <w:tab/>
            </w:r>
            <w:r>
              <w:rPr>
                <w:noProof/>
                <w:webHidden/>
              </w:rPr>
              <w:fldChar w:fldCharType="begin"/>
            </w:r>
            <w:r>
              <w:rPr>
                <w:noProof/>
                <w:webHidden/>
              </w:rPr>
              <w:instrText xml:space="preserve"> PAGEREF _Toc212567851 \h </w:instrText>
            </w:r>
            <w:r>
              <w:rPr>
                <w:noProof/>
                <w:webHidden/>
              </w:rPr>
            </w:r>
            <w:r>
              <w:rPr>
                <w:noProof/>
                <w:webHidden/>
              </w:rPr>
              <w:fldChar w:fldCharType="separate"/>
            </w:r>
            <w:r>
              <w:rPr>
                <w:noProof/>
                <w:webHidden/>
              </w:rPr>
              <w:t>11</w:t>
            </w:r>
            <w:r>
              <w:rPr>
                <w:noProof/>
                <w:webHidden/>
              </w:rPr>
              <w:fldChar w:fldCharType="end"/>
            </w:r>
          </w:hyperlink>
        </w:p>
        <w:p w14:paraId="34B57A95" w14:textId="3CCE2430" w:rsidR="00F3228C" w:rsidRDefault="00F3228C" w:rsidP="002C32CE">
          <w:pPr>
            <w:pStyle w:val="TOC4"/>
            <w:rPr>
              <w:rFonts w:asciiTheme="minorHAnsi" w:hAnsiTheme="minorHAnsi" w:cstheme="minorBidi"/>
              <w:color w:val="auto"/>
              <w:kern w:val="2"/>
              <w:sz w:val="24"/>
              <w:szCs w:val="24"/>
              <w14:ligatures w14:val="standardContextual"/>
            </w:rPr>
          </w:pPr>
          <w:hyperlink w:anchor="_Toc212567852" w:history="1">
            <w:r w:rsidRPr="00CF58D3">
              <w:rPr>
                <w:rStyle w:val="Hyperlink"/>
              </w:rPr>
              <w:t>Dietary assessment methods</w:t>
            </w:r>
            <w:r>
              <w:rPr>
                <w:webHidden/>
              </w:rPr>
              <w:tab/>
            </w:r>
            <w:r>
              <w:rPr>
                <w:webHidden/>
              </w:rPr>
              <w:fldChar w:fldCharType="begin"/>
            </w:r>
            <w:r>
              <w:rPr>
                <w:webHidden/>
              </w:rPr>
              <w:instrText xml:space="preserve"> PAGEREF _Toc212567852 \h </w:instrText>
            </w:r>
            <w:r>
              <w:rPr>
                <w:webHidden/>
              </w:rPr>
            </w:r>
            <w:r>
              <w:rPr>
                <w:webHidden/>
              </w:rPr>
              <w:fldChar w:fldCharType="separate"/>
            </w:r>
            <w:r>
              <w:rPr>
                <w:webHidden/>
              </w:rPr>
              <w:t>11</w:t>
            </w:r>
            <w:r>
              <w:rPr>
                <w:webHidden/>
              </w:rPr>
              <w:fldChar w:fldCharType="end"/>
            </w:r>
          </w:hyperlink>
        </w:p>
        <w:p w14:paraId="312C62D2" w14:textId="361C30B5" w:rsidR="00F3228C" w:rsidRDefault="00F3228C" w:rsidP="002C32CE">
          <w:pPr>
            <w:pStyle w:val="TOC4"/>
            <w:rPr>
              <w:rFonts w:asciiTheme="minorHAnsi" w:hAnsiTheme="minorHAnsi" w:cstheme="minorBidi"/>
              <w:color w:val="auto"/>
              <w:kern w:val="2"/>
              <w:sz w:val="24"/>
              <w:szCs w:val="24"/>
              <w14:ligatures w14:val="standardContextual"/>
            </w:rPr>
          </w:pPr>
          <w:hyperlink w:anchor="_Toc212567853" w:history="1">
            <w:r w:rsidRPr="00CF58D3">
              <w:rPr>
                <w:rStyle w:val="Hyperlink"/>
              </w:rPr>
              <w:t>Urinary assessment methods</w:t>
            </w:r>
            <w:r>
              <w:rPr>
                <w:webHidden/>
              </w:rPr>
              <w:tab/>
            </w:r>
            <w:r>
              <w:rPr>
                <w:webHidden/>
              </w:rPr>
              <w:fldChar w:fldCharType="begin"/>
            </w:r>
            <w:r>
              <w:rPr>
                <w:webHidden/>
              </w:rPr>
              <w:instrText xml:space="preserve"> PAGEREF _Toc212567853 \h </w:instrText>
            </w:r>
            <w:r>
              <w:rPr>
                <w:webHidden/>
              </w:rPr>
            </w:r>
            <w:r>
              <w:rPr>
                <w:webHidden/>
              </w:rPr>
              <w:fldChar w:fldCharType="separate"/>
            </w:r>
            <w:r>
              <w:rPr>
                <w:webHidden/>
              </w:rPr>
              <w:t>12</w:t>
            </w:r>
            <w:r>
              <w:rPr>
                <w:webHidden/>
              </w:rPr>
              <w:fldChar w:fldCharType="end"/>
            </w:r>
          </w:hyperlink>
        </w:p>
        <w:p w14:paraId="0ED7F114" w14:textId="00901C28" w:rsidR="00F3228C" w:rsidRDefault="00F3228C" w:rsidP="002C32CE">
          <w:pPr>
            <w:pStyle w:val="TOC4"/>
            <w:rPr>
              <w:rFonts w:asciiTheme="minorHAnsi" w:hAnsiTheme="minorHAnsi" w:cstheme="minorBidi"/>
              <w:color w:val="auto"/>
              <w:kern w:val="2"/>
              <w:sz w:val="24"/>
              <w:szCs w:val="24"/>
              <w14:ligatures w14:val="standardContextual"/>
            </w:rPr>
          </w:pPr>
          <w:hyperlink w:anchor="_Toc212567854" w:history="1">
            <w:r w:rsidRPr="00CF58D3">
              <w:rPr>
                <w:rStyle w:val="Hyperlink"/>
              </w:rPr>
              <w:t>Breast milk iodine concentration during lactation</w:t>
            </w:r>
            <w:r>
              <w:rPr>
                <w:webHidden/>
              </w:rPr>
              <w:tab/>
            </w:r>
            <w:r>
              <w:rPr>
                <w:webHidden/>
              </w:rPr>
              <w:fldChar w:fldCharType="begin"/>
            </w:r>
            <w:r>
              <w:rPr>
                <w:webHidden/>
              </w:rPr>
              <w:instrText xml:space="preserve"> PAGEREF _Toc212567854 \h </w:instrText>
            </w:r>
            <w:r>
              <w:rPr>
                <w:webHidden/>
              </w:rPr>
            </w:r>
            <w:r>
              <w:rPr>
                <w:webHidden/>
              </w:rPr>
              <w:fldChar w:fldCharType="separate"/>
            </w:r>
            <w:r>
              <w:rPr>
                <w:webHidden/>
              </w:rPr>
              <w:t>15</w:t>
            </w:r>
            <w:r>
              <w:rPr>
                <w:webHidden/>
              </w:rPr>
              <w:fldChar w:fldCharType="end"/>
            </w:r>
          </w:hyperlink>
        </w:p>
        <w:p w14:paraId="0D483721" w14:textId="71CDBC1F" w:rsidR="00F3228C" w:rsidRDefault="00F3228C" w:rsidP="002C32CE">
          <w:pPr>
            <w:pStyle w:val="TOC4"/>
            <w:rPr>
              <w:rFonts w:asciiTheme="minorHAnsi" w:hAnsiTheme="minorHAnsi" w:cstheme="minorBidi"/>
              <w:color w:val="auto"/>
              <w:kern w:val="2"/>
              <w:sz w:val="24"/>
              <w:szCs w:val="24"/>
              <w14:ligatures w14:val="standardContextual"/>
            </w:rPr>
          </w:pPr>
          <w:hyperlink w:anchor="_Toc212567855" w:history="1">
            <w:r w:rsidRPr="00CF58D3">
              <w:rPr>
                <w:rStyle w:val="Hyperlink"/>
              </w:rPr>
              <w:t>Secondary biomarkers of status</w:t>
            </w:r>
            <w:r>
              <w:rPr>
                <w:webHidden/>
              </w:rPr>
              <w:tab/>
            </w:r>
            <w:r>
              <w:rPr>
                <w:webHidden/>
              </w:rPr>
              <w:fldChar w:fldCharType="begin"/>
            </w:r>
            <w:r>
              <w:rPr>
                <w:webHidden/>
              </w:rPr>
              <w:instrText xml:space="preserve"> PAGEREF _Toc212567855 \h </w:instrText>
            </w:r>
            <w:r>
              <w:rPr>
                <w:webHidden/>
              </w:rPr>
            </w:r>
            <w:r>
              <w:rPr>
                <w:webHidden/>
              </w:rPr>
              <w:fldChar w:fldCharType="separate"/>
            </w:r>
            <w:r>
              <w:rPr>
                <w:webHidden/>
              </w:rPr>
              <w:t>15</w:t>
            </w:r>
            <w:r>
              <w:rPr>
                <w:webHidden/>
              </w:rPr>
              <w:fldChar w:fldCharType="end"/>
            </w:r>
          </w:hyperlink>
        </w:p>
        <w:p w14:paraId="26779C92" w14:textId="0DFA6AE1" w:rsidR="00F3228C" w:rsidRDefault="00F3228C">
          <w:pPr>
            <w:pStyle w:val="TOC2"/>
            <w:rPr>
              <w:rFonts w:asciiTheme="minorHAnsi" w:hAnsiTheme="minorHAnsi" w:cstheme="minorBidi"/>
              <w:noProof/>
              <w:color w:val="auto"/>
              <w:kern w:val="2"/>
              <w:sz w:val="24"/>
              <w:szCs w:val="24"/>
              <w14:ligatures w14:val="standardContextual"/>
            </w:rPr>
          </w:pPr>
          <w:hyperlink w:anchor="_Toc212567856" w:history="1">
            <w:r w:rsidRPr="00CF58D3">
              <w:rPr>
                <w:rStyle w:val="Hyperlink"/>
                <w:noProof/>
              </w:rPr>
              <w:t>Current recommendations and international comparisons</w:t>
            </w:r>
            <w:r>
              <w:rPr>
                <w:noProof/>
                <w:webHidden/>
              </w:rPr>
              <w:tab/>
            </w:r>
            <w:r>
              <w:rPr>
                <w:noProof/>
                <w:webHidden/>
              </w:rPr>
              <w:fldChar w:fldCharType="begin"/>
            </w:r>
            <w:r>
              <w:rPr>
                <w:noProof/>
                <w:webHidden/>
              </w:rPr>
              <w:instrText xml:space="preserve"> PAGEREF _Toc212567856 \h </w:instrText>
            </w:r>
            <w:r>
              <w:rPr>
                <w:noProof/>
                <w:webHidden/>
              </w:rPr>
            </w:r>
            <w:r>
              <w:rPr>
                <w:noProof/>
                <w:webHidden/>
              </w:rPr>
              <w:fldChar w:fldCharType="separate"/>
            </w:r>
            <w:r>
              <w:rPr>
                <w:noProof/>
                <w:webHidden/>
              </w:rPr>
              <w:t>17</w:t>
            </w:r>
            <w:r>
              <w:rPr>
                <w:noProof/>
                <w:webHidden/>
              </w:rPr>
              <w:fldChar w:fldCharType="end"/>
            </w:r>
          </w:hyperlink>
        </w:p>
        <w:p w14:paraId="55BE4DA0" w14:textId="51D244B3"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57" w:history="1">
            <w:r w:rsidRPr="00CF58D3">
              <w:rPr>
                <w:rStyle w:val="Hyperlink"/>
                <w:noProof/>
              </w:rPr>
              <w:t>Nutritional adequacy recommendations</w:t>
            </w:r>
            <w:r>
              <w:rPr>
                <w:noProof/>
                <w:webHidden/>
              </w:rPr>
              <w:tab/>
            </w:r>
            <w:r>
              <w:rPr>
                <w:noProof/>
                <w:webHidden/>
              </w:rPr>
              <w:fldChar w:fldCharType="begin"/>
            </w:r>
            <w:r>
              <w:rPr>
                <w:noProof/>
                <w:webHidden/>
              </w:rPr>
              <w:instrText xml:space="preserve"> PAGEREF _Toc212567857 \h </w:instrText>
            </w:r>
            <w:r>
              <w:rPr>
                <w:noProof/>
                <w:webHidden/>
              </w:rPr>
            </w:r>
            <w:r>
              <w:rPr>
                <w:noProof/>
                <w:webHidden/>
              </w:rPr>
              <w:fldChar w:fldCharType="separate"/>
            </w:r>
            <w:r>
              <w:rPr>
                <w:noProof/>
                <w:webHidden/>
              </w:rPr>
              <w:t>17</w:t>
            </w:r>
            <w:r>
              <w:rPr>
                <w:noProof/>
                <w:webHidden/>
              </w:rPr>
              <w:fldChar w:fldCharType="end"/>
            </w:r>
          </w:hyperlink>
        </w:p>
        <w:p w14:paraId="00B4E2FF" w14:textId="1322EE0C" w:rsidR="00F3228C" w:rsidRDefault="00F3228C" w:rsidP="002C32CE">
          <w:pPr>
            <w:pStyle w:val="TOC4"/>
            <w:rPr>
              <w:rFonts w:asciiTheme="minorHAnsi" w:hAnsiTheme="minorHAnsi" w:cstheme="minorBidi"/>
              <w:color w:val="auto"/>
              <w:kern w:val="2"/>
              <w:sz w:val="24"/>
              <w:szCs w:val="24"/>
              <w14:ligatures w14:val="standardContextual"/>
            </w:rPr>
          </w:pPr>
          <w:hyperlink w:anchor="_Toc212567858" w:history="1">
            <w:r w:rsidRPr="00CF58D3">
              <w:rPr>
                <w:rStyle w:val="Hyperlink"/>
              </w:rPr>
              <w:t>Basis for current recommendations</w:t>
            </w:r>
            <w:r>
              <w:rPr>
                <w:webHidden/>
              </w:rPr>
              <w:tab/>
            </w:r>
            <w:r>
              <w:rPr>
                <w:webHidden/>
              </w:rPr>
              <w:fldChar w:fldCharType="begin"/>
            </w:r>
            <w:r>
              <w:rPr>
                <w:webHidden/>
              </w:rPr>
              <w:instrText xml:space="preserve"> PAGEREF _Toc212567858 \h </w:instrText>
            </w:r>
            <w:r>
              <w:rPr>
                <w:webHidden/>
              </w:rPr>
            </w:r>
            <w:r>
              <w:rPr>
                <w:webHidden/>
              </w:rPr>
              <w:fldChar w:fldCharType="separate"/>
            </w:r>
            <w:r>
              <w:rPr>
                <w:webHidden/>
              </w:rPr>
              <w:t>17</w:t>
            </w:r>
            <w:r>
              <w:rPr>
                <w:webHidden/>
              </w:rPr>
              <w:fldChar w:fldCharType="end"/>
            </w:r>
          </w:hyperlink>
        </w:p>
        <w:p w14:paraId="36750B62" w14:textId="79149CE9" w:rsidR="00F3228C" w:rsidRDefault="00F3228C" w:rsidP="002C32CE">
          <w:pPr>
            <w:pStyle w:val="TOC4"/>
            <w:rPr>
              <w:rFonts w:asciiTheme="minorHAnsi" w:hAnsiTheme="minorHAnsi" w:cstheme="minorBidi"/>
              <w:color w:val="auto"/>
              <w:kern w:val="2"/>
              <w:sz w:val="24"/>
              <w:szCs w:val="24"/>
              <w14:ligatures w14:val="standardContextual"/>
            </w:rPr>
          </w:pPr>
          <w:hyperlink w:anchor="_Toc212567859" w:history="1">
            <w:r w:rsidRPr="00CF58D3">
              <w:rPr>
                <w:rStyle w:val="Hyperlink"/>
              </w:rPr>
              <w:t>Comparison with international values</w:t>
            </w:r>
            <w:r>
              <w:rPr>
                <w:webHidden/>
              </w:rPr>
              <w:tab/>
            </w:r>
            <w:r>
              <w:rPr>
                <w:webHidden/>
              </w:rPr>
              <w:fldChar w:fldCharType="begin"/>
            </w:r>
            <w:r>
              <w:rPr>
                <w:webHidden/>
              </w:rPr>
              <w:instrText xml:space="preserve"> PAGEREF _Toc212567859 \h </w:instrText>
            </w:r>
            <w:r>
              <w:rPr>
                <w:webHidden/>
              </w:rPr>
            </w:r>
            <w:r>
              <w:rPr>
                <w:webHidden/>
              </w:rPr>
              <w:fldChar w:fldCharType="separate"/>
            </w:r>
            <w:r>
              <w:rPr>
                <w:webHidden/>
              </w:rPr>
              <w:t>19</w:t>
            </w:r>
            <w:r>
              <w:rPr>
                <w:webHidden/>
              </w:rPr>
              <w:fldChar w:fldCharType="end"/>
            </w:r>
          </w:hyperlink>
        </w:p>
        <w:p w14:paraId="434271AA" w14:textId="4347649E"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60" w:history="1">
            <w:r w:rsidRPr="00CF58D3">
              <w:rPr>
                <w:rStyle w:val="Hyperlink"/>
                <w:noProof/>
              </w:rPr>
              <w:t>Upper Levels</w:t>
            </w:r>
            <w:r>
              <w:rPr>
                <w:noProof/>
                <w:webHidden/>
              </w:rPr>
              <w:tab/>
            </w:r>
            <w:r>
              <w:rPr>
                <w:noProof/>
                <w:webHidden/>
              </w:rPr>
              <w:fldChar w:fldCharType="begin"/>
            </w:r>
            <w:r>
              <w:rPr>
                <w:noProof/>
                <w:webHidden/>
              </w:rPr>
              <w:instrText xml:space="preserve"> PAGEREF _Toc212567860 \h </w:instrText>
            </w:r>
            <w:r>
              <w:rPr>
                <w:noProof/>
                <w:webHidden/>
              </w:rPr>
            </w:r>
            <w:r>
              <w:rPr>
                <w:noProof/>
                <w:webHidden/>
              </w:rPr>
              <w:fldChar w:fldCharType="separate"/>
            </w:r>
            <w:r>
              <w:rPr>
                <w:noProof/>
                <w:webHidden/>
              </w:rPr>
              <w:t>20</w:t>
            </w:r>
            <w:r>
              <w:rPr>
                <w:noProof/>
                <w:webHidden/>
              </w:rPr>
              <w:fldChar w:fldCharType="end"/>
            </w:r>
          </w:hyperlink>
        </w:p>
        <w:p w14:paraId="670F5B80" w14:textId="04584697" w:rsidR="00F3228C" w:rsidRDefault="00F3228C" w:rsidP="002C32CE">
          <w:pPr>
            <w:pStyle w:val="TOC4"/>
            <w:rPr>
              <w:rFonts w:asciiTheme="minorHAnsi" w:hAnsiTheme="minorHAnsi" w:cstheme="minorBidi"/>
              <w:color w:val="auto"/>
              <w:kern w:val="2"/>
              <w:sz w:val="24"/>
              <w:szCs w:val="24"/>
              <w14:ligatures w14:val="standardContextual"/>
            </w:rPr>
          </w:pPr>
          <w:hyperlink w:anchor="_Toc212567861" w:history="1">
            <w:r w:rsidRPr="00CF58D3">
              <w:rPr>
                <w:rStyle w:val="Hyperlink"/>
              </w:rPr>
              <w:t>Basis for current recommendations</w:t>
            </w:r>
            <w:r>
              <w:rPr>
                <w:webHidden/>
              </w:rPr>
              <w:tab/>
            </w:r>
            <w:r>
              <w:rPr>
                <w:webHidden/>
              </w:rPr>
              <w:fldChar w:fldCharType="begin"/>
            </w:r>
            <w:r>
              <w:rPr>
                <w:webHidden/>
              </w:rPr>
              <w:instrText xml:space="preserve"> PAGEREF _Toc212567861 \h </w:instrText>
            </w:r>
            <w:r>
              <w:rPr>
                <w:webHidden/>
              </w:rPr>
            </w:r>
            <w:r>
              <w:rPr>
                <w:webHidden/>
              </w:rPr>
              <w:fldChar w:fldCharType="separate"/>
            </w:r>
            <w:r>
              <w:rPr>
                <w:webHidden/>
              </w:rPr>
              <w:t>20</w:t>
            </w:r>
            <w:r>
              <w:rPr>
                <w:webHidden/>
              </w:rPr>
              <w:fldChar w:fldCharType="end"/>
            </w:r>
          </w:hyperlink>
        </w:p>
        <w:p w14:paraId="5336280C" w14:textId="048966E0" w:rsidR="00F3228C" w:rsidRDefault="00F3228C" w:rsidP="002C32CE">
          <w:pPr>
            <w:pStyle w:val="TOC4"/>
            <w:rPr>
              <w:rFonts w:asciiTheme="minorHAnsi" w:hAnsiTheme="minorHAnsi" w:cstheme="minorBidi"/>
              <w:color w:val="auto"/>
              <w:kern w:val="2"/>
              <w:sz w:val="24"/>
              <w:szCs w:val="24"/>
              <w14:ligatures w14:val="standardContextual"/>
            </w:rPr>
          </w:pPr>
          <w:hyperlink w:anchor="_Toc212567862" w:history="1">
            <w:r w:rsidRPr="00CF58D3">
              <w:rPr>
                <w:rStyle w:val="Hyperlink"/>
              </w:rPr>
              <w:t>Comparison with international values</w:t>
            </w:r>
            <w:r>
              <w:rPr>
                <w:webHidden/>
              </w:rPr>
              <w:tab/>
            </w:r>
            <w:r>
              <w:rPr>
                <w:webHidden/>
              </w:rPr>
              <w:fldChar w:fldCharType="begin"/>
            </w:r>
            <w:r>
              <w:rPr>
                <w:webHidden/>
              </w:rPr>
              <w:instrText xml:space="preserve"> PAGEREF _Toc212567862 \h </w:instrText>
            </w:r>
            <w:r>
              <w:rPr>
                <w:webHidden/>
              </w:rPr>
            </w:r>
            <w:r>
              <w:rPr>
                <w:webHidden/>
              </w:rPr>
              <w:fldChar w:fldCharType="separate"/>
            </w:r>
            <w:r>
              <w:rPr>
                <w:webHidden/>
              </w:rPr>
              <w:t>21</w:t>
            </w:r>
            <w:r>
              <w:rPr>
                <w:webHidden/>
              </w:rPr>
              <w:fldChar w:fldCharType="end"/>
            </w:r>
          </w:hyperlink>
        </w:p>
        <w:p w14:paraId="5FAB3970" w14:textId="70EA81E5" w:rsidR="00F3228C" w:rsidRDefault="00F3228C">
          <w:pPr>
            <w:pStyle w:val="TOC2"/>
            <w:rPr>
              <w:rFonts w:asciiTheme="minorHAnsi" w:hAnsiTheme="minorHAnsi" w:cstheme="minorBidi"/>
              <w:noProof/>
              <w:color w:val="auto"/>
              <w:kern w:val="2"/>
              <w:sz w:val="24"/>
              <w:szCs w:val="24"/>
              <w14:ligatures w14:val="standardContextual"/>
            </w:rPr>
          </w:pPr>
          <w:hyperlink w:anchor="_Toc212567863" w:history="1">
            <w:r w:rsidRPr="00CF58D3">
              <w:rPr>
                <w:rStyle w:val="Hyperlink"/>
                <w:noProof/>
              </w:rPr>
              <w:t>Australian and New Zealand context</w:t>
            </w:r>
            <w:r>
              <w:rPr>
                <w:noProof/>
                <w:webHidden/>
              </w:rPr>
              <w:tab/>
            </w:r>
            <w:r>
              <w:rPr>
                <w:noProof/>
                <w:webHidden/>
              </w:rPr>
              <w:fldChar w:fldCharType="begin"/>
            </w:r>
            <w:r>
              <w:rPr>
                <w:noProof/>
                <w:webHidden/>
              </w:rPr>
              <w:instrText xml:space="preserve"> PAGEREF _Toc212567863 \h </w:instrText>
            </w:r>
            <w:r>
              <w:rPr>
                <w:noProof/>
                <w:webHidden/>
              </w:rPr>
            </w:r>
            <w:r>
              <w:rPr>
                <w:noProof/>
                <w:webHidden/>
              </w:rPr>
              <w:fldChar w:fldCharType="separate"/>
            </w:r>
            <w:r>
              <w:rPr>
                <w:noProof/>
                <w:webHidden/>
              </w:rPr>
              <w:t>23</w:t>
            </w:r>
            <w:r>
              <w:rPr>
                <w:noProof/>
                <w:webHidden/>
              </w:rPr>
              <w:fldChar w:fldCharType="end"/>
            </w:r>
          </w:hyperlink>
        </w:p>
        <w:p w14:paraId="46C758CD" w14:textId="0675AF7C"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64" w:history="1">
            <w:r w:rsidRPr="00CF58D3">
              <w:rPr>
                <w:rStyle w:val="Hyperlink"/>
                <w:noProof/>
              </w:rPr>
              <w:t>Population status and intakes</w:t>
            </w:r>
            <w:r>
              <w:rPr>
                <w:noProof/>
                <w:webHidden/>
              </w:rPr>
              <w:tab/>
            </w:r>
            <w:r>
              <w:rPr>
                <w:noProof/>
                <w:webHidden/>
              </w:rPr>
              <w:fldChar w:fldCharType="begin"/>
            </w:r>
            <w:r>
              <w:rPr>
                <w:noProof/>
                <w:webHidden/>
              </w:rPr>
              <w:instrText xml:space="preserve"> PAGEREF _Toc212567864 \h </w:instrText>
            </w:r>
            <w:r>
              <w:rPr>
                <w:noProof/>
                <w:webHidden/>
              </w:rPr>
            </w:r>
            <w:r>
              <w:rPr>
                <w:noProof/>
                <w:webHidden/>
              </w:rPr>
              <w:fldChar w:fldCharType="separate"/>
            </w:r>
            <w:r>
              <w:rPr>
                <w:noProof/>
                <w:webHidden/>
              </w:rPr>
              <w:t>23</w:t>
            </w:r>
            <w:r>
              <w:rPr>
                <w:noProof/>
                <w:webHidden/>
              </w:rPr>
              <w:fldChar w:fldCharType="end"/>
            </w:r>
          </w:hyperlink>
        </w:p>
        <w:p w14:paraId="68A68584" w14:textId="1EBF0140" w:rsidR="00F3228C" w:rsidRDefault="00F3228C" w:rsidP="002C32CE">
          <w:pPr>
            <w:pStyle w:val="TOC4"/>
            <w:rPr>
              <w:rFonts w:asciiTheme="minorHAnsi" w:hAnsiTheme="minorHAnsi" w:cstheme="minorBidi"/>
              <w:color w:val="auto"/>
              <w:kern w:val="2"/>
              <w:sz w:val="24"/>
              <w:szCs w:val="24"/>
              <w14:ligatures w14:val="standardContextual"/>
            </w:rPr>
          </w:pPr>
          <w:hyperlink w:anchor="_Toc212567865" w:history="1">
            <w:r w:rsidRPr="00CF58D3">
              <w:rPr>
                <w:rStyle w:val="Hyperlink"/>
              </w:rPr>
              <w:t>Australia</w:t>
            </w:r>
            <w:r>
              <w:rPr>
                <w:webHidden/>
              </w:rPr>
              <w:tab/>
            </w:r>
            <w:r>
              <w:rPr>
                <w:webHidden/>
              </w:rPr>
              <w:fldChar w:fldCharType="begin"/>
            </w:r>
            <w:r>
              <w:rPr>
                <w:webHidden/>
              </w:rPr>
              <w:instrText xml:space="preserve"> PAGEREF _Toc212567865 \h </w:instrText>
            </w:r>
            <w:r>
              <w:rPr>
                <w:webHidden/>
              </w:rPr>
            </w:r>
            <w:r>
              <w:rPr>
                <w:webHidden/>
              </w:rPr>
              <w:fldChar w:fldCharType="separate"/>
            </w:r>
            <w:r>
              <w:rPr>
                <w:webHidden/>
              </w:rPr>
              <w:t>23</w:t>
            </w:r>
            <w:r>
              <w:rPr>
                <w:webHidden/>
              </w:rPr>
              <w:fldChar w:fldCharType="end"/>
            </w:r>
          </w:hyperlink>
        </w:p>
        <w:p w14:paraId="575CF903" w14:textId="2CFA224E" w:rsidR="00F3228C" w:rsidRDefault="00F3228C" w:rsidP="002C32CE">
          <w:pPr>
            <w:pStyle w:val="TOC4"/>
            <w:rPr>
              <w:rFonts w:asciiTheme="minorHAnsi" w:hAnsiTheme="minorHAnsi" w:cstheme="minorBidi"/>
              <w:color w:val="auto"/>
              <w:kern w:val="2"/>
              <w:sz w:val="24"/>
              <w:szCs w:val="24"/>
              <w14:ligatures w14:val="standardContextual"/>
            </w:rPr>
          </w:pPr>
          <w:hyperlink w:anchor="_Toc212567866" w:history="1">
            <w:r w:rsidRPr="00CF58D3">
              <w:rPr>
                <w:rStyle w:val="Hyperlink"/>
              </w:rPr>
              <w:t>New Zealand</w:t>
            </w:r>
            <w:r>
              <w:rPr>
                <w:webHidden/>
              </w:rPr>
              <w:tab/>
            </w:r>
            <w:r>
              <w:rPr>
                <w:webHidden/>
              </w:rPr>
              <w:fldChar w:fldCharType="begin"/>
            </w:r>
            <w:r>
              <w:rPr>
                <w:webHidden/>
              </w:rPr>
              <w:instrText xml:space="preserve"> PAGEREF _Toc212567866 \h </w:instrText>
            </w:r>
            <w:r>
              <w:rPr>
                <w:webHidden/>
              </w:rPr>
            </w:r>
            <w:r>
              <w:rPr>
                <w:webHidden/>
              </w:rPr>
              <w:fldChar w:fldCharType="separate"/>
            </w:r>
            <w:r>
              <w:rPr>
                <w:webHidden/>
              </w:rPr>
              <w:t>28</w:t>
            </w:r>
            <w:r>
              <w:rPr>
                <w:webHidden/>
              </w:rPr>
              <w:fldChar w:fldCharType="end"/>
            </w:r>
          </w:hyperlink>
        </w:p>
        <w:p w14:paraId="24C9BCB0" w14:textId="702F2D12"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67" w:history="1">
            <w:r w:rsidRPr="00CF58D3">
              <w:rPr>
                <w:rStyle w:val="Hyperlink"/>
                <w:noProof/>
              </w:rPr>
              <w:t>Key health outcomes of relevance to the Australian and New Zealand context</w:t>
            </w:r>
            <w:r>
              <w:rPr>
                <w:noProof/>
                <w:webHidden/>
              </w:rPr>
              <w:tab/>
            </w:r>
            <w:r>
              <w:rPr>
                <w:noProof/>
                <w:webHidden/>
              </w:rPr>
              <w:fldChar w:fldCharType="begin"/>
            </w:r>
            <w:r>
              <w:rPr>
                <w:noProof/>
                <w:webHidden/>
              </w:rPr>
              <w:instrText xml:space="preserve"> PAGEREF _Toc212567867 \h </w:instrText>
            </w:r>
            <w:r>
              <w:rPr>
                <w:noProof/>
                <w:webHidden/>
              </w:rPr>
            </w:r>
            <w:r>
              <w:rPr>
                <w:noProof/>
                <w:webHidden/>
              </w:rPr>
              <w:fldChar w:fldCharType="separate"/>
            </w:r>
            <w:r>
              <w:rPr>
                <w:noProof/>
                <w:webHidden/>
              </w:rPr>
              <w:t>30</w:t>
            </w:r>
            <w:r>
              <w:rPr>
                <w:noProof/>
                <w:webHidden/>
              </w:rPr>
              <w:fldChar w:fldCharType="end"/>
            </w:r>
          </w:hyperlink>
        </w:p>
        <w:p w14:paraId="6A58622F" w14:textId="3DB7EA5C" w:rsidR="00F3228C" w:rsidRDefault="00F3228C" w:rsidP="002C32CE">
          <w:pPr>
            <w:pStyle w:val="TOC4"/>
            <w:rPr>
              <w:rFonts w:asciiTheme="minorHAnsi" w:hAnsiTheme="minorHAnsi" w:cstheme="minorBidi"/>
              <w:color w:val="auto"/>
              <w:kern w:val="2"/>
              <w:sz w:val="24"/>
              <w:szCs w:val="24"/>
              <w14:ligatures w14:val="standardContextual"/>
            </w:rPr>
          </w:pPr>
          <w:hyperlink w:anchor="_Toc212567868" w:history="1">
            <w:r w:rsidRPr="00CF58D3">
              <w:rPr>
                <w:rStyle w:val="Hyperlink"/>
              </w:rPr>
              <w:t>Thyroid disease in Australia and New Zealand</w:t>
            </w:r>
            <w:r>
              <w:rPr>
                <w:webHidden/>
              </w:rPr>
              <w:tab/>
            </w:r>
            <w:r>
              <w:rPr>
                <w:webHidden/>
              </w:rPr>
              <w:fldChar w:fldCharType="begin"/>
            </w:r>
            <w:r>
              <w:rPr>
                <w:webHidden/>
              </w:rPr>
              <w:instrText xml:space="preserve"> PAGEREF _Toc212567868 \h </w:instrText>
            </w:r>
            <w:r>
              <w:rPr>
                <w:webHidden/>
              </w:rPr>
            </w:r>
            <w:r>
              <w:rPr>
                <w:webHidden/>
              </w:rPr>
              <w:fldChar w:fldCharType="separate"/>
            </w:r>
            <w:r>
              <w:rPr>
                <w:webHidden/>
              </w:rPr>
              <w:t>30</w:t>
            </w:r>
            <w:r>
              <w:rPr>
                <w:webHidden/>
              </w:rPr>
              <w:fldChar w:fldCharType="end"/>
            </w:r>
          </w:hyperlink>
        </w:p>
        <w:p w14:paraId="5BBB9265" w14:textId="3C805D1B" w:rsidR="00F3228C" w:rsidRDefault="00F3228C" w:rsidP="002C32CE">
          <w:pPr>
            <w:pStyle w:val="TOC4"/>
            <w:rPr>
              <w:rFonts w:asciiTheme="minorHAnsi" w:hAnsiTheme="minorHAnsi" w:cstheme="minorBidi"/>
              <w:color w:val="auto"/>
              <w:kern w:val="2"/>
              <w:sz w:val="24"/>
              <w:szCs w:val="24"/>
              <w14:ligatures w14:val="standardContextual"/>
            </w:rPr>
          </w:pPr>
          <w:hyperlink w:anchor="_Toc212567869" w:history="1">
            <w:r w:rsidRPr="00CF58D3">
              <w:rPr>
                <w:rStyle w:val="Hyperlink"/>
              </w:rPr>
              <w:t>Child neurocognitive development</w:t>
            </w:r>
            <w:r>
              <w:rPr>
                <w:webHidden/>
              </w:rPr>
              <w:tab/>
            </w:r>
            <w:r>
              <w:rPr>
                <w:webHidden/>
              </w:rPr>
              <w:fldChar w:fldCharType="begin"/>
            </w:r>
            <w:r>
              <w:rPr>
                <w:webHidden/>
              </w:rPr>
              <w:instrText xml:space="preserve"> PAGEREF _Toc212567869 \h </w:instrText>
            </w:r>
            <w:r>
              <w:rPr>
                <w:webHidden/>
              </w:rPr>
            </w:r>
            <w:r>
              <w:rPr>
                <w:webHidden/>
              </w:rPr>
              <w:fldChar w:fldCharType="separate"/>
            </w:r>
            <w:r>
              <w:rPr>
                <w:webHidden/>
              </w:rPr>
              <w:t>31</w:t>
            </w:r>
            <w:r>
              <w:rPr>
                <w:webHidden/>
              </w:rPr>
              <w:fldChar w:fldCharType="end"/>
            </w:r>
          </w:hyperlink>
        </w:p>
        <w:p w14:paraId="45EC070E" w14:textId="196E56DA" w:rsidR="00F3228C" w:rsidRDefault="00F3228C">
          <w:pPr>
            <w:pStyle w:val="TOC2"/>
            <w:rPr>
              <w:rFonts w:asciiTheme="minorHAnsi" w:hAnsiTheme="minorHAnsi" w:cstheme="minorBidi"/>
              <w:noProof/>
              <w:color w:val="auto"/>
              <w:kern w:val="2"/>
              <w:sz w:val="24"/>
              <w:szCs w:val="24"/>
              <w14:ligatures w14:val="standardContextual"/>
            </w:rPr>
          </w:pPr>
          <w:hyperlink w:anchor="_Toc212567870" w:history="1">
            <w:r w:rsidRPr="00CF58D3">
              <w:rPr>
                <w:rStyle w:val="Hyperlink"/>
                <w:noProof/>
              </w:rPr>
              <w:t>Summary of Evidence</w:t>
            </w:r>
            <w:r>
              <w:rPr>
                <w:noProof/>
                <w:webHidden/>
              </w:rPr>
              <w:tab/>
            </w:r>
            <w:r>
              <w:rPr>
                <w:noProof/>
                <w:webHidden/>
              </w:rPr>
              <w:fldChar w:fldCharType="begin"/>
            </w:r>
            <w:r>
              <w:rPr>
                <w:noProof/>
                <w:webHidden/>
              </w:rPr>
              <w:instrText xml:space="preserve"> PAGEREF _Toc212567870 \h </w:instrText>
            </w:r>
            <w:r>
              <w:rPr>
                <w:noProof/>
                <w:webHidden/>
              </w:rPr>
            </w:r>
            <w:r>
              <w:rPr>
                <w:noProof/>
                <w:webHidden/>
              </w:rPr>
              <w:fldChar w:fldCharType="separate"/>
            </w:r>
            <w:r>
              <w:rPr>
                <w:noProof/>
                <w:webHidden/>
              </w:rPr>
              <w:t>32</w:t>
            </w:r>
            <w:r>
              <w:rPr>
                <w:noProof/>
                <w:webHidden/>
              </w:rPr>
              <w:fldChar w:fldCharType="end"/>
            </w:r>
          </w:hyperlink>
        </w:p>
        <w:p w14:paraId="0AD7802D" w14:textId="4FAC4D86"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71" w:history="1">
            <w:r w:rsidRPr="00CF58D3">
              <w:rPr>
                <w:rStyle w:val="Hyperlink"/>
                <w:noProof/>
              </w:rPr>
              <w:t>Physiological requirements</w:t>
            </w:r>
            <w:r>
              <w:rPr>
                <w:noProof/>
                <w:webHidden/>
              </w:rPr>
              <w:tab/>
            </w:r>
            <w:r>
              <w:rPr>
                <w:noProof/>
                <w:webHidden/>
              </w:rPr>
              <w:fldChar w:fldCharType="begin"/>
            </w:r>
            <w:r>
              <w:rPr>
                <w:noProof/>
                <w:webHidden/>
              </w:rPr>
              <w:instrText xml:space="preserve"> PAGEREF _Toc212567871 \h </w:instrText>
            </w:r>
            <w:r>
              <w:rPr>
                <w:noProof/>
                <w:webHidden/>
              </w:rPr>
            </w:r>
            <w:r>
              <w:rPr>
                <w:noProof/>
                <w:webHidden/>
              </w:rPr>
              <w:fldChar w:fldCharType="separate"/>
            </w:r>
            <w:r>
              <w:rPr>
                <w:noProof/>
                <w:webHidden/>
              </w:rPr>
              <w:t>32</w:t>
            </w:r>
            <w:r>
              <w:rPr>
                <w:noProof/>
                <w:webHidden/>
              </w:rPr>
              <w:fldChar w:fldCharType="end"/>
            </w:r>
          </w:hyperlink>
        </w:p>
        <w:p w14:paraId="085CFAE5" w14:textId="10A37E72" w:rsidR="00F3228C" w:rsidRDefault="00F3228C" w:rsidP="002C32CE">
          <w:pPr>
            <w:pStyle w:val="TOC4"/>
            <w:rPr>
              <w:rFonts w:asciiTheme="minorHAnsi" w:hAnsiTheme="minorHAnsi" w:cstheme="minorBidi"/>
              <w:color w:val="auto"/>
              <w:kern w:val="2"/>
              <w:sz w:val="24"/>
              <w:szCs w:val="24"/>
              <w14:ligatures w14:val="standardContextual"/>
            </w:rPr>
          </w:pPr>
          <w:hyperlink w:anchor="_Toc212567872" w:history="1">
            <w:r w:rsidRPr="00CF58D3">
              <w:rPr>
                <w:rStyle w:val="Hyperlink"/>
              </w:rPr>
              <w:t>Balance and thyroid accumulation studies</w:t>
            </w:r>
            <w:r>
              <w:rPr>
                <w:webHidden/>
              </w:rPr>
              <w:tab/>
            </w:r>
            <w:r>
              <w:rPr>
                <w:webHidden/>
              </w:rPr>
              <w:fldChar w:fldCharType="begin"/>
            </w:r>
            <w:r>
              <w:rPr>
                <w:webHidden/>
              </w:rPr>
              <w:instrText xml:space="preserve"> PAGEREF _Toc212567872 \h </w:instrText>
            </w:r>
            <w:r>
              <w:rPr>
                <w:webHidden/>
              </w:rPr>
            </w:r>
            <w:r>
              <w:rPr>
                <w:webHidden/>
              </w:rPr>
              <w:fldChar w:fldCharType="separate"/>
            </w:r>
            <w:r>
              <w:rPr>
                <w:webHidden/>
              </w:rPr>
              <w:t>32</w:t>
            </w:r>
            <w:r>
              <w:rPr>
                <w:webHidden/>
              </w:rPr>
              <w:fldChar w:fldCharType="end"/>
            </w:r>
          </w:hyperlink>
        </w:p>
        <w:p w14:paraId="7211CDAC" w14:textId="2A590CDE" w:rsidR="00F3228C" w:rsidRDefault="00F3228C" w:rsidP="002C32CE">
          <w:pPr>
            <w:pStyle w:val="TOC4"/>
            <w:rPr>
              <w:rFonts w:asciiTheme="minorHAnsi" w:hAnsiTheme="minorHAnsi" w:cstheme="minorBidi"/>
              <w:color w:val="auto"/>
              <w:kern w:val="2"/>
              <w:sz w:val="24"/>
              <w:szCs w:val="24"/>
              <w14:ligatures w14:val="standardContextual"/>
            </w:rPr>
          </w:pPr>
          <w:hyperlink w:anchor="_Toc212567873" w:history="1">
            <w:r w:rsidRPr="00CF58D3">
              <w:rPr>
                <w:rStyle w:val="Hyperlink"/>
              </w:rPr>
              <w:t>Requirements to support thyroid hormone synthesis and basal losses</w:t>
            </w:r>
            <w:r>
              <w:rPr>
                <w:webHidden/>
              </w:rPr>
              <w:tab/>
            </w:r>
            <w:r>
              <w:rPr>
                <w:webHidden/>
              </w:rPr>
              <w:fldChar w:fldCharType="begin"/>
            </w:r>
            <w:r>
              <w:rPr>
                <w:webHidden/>
              </w:rPr>
              <w:instrText xml:space="preserve"> PAGEREF _Toc212567873 \h </w:instrText>
            </w:r>
            <w:r>
              <w:rPr>
                <w:webHidden/>
              </w:rPr>
            </w:r>
            <w:r>
              <w:rPr>
                <w:webHidden/>
              </w:rPr>
              <w:fldChar w:fldCharType="separate"/>
            </w:r>
            <w:r>
              <w:rPr>
                <w:webHidden/>
              </w:rPr>
              <w:t>32</w:t>
            </w:r>
            <w:r>
              <w:rPr>
                <w:webHidden/>
              </w:rPr>
              <w:fldChar w:fldCharType="end"/>
            </w:r>
          </w:hyperlink>
        </w:p>
        <w:p w14:paraId="300C3F50" w14:textId="438E30EE" w:rsidR="00F3228C" w:rsidRDefault="00F3228C" w:rsidP="002C32CE">
          <w:pPr>
            <w:pStyle w:val="TOC4"/>
            <w:rPr>
              <w:rFonts w:asciiTheme="minorHAnsi" w:hAnsiTheme="minorHAnsi" w:cstheme="minorBidi"/>
              <w:color w:val="auto"/>
              <w:kern w:val="2"/>
              <w:sz w:val="24"/>
              <w:szCs w:val="24"/>
              <w14:ligatures w14:val="standardContextual"/>
            </w:rPr>
          </w:pPr>
          <w:hyperlink w:anchor="_Toc212567874" w:history="1">
            <w:r w:rsidRPr="00CF58D3">
              <w:rPr>
                <w:rStyle w:val="Hyperlink"/>
              </w:rPr>
              <w:t>Requirements during pregnancy</w:t>
            </w:r>
            <w:r>
              <w:rPr>
                <w:webHidden/>
              </w:rPr>
              <w:tab/>
            </w:r>
            <w:r>
              <w:rPr>
                <w:webHidden/>
              </w:rPr>
              <w:fldChar w:fldCharType="begin"/>
            </w:r>
            <w:r>
              <w:rPr>
                <w:webHidden/>
              </w:rPr>
              <w:instrText xml:space="preserve"> PAGEREF _Toc212567874 \h </w:instrText>
            </w:r>
            <w:r>
              <w:rPr>
                <w:webHidden/>
              </w:rPr>
            </w:r>
            <w:r>
              <w:rPr>
                <w:webHidden/>
              </w:rPr>
              <w:fldChar w:fldCharType="separate"/>
            </w:r>
            <w:r>
              <w:rPr>
                <w:webHidden/>
              </w:rPr>
              <w:t>33</w:t>
            </w:r>
            <w:r>
              <w:rPr>
                <w:webHidden/>
              </w:rPr>
              <w:fldChar w:fldCharType="end"/>
            </w:r>
          </w:hyperlink>
        </w:p>
        <w:p w14:paraId="60E5B567" w14:textId="02500C10" w:rsidR="00F3228C" w:rsidRDefault="00F3228C" w:rsidP="002C32CE">
          <w:pPr>
            <w:pStyle w:val="TOC4"/>
            <w:rPr>
              <w:rFonts w:asciiTheme="minorHAnsi" w:hAnsiTheme="minorHAnsi" w:cstheme="minorBidi"/>
              <w:color w:val="auto"/>
              <w:kern w:val="2"/>
              <w:sz w:val="24"/>
              <w:szCs w:val="24"/>
              <w14:ligatures w14:val="standardContextual"/>
            </w:rPr>
          </w:pPr>
          <w:hyperlink w:anchor="_Toc212567875" w:history="1">
            <w:r w:rsidRPr="00CF58D3">
              <w:rPr>
                <w:rStyle w:val="Hyperlink"/>
              </w:rPr>
              <w:t>Requirements during lactation</w:t>
            </w:r>
            <w:r>
              <w:rPr>
                <w:webHidden/>
              </w:rPr>
              <w:tab/>
            </w:r>
            <w:r>
              <w:rPr>
                <w:webHidden/>
              </w:rPr>
              <w:fldChar w:fldCharType="begin"/>
            </w:r>
            <w:r>
              <w:rPr>
                <w:webHidden/>
              </w:rPr>
              <w:instrText xml:space="preserve"> PAGEREF _Toc212567875 \h </w:instrText>
            </w:r>
            <w:r>
              <w:rPr>
                <w:webHidden/>
              </w:rPr>
            </w:r>
            <w:r>
              <w:rPr>
                <w:webHidden/>
              </w:rPr>
              <w:fldChar w:fldCharType="separate"/>
            </w:r>
            <w:r>
              <w:rPr>
                <w:webHidden/>
              </w:rPr>
              <w:t>34</w:t>
            </w:r>
            <w:r>
              <w:rPr>
                <w:webHidden/>
              </w:rPr>
              <w:fldChar w:fldCharType="end"/>
            </w:r>
          </w:hyperlink>
        </w:p>
        <w:p w14:paraId="676D2C59" w14:textId="0CBA15A5"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76" w:history="1">
            <w:r w:rsidRPr="00CF58D3">
              <w:rPr>
                <w:rStyle w:val="Hyperlink"/>
                <w:noProof/>
              </w:rPr>
              <w:t>Intake, status and health relationships</w:t>
            </w:r>
            <w:r>
              <w:rPr>
                <w:noProof/>
                <w:webHidden/>
              </w:rPr>
              <w:tab/>
            </w:r>
            <w:r>
              <w:rPr>
                <w:noProof/>
                <w:webHidden/>
              </w:rPr>
              <w:fldChar w:fldCharType="begin"/>
            </w:r>
            <w:r>
              <w:rPr>
                <w:noProof/>
                <w:webHidden/>
              </w:rPr>
              <w:instrText xml:space="preserve"> PAGEREF _Toc212567876 \h </w:instrText>
            </w:r>
            <w:r>
              <w:rPr>
                <w:noProof/>
                <w:webHidden/>
              </w:rPr>
            </w:r>
            <w:r>
              <w:rPr>
                <w:noProof/>
                <w:webHidden/>
              </w:rPr>
              <w:fldChar w:fldCharType="separate"/>
            </w:r>
            <w:r>
              <w:rPr>
                <w:noProof/>
                <w:webHidden/>
              </w:rPr>
              <w:t>35</w:t>
            </w:r>
            <w:r>
              <w:rPr>
                <w:noProof/>
                <w:webHidden/>
              </w:rPr>
              <w:fldChar w:fldCharType="end"/>
            </w:r>
          </w:hyperlink>
        </w:p>
        <w:p w14:paraId="624B3CCE" w14:textId="10C10D92" w:rsidR="00F3228C" w:rsidRDefault="00F3228C" w:rsidP="002C32CE">
          <w:pPr>
            <w:pStyle w:val="TOC4"/>
            <w:rPr>
              <w:rFonts w:asciiTheme="minorHAnsi" w:hAnsiTheme="minorHAnsi" w:cstheme="minorBidi"/>
              <w:color w:val="auto"/>
              <w:kern w:val="2"/>
              <w:sz w:val="24"/>
              <w:szCs w:val="24"/>
              <w14:ligatures w14:val="standardContextual"/>
            </w:rPr>
          </w:pPr>
          <w:hyperlink w:anchor="_Toc212567877" w:history="1">
            <w:r w:rsidRPr="00CF58D3">
              <w:rPr>
                <w:rStyle w:val="Hyperlink"/>
              </w:rPr>
              <w:t>Intake and status</w:t>
            </w:r>
            <w:r>
              <w:rPr>
                <w:webHidden/>
              </w:rPr>
              <w:tab/>
            </w:r>
            <w:r>
              <w:rPr>
                <w:webHidden/>
              </w:rPr>
              <w:fldChar w:fldCharType="begin"/>
            </w:r>
            <w:r>
              <w:rPr>
                <w:webHidden/>
              </w:rPr>
              <w:instrText xml:space="preserve"> PAGEREF _Toc212567877 \h </w:instrText>
            </w:r>
            <w:r>
              <w:rPr>
                <w:webHidden/>
              </w:rPr>
            </w:r>
            <w:r>
              <w:rPr>
                <w:webHidden/>
              </w:rPr>
              <w:fldChar w:fldCharType="separate"/>
            </w:r>
            <w:r>
              <w:rPr>
                <w:webHidden/>
              </w:rPr>
              <w:t>35</w:t>
            </w:r>
            <w:r>
              <w:rPr>
                <w:webHidden/>
              </w:rPr>
              <w:fldChar w:fldCharType="end"/>
            </w:r>
          </w:hyperlink>
        </w:p>
        <w:p w14:paraId="7B6888F1" w14:textId="7CCE505A" w:rsidR="00F3228C" w:rsidRDefault="00F3228C" w:rsidP="002C32CE">
          <w:pPr>
            <w:pStyle w:val="TOC4"/>
            <w:rPr>
              <w:rFonts w:asciiTheme="minorHAnsi" w:hAnsiTheme="minorHAnsi" w:cstheme="minorBidi"/>
              <w:color w:val="auto"/>
              <w:kern w:val="2"/>
              <w:sz w:val="24"/>
              <w:szCs w:val="24"/>
              <w14:ligatures w14:val="standardContextual"/>
            </w:rPr>
          </w:pPr>
          <w:hyperlink w:anchor="_Toc212567878" w:history="1">
            <w:r w:rsidRPr="00CF58D3">
              <w:rPr>
                <w:rStyle w:val="Hyperlink"/>
              </w:rPr>
              <w:t>Health outcomes in adults</w:t>
            </w:r>
            <w:r>
              <w:rPr>
                <w:webHidden/>
              </w:rPr>
              <w:tab/>
            </w:r>
            <w:r>
              <w:rPr>
                <w:webHidden/>
              </w:rPr>
              <w:fldChar w:fldCharType="begin"/>
            </w:r>
            <w:r>
              <w:rPr>
                <w:webHidden/>
              </w:rPr>
              <w:instrText xml:space="preserve"> PAGEREF _Toc212567878 \h </w:instrText>
            </w:r>
            <w:r>
              <w:rPr>
                <w:webHidden/>
              </w:rPr>
            </w:r>
            <w:r>
              <w:rPr>
                <w:webHidden/>
              </w:rPr>
              <w:fldChar w:fldCharType="separate"/>
            </w:r>
            <w:r>
              <w:rPr>
                <w:webHidden/>
              </w:rPr>
              <w:t>35</w:t>
            </w:r>
            <w:r>
              <w:rPr>
                <w:webHidden/>
              </w:rPr>
              <w:fldChar w:fldCharType="end"/>
            </w:r>
          </w:hyperlink>
        </w:p>
        <w:p w14:paraId="745A8B25" w14:textId="5E82E50F" w:rsidR="00F3228C" w:rsidRDefault="00F3228C" w:rsidP="002C32CE">
          <w:pPr>
            <w:pStyle w:val="TOC4"/>
            <w:rPr>
              <w:rFonts w:asciiTheme="minorHAnsi" w:hAnsiTheme="minorHAnsi" w:cstheme="minorBidi"/>
              <w:color w:val="auto"/>
              <w:kern w:val="2"/>
              <w:sz w:val="24"/>
              <w:szCs w:val="24"/>
              <w14:ligatures w14:val="standardContextual"/>
            </w:rPr>
          </w:pPr>
          <w:hyperlink w:anchor="_Toc212567879" w:history="1">
            <w:r w:rsidRPr="00CF58D3">
              <w:rPr>
                <w:rStyle w:val="Hyperlink"/>
              </w:rPr>
              <w:t>Health outcomes during pregnancy and lactation</w:t>
            </w:r>
            <w:r>
              <w:rPr>
                <w:webHidden/>
              </w:rPr>
              <w:tab/>
            </w:r>
            <w:r>
              <w:rPr>
                <w:webHidden/>
              </w:rPr>
              <w:fldChar w:fldCharType="begin"/>
            </w:r>
            <w:r>
              <w:rPr>
                <w:webHidden/>
              </w:rPr>
              <w:instrText xml:space="preserve"> PAGEREF _Toc212567879 \h </w:instrText>
            </w:r>
            <w:r>
              <w:rPr>
                <w:webHidden/>
              </w:rPr>
            </w:r>
            <w:r>
              <w:rPr>
                <w:webHidden/>
              </w:rPr>
              <w:fldChar w:fldCharType="separate"/>
            </w:r>
            <w:r>
              <w:rPr>
                <w:webHidden/>
              </w:rPr>
              <w:t>39</w:t>
            </w:r>
            <w:r>
              <w:rPr>
                <w:webHidden/>
              </w:rPr>
              <w:fldChar w:fldCharType="end"/>
            </w:r>
          </w:hyperlink>
        </w:p>
        <w:p w14:paraId="5099058C" w14:textId="63FABE32" w:rsidR="00F3228C" w:rsidRDefault="00F3228C" w:rsidP="002C32CE">
          <w:pPr>
            <w:pStyle w:val="TOC4"/>
            <w:rPr>
              <w:rFonts w:asciiTheme="minorHAnsi" w:hAnsiTheme="minorHAnsi" w:cstheme="minorBidi"/>
              <w:color w:val="auto"/>
              <w:kern w:val="2"/>
              <w:sz w:val="24"/>
              <w:szCs w:val="24"/>
              <w14:ligatures w14:val="standardContextual"/>
            </w:rPr>
          </w:pPr>
          <w:hyperlink w:anchor="_Toc212567880" w:history="1">
            <w:r w:rsidRPr="00CF58D3">
              <w:rPr>
                <w:rStyle w:val="Hyperlink"/>
              </w:rPr>
              <w:t>Health outcomes in children and adolescents</w:t>
            </w:r>
            <w:r>
              <w:rPr>
                <w:webHidden/>
              </w:rPr>
              <w:tab/>
            </w:r>
            <w:r>
              <w:rPr>
                <w:webHidden/>
              </w:rPr>
              <w:fldChar w:fldCharType="begin"/>
            </w:r>
            <w:r>
              <w:rPr>
                <w:webHidden/>
              </w:rPr>
              <w:instrText xml:space="preserve"> PAGEREF _Toc212567880 \h </w:instrText>
            </w:r>
            <w:r>
              <w:rPr>
                <w:webHidden/>
              </w:rPr>
            </w:r>
            <w:r>
              <w:rPr>
                <w:webHidden/>
              </w:rPr>
              <w:fldChar w:fldCharType="separate"/>
            </w:r>
            <w:r>
              <w:rPr>
                <w:webHidden/>
              </w:rPr>
              <w:t>45</w:t>
            </w:r>
            <w:r>
              <w:rPr>
                <w:webHidden/>
              </w:rPr>
              <w:fldChar w:fldCharType="end"/>
            </w:r>
          </w:hyperlink>
        </w:p>
        <w:p w14:paraId="1976B67C" w14:textId="5777F498" w:rsidR="00F3228C" w:rsidRDefault="00F3228C">
          <w:pPr>
            <w:pStyle w:val="TOC2"/>
            <w:rPr>
              <w:rFonts w:asciiTheme="minorHAnsi" w:hAnsiTheme="minorHAnsi" w:cstheme="minorBidi"/>
              <w:noProof/>
              <w:color w:val="auto"/>
              <w:kern w:val="2"/>
              <w:sz w:val="24"/>
              <w:szCs w:val="24"/>
              <w14:ligatures w14:val="standardContextual"/>
            </w:rPr>
          </w:pPr>
          <w:hyperlink w:anchor="_Toc212567881" w:history="1">
            <w:r w:rsidRPr="00CF58D3">
              <w:rPr>
                <w:rStyle w:val="Hyperlink"/>
                <w:noProof/>
              </w:rPr>
              <w:t>Derivation of draft NRVs</w:t>
            </w:r>
            <w:r>
              <w:rPr>
                <w:noProof/>
                <w:webHidden/>
              </w:rPr>
              <w:tab/>
            </w:r>
            <w:r>
              <w:rPr>
                <w:noProof/>
                <w:webHidden/>
              </w:rPr>
              <w:fldChar w:fldCharType="begin"/>
            </w:r>
            <w:r>
              <w:rPr>
                <w:noProof/>
                <w:webHidden/>
              </w:rPr>
              <w:instrText xml:space="preserve"> PAGEREF _Toc212567881 \h </w:instrText>
            </w:r>
            <w:r>
              <w:rPr>
                <w:noProof/>
                <w:webHidden/>
              </w:rPr>
            </w:r>
            <w:r>
              <w:rPr>
                <w:noProof/>
                <w:webHidden/>
              </w:rPr>
              <w:fldChar w:fldCharType="separate"/>
            </w:r>
            <w:r>
              <w:rPr>
                <w:noProof/>
                <w:webHidden/>
              </w:rPr>
              <w:t>46</w:t>
            </w:r>
            <w:r>
              <w:rPr>
                <w:noProof/>
                <w:webHidden/>
              </w:rPr>
              <w:fldChar w:fldCharType="end"/>
            </w:r>
          </w:hyperlink>
        </w:p>
        <w:p w14:paraId="7A4378BA" w14:textId="0A10B86D"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82" w:history="1">
            <w:r w:rsidRPr="00CF58D3">
              <w:rPr>
                <w:rStyle w:val="Hyperlink"/>
                <w:noProof/>
              </w:rPr>
              <w:t>Nutritional adequacy recommendations</w:t>
            </w:r>
            <w:r>
              <w:rPr>
                <w:noProof/>
                <w:webHidden/>
              </w:rPr>
              <w:tab/>
            </w:r>
            <w:r>
              <w:rPr>
                <w:noProof/>
                <w:webHidden/>
              </w:rPr>
              <w:fldChar w:fldCharType="begin"/>
            </w:r>
            <w:r>
              <w:rPr>
                <w:noProof/>
                <w:webHidden/>
              </w:rPr>
              <w:instrText xml:space="preserve"> PAGEREF _Toc212567882 \h </w:instrText>
            </w:r>
            <w:r>
              <w:rPr>
                <w:noProof/>
                <w:webHidden/>
              </w:rPr>
            </w:r>
            <w:r>
              <w:rPr>
                <w:noProof/>
                <w:webHidden/>
              </w:rPr>
              <w:fldChar w:fldCharType="separate"/>
            </w:r>
            <w:r>
              <w:rPr>
                <w:noProof/>
                <w:webHidden/>
              </w:rPr>
              <w:t>46</w:t>
            </w:r>
            <w:r>
              <w:rPr>
                <w:noProof/>
                <w:webHidden/>
              </w:rPr>
              <w:fldChar w:fldCharType="end"/>
            </w:r>
          </w:hyperlink>
        </w:p>
        <w:p w14:paraId="097B74EE" w14:textId="4A85CC1A" w:rsidR="00F3228C" w:rsidRPr="00F3228C" w:rsidRDefault="00F3228C" w:rsidP="002C32CE">
          <w:pPr>
            <w:pStyle w:val="TOC4"/>
          </w:pPr>
          <w:hyperlink w:anchor="_Toc212567883" w:history="1">
            <w:r w:rsidRPr="00F3228C">
              <w:rPr>
                <w:rStyle w:val="Hyperlink"/>
                <w:color w:val="000000" w:themeColor="text1"/>
                <w:u w:val="none"/>
              </w:rPr>
              <w:t>Adults</w:t>
            </w:r>
            <w:r w:rsidRPr="00F3228C">
              <w:rPr>
                <w:webHidden/>
              </w:rPr>
              <w:tab/>
            </w:r>
            <w:r w:rsidRPr="00F3228C">
              <w:rPr>
                <w:webHidden/>
              </w:rPr>
              <w:fldChar w:fldCharType="begin"/>
            </w:r>
            <w:r w:rsidRPr="00F3228C">
              <w:rPr>
                <w:webHidden/>
              </w:rPr>
              <w:instrText xml:space="preserve"> PAGEREF _Toc212567883 \h </w:instrText>
            </w:r>
            <w:r w:rsidRPr="00F3228C">
              <w:rPr>
                <w:webHidden/>
              </w:rPr>
            </w:r>
            <w:r w:rsidRPr="00F3228C">
              <w:rPr>
                <w:webHidden/>
              </w:rPr>
              <w:fldChar w:fldCharType="separate"/>
            </w:r>
            <w:r w:rsidRPr="00F3228C">
              <w:rPr>
                <w:webHidden/>
              </w:rPr>
              <w:t>46</w:t>
            </w:r>
            <w:r w:rsidRPr="00F3228C">
              <w:rPr>
                <w:webHidden/>
              </w:rPr>
              <w:fldChar w:fldCharType="end"/>
            </w:r>
          </w:hyperlink>
        </w:p>
        <w:p w14:paraId="60417D97" w14:textId="69BD81DF" w:rsidR="00F3228C" w:rsidRDefault="00F3228C" w:rsidP="002C32CE">
          <w:pPr>
            <w:pStyle w:val="TOC4"/>
            <w:rPr>
              <w:rFonts w:asciiTheme="minorHAnsi" w:hAnsiTheme="minorHAnsi" w:cstheme="minorBidi"/>
              <w:color w:val="auto"/>
              <w:kern w:val="2"/>
              <w:sz w:val="24"/>
              <w:szCs w:val="24"/>
              <w14:ligatures w14:val="standardContextual"/>
            </w:rPr>
          </w:pPr>
          <w:hyperlink w:anchor="_Toc212567884" w:history="1">
            <w:r w:rsidRPr="00CF58D3">
              <w:rPr>
                <w:rStyle w:val="Hyperlink"/>
              </w:rPr>
              <w:t>Pregnancy</w:t>
            </w:r>
            <w:r>
              <w:rPr>
                <w:webHidden/>
              </w:rPr>
              <w:tab/>
            </w:r>
            <w:r>
              <w:rPr>
                <w:webHidden/>
              </w:rPr>
              <w:fldChar w:fldCharType="begin"/>
            </w:r>
            <w:r>
              <w:rPr>
                <w:webHidden/>
              </w:rPr>
              <w:instrText xml:space="preserve"> PAGEREF _Toc212567884 \h </w:instrText>
            </w:r>
            <w:r>
              <w:rPr>
                <w:webHidden/>
              </w:rPr>
            </w:r>
            <w:r>
              <w:rPr>
                <w:webHidden/>
              </w:rPr>
              <w:fldChar w:fldCharType="separate"/>
            </w:r>
            <w:r>
              <w:rPr>
                <w:webHidden/>
              </w:rPr>
              <w:t>46</w:t>
            </w:r>
            <w:r>
              <w:rPr>
                <w:webHidden/>
              </w:rPr>
              <w:fldChar w:fldCharType="end"/>
            </w:r>
          </w:hyperlink>
        </w:p>
        <w:p w14:paraId="4B7BED5C" w14:textId="0AF821DF" w:rsidR="00F3228C" w:rsidRDefault="00F3228C" w:rsidP="002C32CE">
          <w:pPr>
            <w:pStyle w:val="TOC4"/>
            <w:rPr>
              <w:rFonts w:asciiTheme="minorHAnsi" w:hAnsiTheme="minorHAnsi" w:cstheme="minorBidi"/>
              <w:color w:val="auto"/>
              <w:kern w:val="2"/>
              <w:sz w:val="24"/>
              <w:szCs w:val="24"/>
              <w14:ligatures w14:val="standardContextual"/>
            </w:rPr>
          </w:pPr>
          <w:hyperlink w:anchor="_Toc212567885" w:history="1">
            <w:r w:rsidRPr="00CF58D3">
              <w:rPr>
                <w:rStyle w:val="Hyperlink"/>
              </w:rPr>
              <w:t>Lactation</w:t>
            </w:r>
            <w:r>
              <w:rPr>
                <w:webHidden/>
              </w:rPr>
              <w:tab/>
            </w:r>
            <w:r>
              <w:rPr>
                <w:webHidden/>
              </w:rPr>
              <w:fldChar w:fldCharType="begin"/>
            </w:r>
            <w:r>
              <w:rPr>
                <w:webHidden/>
              </w:rPr>
              <w:instrText xml:space="preserve"> PAGEREF _Toc212567885 \h </w:instrText>
            </w:r>
            <w:r>
              <w:rPr>
                <w:webHidden/>
              </w:rPr>
            </w:r>
            <w:r>
              <w:rPr>
                <w:webHidden/>
              </w:rPr>
              <w:fldChar w:fldCharType="separate"/>
            </w:r>
            <w:r>
              <w:rPr>
                <w:webHidden/>
              </w:rPr>
              <w:t>47</w:t>
            </w:r>
            <w:r>
              <w:rPr>
                <w:webHidden/>
              </w:rPr>
              <w:fldChar w:fldCharType="end"/>
            </w:r>
          </w:hyperlink>
        </w:p>
        <w:p w14:paraId="6C4DC4A7" w14:textId="423DDCA8" w:rsidR="00F3228C" w:rsidRDefault="00F3228C" w:rsidP="002C32CE">
          <w:pPr>
            <w:pStyle w:val="TOC4"/>
            <w:rPr>
              <w:rFonts w:asciiTheme="minorHAnsi" w:hAnsiTheme="minorHAnsi" w:cstheme="minorBidi"/>
              <w:color w:val="auto"/>
              <w:kern w:val="2"/>
              <w:sz w:val="24"/>
              <w:szCs w:val="24"/>
              <w14:ligatures w14:val="standardContextual"/>
            </w:rPr>
          </w:pPr>
          <w:hyperlink w:anchor="_Toc212567886" w:history="1">
            <w:r w:rsidRPr="00CF58D3">
              <w:rPr>
                <w:rStyle w:val="Hyperlink"/>
              </w:rPr>
              <w:t>Children and adolescents</w:t>
            </w:r>
            <w:r>
              <w:rPr>
                <w:webHidden/>
              </w:rPr>
              <w:tab/>
            </w:r>
            <w:r>
              <w:rPr>
                <w:webHidden/>
              </w:rPr>
              <w:fldChar w:fldCharType="begin"/>
            </w:r>
            <w:r>
              <w:rPr>
                <w:webHidden/>
              </w:rPr>
              <w:instrText xml:space="preserve"> PAGEREF _Toc212567886 \h </w:instrText>
            </w:r>
            <w:r>
              <w:rPr>
                <w:webHidden/>
              </w:rPr>
            </w:r>
            <w:r>
              <w:rPr>
                <w:webHidden/>
              </w:rPr>
              <w:fldChar w:fldCharType="separate"/>
            </w:r>
            <w:r>
              <w:rPr>
                <w:webHidden/>
              </w:rPr>
              <w:t>48</w:t>
            </w:r>
            <w:r>
              <w:rPr>
                <w:webHidden/>
              </w:rPr>
              <w:fldChar w:fldCharType="end"/>
            </w:r>
          </w:hyperlink>
        </w:p>
        <w:p w14:paraId="7E7E1986" w14:textId="6E396E2F"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87" w:history="1">
            <w:r w:rsidRPr="00CF58D3">
              <w:rPr>
                <w:rStyle w:val="Hyperlink"/>
                <w:noProof/>
              </w:rPr>
              <w:t>Upper Level (UL)</w:t>
            </w:r>
            <w:r>
              <w:rPr>
                <w:noProof/>
                <w:webHidden/>
              </w:rPr>
              <w:tab/>
            </w:r>
            <w:r>
              <w:rPr>
                <w:noProof/>
                <w:webHidden/>
              </w:rPr>
              <w:fldChar w:fldCharType="begin"/>
            </w:r>
            <w:r>
              <w:rPr>
                <w:noProof/>
                <w:webHidden/>
              </w:rPr>
              <w:instrText xml:space="preserve"> PAGEREF _Toc212567887 \h </w:instrText>
            </w:r>
            <w:r>
              <w:rPr>
                <w:noProof/>
                <w:webHidden/>
              </w:rPr>
            </w:r>
            <w:r>
              <w:rPr>
                <w:noProof/>
                <w:webHidden/>
              </w:rPr>
              <w:fldChar w:fldCharType="separate"/>
            </w:r>
            <w:r>
              <w:rPr>
                <w:noProof/>
                <w:webHidden/>
              </w:rPr>
              <w:t>50</w:t>
            </w:r>
            <w:r>
              <w:rPr>
                <w:noProof/>
                <w:webHidden/>
              </w:rPr>
              <w:fldChar w:fldCharType="end"/>
            </w:r>
          </w:hyperlink>
        </w:p>
        <w:p w14:paraId="46A62862" w14:textId="69D10645" w:rsidR="00F3228C" w:rsidRDefault="00F3228C" w:rsidP="002C32CE">
          <w:pPr>
            <w:pStyle w:val="TOC4"/>
            <w:rPr>
              <w:rFonts w:asciiTheme="minorHAnsi" w:hAnsiTheme="minorHAnsi" w:cstheme="minorBidi"/>
              <w:color w:val="auto"/>
              <w:kern w:val="2"/>
              <w:sz w:val="24"/>
              <w:szCs w:val="24"/>
              <w14:ligatures w14:val="standardContextual"/>
            </w:rPr>
          </w:pPr>
          <w:hyperlink w:anchor="_Toc212567888" w:history="1">
            <w:r w:rsidRPr="00CF58D3">
              <w:rPr>
                <w:rStyle w:val="Hyperlink"/>
              </w:rPr>
              <w:t>Adults</w:t>
            </w:r>
            <w:r>
              <w:rPr>
                <w:webHidden/>
              </w:rPr>
              <w:tab/>
            </w:r>
            <w:r>
              <w:rPr>
                <w:webHidden/>
              </w:rPr>
              <w:fldChar w:fldCharType="begin"/>
            </w:r>
            <w:r>
              <w:rPr>
                <w:webHidden/>
              </w:rPr>
              <w:instrText xml:space="preserve"> PAGEREF _Toc212567888 \h </w:instrText>
            </w:r>
            <w:r>
              <w:rPr>
                <w:webHidden/>
              </w:rPr>
            </w:r>
            <w:r>
              <w:rPr>
                <w:webHidden/>
              </w:rPr>
              <w:fldChar w:fldCharType="separate"/>
            </w:r>
            <w:r>
              <w:rPr>
                <w:webHidden/>
              </w:rPr>
              <w:t>50</w:t>
            </w:r>
            <w:r>
              <w:rPr>
                <w:webHidden/>
              </w:rPr>
              <w:fldChar w:fldCharType="end"/>
            </w:r>
          </w:hyperlink>
        </w:p>
        <w:p w14:paraId="6F68176F" w14:textId="4513D2C5" w:rsidR="00F3228C" w:rsidRDefault="00F3228C" w:rsidP="002C32CE">
          <w:pPr>
            <w:pStyle w:val="TOC4"/>
            <w:rPr>
              <w:rFonts w:asciiTheme="minorHAnsi" w:hAnsiTheme="minorHAnsi" w:cstheme="minorBidi"/>
              <w:color w:val="auto"/>
              <w:kern w:val="2"/>
              <w:sz w:val="24"/>
              <w:szCs w:val="24"/>
              <w14:ligatures w14:val="standardContextual"/>
            </w:rPr>
          </w:pPr>
          <w:hyperlink w:anchor="_Toc212567889" w:history="1">
            <w:r w:rsidRPr="00CF58D3">
              <w:rPr>
                <w:rStyle w:val="Hyperlink"/>
              </w:rPr>
              <w:t>Pregnancy</w:t>
            </w:r>
            <w:r>
              <w:rPr>
                <w:webHidden/>
              </w:rPr>
              <w:tab/>
            </w:r>
            <w:r>
              <w:rPr>
                <w:webHidden/>
              </w:rPr>
              <w:fldChar w:fldCharType="begin"/>
            </w:r>
            <w:r>
              <w:rPr>
                <w:webHidden/>
              </w:rPr>
              <w:instrText xml:space="preserve"> PAGEREF _Toc212567889 \h </w:instrText>
            </w:r>
            <w:r>
              <w:rPr>
                <w:webHidden/>
              </w:rPr>
            </w:r>
            <w:r>
              <w:rPr>
                <w:webHidden/>
              </w:rPr>
              <w:fldChar w:fldCharType="separate"/>
            </w:r>
            <w:r>
              <w:rPr>
                <w:webHidden/>
              </w:rPr>
              <w:t>50</w:t>
            </w:r>
            <w:r>
              <w:rPr>
                <w:webHidden/>
              </w:rPr>
              <w:fldChar w:fldCharType="end"/>
            </w:r>
          </w:hyperlink>
        </w:p>
        <w:p w14:paraId="0757E361" w14:textId="52489487" w:rsidR="00F3228C" w:rsidRDefault="00F3228C" w:rsidP="002C32CE">
          <w:pPr>
            <w:pStyle w:val="TOC4"/>
            <w:rPr>
              <w:rFonts w:asciiTheme="minorHAnsi" w:hAnsiTheme="minorHAnsi" w:cstheme="minorBidi"/>
              <w:color w:val="auto"/>
              <w:kern w:val="2"/>
              <w:sz w:val="24"/>
              <w:szCs w:val="24"/>
              <w14:ligatures w14:val="standardContextual"/>
            </w:rPr>
          </w:pPr>
          <w:hyperlink w:anchor="_Toc212567890" w:history="1">
            <w:r w:rsidRPr="00CF58D3">
              <w:rPr>
                <w:rStyle w:val="Hyperlink"/>
              </w:rPr>
              <w:t>Lactation</w:t>
            </w:r>
            <w:r>
              <w:rPr>
                <w:webHidden/>
              </w:rPr>
              <w:tab/>
            </w:r>
            <w:r>
              <w:rPr>
                <w:webHidden/>
              </w:rPr>
              <w:fldChar w:fldCharType="begin"/>
            </w:r>
            <w:r>
              <w:rPr>
                <w:webHidden/>
              </w:rPr>
              <w:instrText xml:space="preserve"> PAGEREF _Toc212567890 \h </w:instrText>
            </w:r>
            <w:r>
              <w:rPr>
                <w:webHidden/>
              </w:rPr>
            </w:r>
            <w:r>
              <w:rPr>
                <w:webHidden/>
              </w:rPr>
              <w:fldChar w:fldCharType="separate"/>
            </w:r>
            <w:r>
              <w:rPr>
                <w:webHidden/>
              </w:rPr>
              <w:t>51</w:t>
            </w:r>
            <w:r>
              <w:rPr>
                <w:webHidden/>
              </w:rPr>
              <w:fldChar w:fldCharType="end"/>
            </w:r>
          </w:hyperlink>
        </w:p>
        <w:p w14:paraId="51BAC300" w14:textId="7C14C024" w:rsidR="00F3228C" w:rsidRDefault="00F3228C" w:rsidP="002C32CE">
          <w:pPr>
            <w:pStyle w:val="TOC4"/>
            <w:rPr>
              <w:rFonts w:asciiTheme="minorHAnsi" w:hAnsiTheme="minorHAnsi" w:cstheme="minorBidi"/>
              <w:color w:val="auto"/>
              <w:kern w:val="2"/>
              <w:sz w:val="24"/>
              <w:szCs w:val="24"/>
              <w14:ligatures w14:val="standardContextual"/>
            </w:rPr>
          </w:pPr>
          <w:hyperlink w:anchor="_Toc212567891" w:history="1">
            <w:r w:rsidRPr="00CF58D3">
              <w:rPr>
                <w:rStyle w:val="Hyperlink"/>
              </w:rPr>
              <w:t>Children and adolescents</w:t>
            </w:r>
            <w:r>
              <w:rPr>
                <w:webHidden/>
              </w:rPr>
              <w:tab/>
            </w:r>
            <w:r>
              <w:rPr>
                <w:webHidden/>
              </w:rPr>
              <w:fldChar w:fldCharType="begin"/>
            </w:r>
            <w:r>
              <w:rPr>
                <w:webHidden/>
              </w:rPr>
              <w:instrText xml:space="preserve"> PAGEREF _Toc212567891 \h </w:instrText>
            </w:r>
            <w:r>
              <w:rPr>
                <w:webHidden/>
              </w:rPr>
            </w:r>
            <w:r>
              <w:rPr>
                <w:webHidden/>
              </w:rPr>
              <w:fldChar w:fldCharType="separate"/>
            </w:r>
            <w:r>
              <w:rPr>
                <w:webHidden/>
              </w:rPr>
              <w:t>51</w:t>
            </w:r>
            <w:r>
              <w:rPr>
                <w:webHidden/>
              </w:rPr>
              <w:fldChar w:fldCharType="end"/>
            </w:r>
          </w:hyperlink>
        </w:p>
        <w:p w14:paraId="04D7AAC6" w14:textId="27CC83FB" w:rsidR="00F3228C" w:rsidRDefault="00F3228C">
          <w:pPr>
            <w:pStyle w:val="TOC2"/>
            <w:rPr>
              <w:rFonts w:asciiTheme="minorHAnsi" w:hAnsiTheme="minorHAnsi" w:cstheme="minorBidi"/>
              <w:noProof/>
              <w:color w:val="auto"/>
              <w:kern w:val="2"/>
              <w:sz w:val="24"/>
              <w:szCs w:val="24"/>
              <w14:ligatures w14:val="standardContextual"/>
            </w:rPr>
          </w:pPr>
          <w:hyperlink w:anchor="_Toc212567892" w:history="1">
            <w:r w:rsidRPr="00CF58D3">
              <w:rPr>
                <w:rStyle w:val="Hyperlink"/>
                <w:noProof/>
              </w:rPr>
              <w:t>Benchmarking</w:t>
            </w:r>
            <w:r>
              <w:rPr>
                <w:noProof/>
                <w:webHidden/>
              </w:rPr>
              <w:tab/>
            </w:r>
            <w:r>
              <w:rPr>
                <w:noProof/>
                <w:webHidden/>
              </w:rPr>
              <w:fldChar w:fldCharType="begin"/>
            </w:r>
            <w:r>
              <w:rPr>
                <w:noProof/>
                <w:webHidden/>
              </w:rPr>
              <w:instrText xml:space="preserve"> PAGEREF _Toc212567892 \h </w:instrText>
            </w:r>
            <w:r>
              <w:rPr>
                <w:noProof/>
                <w:webHidden/>
              </w:rPr>
            </w:r>
            <w:r>
              <w:rPr>
                <w:noProof/>
                <w:webHidden/>
              </w:rPr>
              <w:fldChar w:fldCharType="separate"/>
            </w:r>
            <w:r>
              <w:rPr>
                <w:noProof/>
                <w:webHidden/>
              </w:rPr>
              <w:t>53</w:t>
            </w:r>
            <w:r>
              <w:rPr>
                <w:noProof/>
                <w:webHidden/>
              </w:rPr>
              <w:fldChar w:fldCharType="end"/>
            </w:r>
          </w:hyperlink>
        </w:p>
        <w:p w14:paraId="60BF2440" w14:textId="6ED621B5"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93" w:history="1">
            <w:r w:rsidRPr="00CF58D3">
              <w:rPr>
                <w:rStyle w:val="Hyperlink"/>
                <w:noProof/>
              </w:rPr>
              <w:t>International comparisons</w:t>
            </w:r>
            <w:r>
              <w:rPr>
                <w:noProof/>
                <w:webHidden/>
              </w:rPr>
              <w:tab/>
            </w:r>
            <w:r>
              <w:rPr>
                <w:noProof/>
                <w:webHidden/>
              </w:rPr>
              <w:fldChar w:fldCharType="begin"/>
            </w:r>
            <w:r>
              <w:rPr>
                <w:noProof/>
                <w:webHidden/>
              </w:rPr>
              <w:instrText xml:space="preserve"> PAGEREF _Toc212567893 \h </w:instrText>
            </w:r>
            <w:r>
              <w:rPr>
                <w:noProof/>
                <w:webHidden/>
              </w:rPr>
            </w:r>
            <w:r>
              <w:rPr>
                <w:noProof/>
                <w:webHidden/>
              </w:rPr>
              <w:fldChar w:fldCharType="separate"/>
            </w:r>
            <w:r>
              <w:rPr>
                <w:noProof/>
                <w:webHidden/>
              </w:rPr>
              <w:t>53</w:t>
            </w:r>
            <w:r>
              <w:rPr>
                <w:noProof/>
                <w:webHidden/>
              </w:rPr>
              <w:fldChar w:fldCharType="end"/>
            </w:r>
          </w:hyperlink>
        </w:p>
        <w:p w14:paraId="1FDE9F8A" w14:textId="293D705B" w:rsidR="00F3228C" w:rsidRDefault="00F3228C" w:rsidP="002C32CE">
          <w:pPr>
            <w:pStyle w:val="TOC4"/>
            <w:rPr>
              <w:rFonts w:asciiTheme="minorHAnsi" w:hAnsiTheme="minorHAnsi" w:cstheme="minorBidi"/>
              <w:color w:val="auto"/>
              <w:kern w:val="2"/>
              <w:sz w:val="24"/>
              <w:szCs w:val="24"/>
              <w14:ligatures w14:val="standardContextual"/>
            </w:rPr>
          </w:pPr>
          <w:hyperlink w:anchor="_Toc212567894" w:history="1">
            <w:r w:rsidRPr="00CF58D3">
              <w:rPr>
                <w:rStyle w:val="Hyperlink"/>
              </w:rPr>
              <w:t>Nutritional adequacy recommendations</w:t>
            </w:r>
            <w:r>
              <w:rPr>
                <w:webHidden/>
              </w:rPr>
              <w:tab/>
            </w:r>
            <w:r>
              <w:rPr>
                <w:webHidden/>
              </w:rPr>
              <w:fldChar w:fldCharType="begin"/>
            </w:r>
            <w:r>
              <w:rPr>
                <w:webHidden/>
              </w:rPr>
              <w:instrText xml:space="preserve"> PAGEREF _Toc212567894 \h </w:instrText>
            </w:r>
            <w:r>
              <w:rPr>
                <w:webHidden/>
              </w:rPr>
            </w:r>
            <w:r>
              <w:rPr>
                <w:webHidden/>
              </w:rPr>
              <w:fldChar w:fldCharType="separate"/>
            </w:r>
            <w:r>
              <w:rPr>
                <w:webHidden/>
              </w:rPr>
              <w:t>53</w:t>
            </w:r>
            <w:r>
              <w:rPr>
                <w:webHidden/>
              </w:rPr>
              <w:fldChar w:fldCharType="end"/>
            </w:r>
          </w:hyperlink>
        </w:p>
        <w:p w14:paraId="3A9B4760" w14:textId="2C5D452C" w:rsidR="00F3228C" w:rsidRDefault="00F3228C" w:rsidP="002C32CE">
          <w:pPr>
            <w:pStyle w:val="TOC4"/>
            <w:rPr>
              <w:rFonts w:asciiTheme="minorHAnsi" w:hAnsiTheme="minorHAnsi" w:cstheme="minorBidi"/>
              <w:color w:val="auto"/>
              <w:kern w:val="2"/>
              <w:sz w:val="24"/>
              <w:szCs w:val="24"/>
              <w14:ligatures w14:val="standardContextual"/>
            </w:rPr>
          </w:pPr>
          <w:hyperlink w:anchor="_Toc212567895" w:history="1">
            <w:r w:rsidRPr="00CF58D3">
              <w:rPr>
                <w:rStyle w:val="Hyperlink"/>
              </w:rPr>
              <w:t>Upper Levels</w:t>
            </w:r>
            <w:r>
              <w:rPr>
                <w:webHidden/>
              </w:rPr>
              <w:tab/>
            </w:r>
            <w:r>
              <w:rPr>
                <w:webHidden/>
              </w:rPr>
              <w:fldChar w:fldCharType="begin"/>
            </w:r>
            <w:r>
              <w:rPr>
                <w:webHidden/>
              </w:rPr>
              <w:instrText xml:space="preserve"> PAGEREF _Toc212567895 \h </w:instrText>
            </w:r>
            <w:r>
              <w:rPr>
                <w:webHidden/>
              </w:rPr>
            </w:r>
            <w:r>
              <w:rPr>
                <w:webHidden/>
              </w:rPr>
              <w:fldChar w:fldCharType="separate"/>
            </w:r>
            <w:r>
              <w:rPr>
                <w:webHidden/>
              </w:rPr>
              <w:t>54</w:t>
            </w:r>
            <w:r>
              <w:rPr>
                <w:webHidden/>
              </w:rPr>
              <w:fldChar w:fldCharType="end"/>
            </w:r>
          </w:hyperlink>
        </w:p>
        <w:p w14:paraId="720E0A55" w14:textId="7D6E6A01"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896" w:history="1">
            <w:r w:rsidRPr="00CF58D3">
              <w:rPr>
                <w:rStyle w:val="Hyperlink"/>
                <w:noProof/>
              </w:rPr>
              <w:t>Food system and foundation diet modelling</w:t>
            </w:r>
            <w:r>
              <w:rPr>
                <w:noProof/>
                <w:webHidden/>
              </w:rPr>
              <w:tab/>
            </w:r>
            <w:r>
              <w:rPr>
                <w:noProof/>
                <w:webHidden/>
              </w:rPr>
              <w:fldChar w:fldCharType="begin"/>
            </w:r>
            <w:r>
              <w:rPr>
                <w:noProof/>
                <w:webHidden/>
              </w:rPr>
              <w:instrText xml:space="preserve"> PAGEREF _Toc212567896 \h </w:instrText>
            </w:r>
            <w:r>
              <w:rPr>
                <w:noProof/>
                <w:webHidden/>
              </w:rPr>
            </w:r>
            <w:r>
              <w:rPr>
                <w:noProof/>
                <w:webHidden/>
              </w:rPr>
              <w:fldChar w:fldCharType="separate"/>
            </w:r>
            <w:r>
              <w:rPr>
                <w:noProof/>
                <w:webHidden/>
              </w:rPr>
              <w:t>55</w:t>
            </w:r>
            <w:r>
              <w:rPr>
                <w:noProof/>
                <w:webHidden/>
              </w:rPr>
              <w:fldChar w:fldCharType="end"/>
            </w:r>
          </w:hyperlink>
        </w:p>
        <w:p w14:paraId="1FAF64A1" w14:textId="7A43E00A" w:rsidR="00F3228C" w:rsidRPr="00F3228C" w:rsidRDefault="00F3228C" w:rsidP="002C32CE">
          <w:pPr>
            <w:pStyle w:val="TOC4"/>
          </w:pPr>
          <w:hyperlink w:anchor="_Toc212567897" w:history="1">
            <w:r w:rsidRPr="00F3228C">
              <w:rPr>
                <w:rStyle w:val="Hyperlink"/>
              </w:rPr>
              <w:t>Adults</w:t>
            </w:r>
            <w:r w:rsidRPr="00F3228C">
              <w:rPr>
                <w:rStyle w:val="Hyperlink"/>
                <w:webHidden/>
              </w:rPr>
              <w:tab/>
            </w:r>
            <w:r w:rsidRPr="00F3228C">
              <w:rPr>
                <w:rStyle w:val="Hyperlink"/>
                <w:webHidden/>
              </w:rPr>
              <w:fldChar w:fldCharType="begin"/>
            </w:r>
            <w:r w:rsidRPr="00F3228C">
              <w:rPr>
                <w:rStyle w:val="Hyperlink"/>
                <w:webHidden/>
              </w:rPr>
              <w:instrText xml:space="preserve"> PAGEREF _Toc212567897 \h </w:instrText>
            </w:r>
            <w:r w:rsidRPr="00F3228C">
              <w:rPr>
                <w:rStyle w:val="Hyperlink"/>
                <w:webHidden/>
              </w:rPr>
            </w:r>
            <w:r w:rsidRPr="00F3228C">
              <w:rPr>
                <w:rStyle w:val="Hyperlink"/>
                <w:webHidden/>
              </w:rPr>
              <w:fldChar w:fldCharType="separate"/>
            </w:r>
            <w:r w:rsidRPr="00F3228C">
              <w:rPr>
                <w:rStyle w:val="Hyperlink"/>
                <w:webHidden/>
              </w:rPr>
              <w:t>55</w:t>
            </w:r>
            <w:r w:rsidRPr="00F3228C">
              <w:rPr>
                <w:rStyle w:val="Hyperlink"/>
                <w:webHidden/>
              </w:rPr>
              <w:fldChar w:fldCharType="end"/>
            </w:r>
          </w:hyperlink>
        </w:p>
        <w:p w14:paraId="26B430CF" w14:textId="52AAFE6A" w:rsidR="00F3228C" w:rsidRDefault="00F3228C" w:rsidP="002C32CE">
          <w:pPr>
            <w:pStyle w:val="TOC4"/>
            <w:rPr>
              <w:rFonts w:asciiTheme="minorHAnsi" w:hAnsiTheme="minorHAnsi" w:cstheme="minorBidi"/>
              <w:color w:val="auto"/>
              <w:kern w:val="2"/>
              <w:sz w:val="24"/>
              <w:szCs w:val="24"/>
              <w14:ligatures w14:val="standardContextual"/>
            </w:rPr>
          </w:pPr>
          <w:hyperlink w:anchor="_Toc212567898" w:history="1">
            <w:r w:rsidRPr="00CF58D3">
              <w:rPr>
                <w:rStyle w:val="Hyperlink"/>
              </w:rPr>
              <w:t>Pregnancy</w:t>
            </w:r>
            <w:r>
              <w:rPr>
                <w:webHidden/>
              </w:rPr>
              <w:tab/>
            </w:r>
            <w:r>
              <w:rPr>
                <w:webHidden/>
              </w:rPr>
              <w:fldChar w:fldCharType="begin"/>
            </w:r>
            <w:r>
              <w:rPr>
                <w:webHidden/>
              </w:rPr>
              <w:instrText xml:space="preserve"> PAGEREF _Toc212567898 \h </w:instrText>
            </w:r>
            <w:r>
              <w:rPr>
                <w:webHidden/>
              </w:rPr>
            </w:r>
            <w:r>
              <w:rPr>
                <w:webHidden/>
              </w:rPr>
              <w:fldChar w:fldCharType="separate"/>
            </w:r>
            <w:r>
              <w:rPr>
                <w:webHidden/>
              </w:rPr>
              <w:t>56</w:t>
            </w:r>
            <w:r>
              <w:rPr>
                <w:webHidden/>
              </w:rPr>
              <w:fldChar w:fldCharType="end"/>
            </w:r>
          </w:hyperlink>
        </w:p>
        <w:p w14:paraId="69C13124" w14:textId="63955B55" w:rsidR="00F3228C" w:rsidRDefault="00F3228C" w:rsidP="002C32CE">
          <w:pPr>
            <w:pStyle w:val="TOC4"/>
            <w:rPr>
              <w:rFonts w:asciiTheme="minorHAnsi" w:hAnsiTheme="minorHAnsi" w:cstheme="minorBidi"/>
              <w:color w:val="auto"/>
              <w:kern w:val="2"/>
              <w:sz w:val="24"/>
              <w:szCs w:val="24"/>
              <w14:ligatures w14:val="standardContextual"/>
            </w:rPr>
          </w:pPr>
          <w:hyperlink w:anchor="_Toc212567899" w:history="1">
            <w:r w:rsidRPr="00CF58D3">
              <w:rPr>
                <w:rStyle w:val="Hyperlink"/>
              </w:rPr>
              <w:t>Lactation</w:t>
            </w:r>
            <w:r>
              <w:rPr>
                <w:webHidden/>
              </w:rPr>
              <w:tab/>
            </w:r>
            <w:r>
              <w:rPr>
                <w:webHidden/>
              </w:rPr>
              <w:fldChar w:fldCharType="begin"/>
            </w:r>
            <w:r>
              <w:rPr>
                <w:webHidden/>
              </w:rPr>
              <w:instrText xml:space="preserve"> PAGEREF _Toc212567899 \h </w:instrText>
            </w:r>
            <w:r>
              <w:rPr>
                <w:webHidden/>
              </w:rPr>
            </w:r>
            <w:r>
              <w:rPr>
                <w:webHidden/>
              </w:rPr>
              <w:fldChar w:fldCharType="separate"/>
            </w:r>
            <w:r>
              <w:rPr>
                <w:webHidden/>
              </w:rPr>
              <w:t>56</w:t>
            </w:r>
            <w:r>
              <w:rPr>
                <w:webHidden/>
              </w:rPr>
              <w:fldChar w:fldCharType="end"/>
            </w:r>
          </w:hyperlink>
        </w:p>
        <w:p w14:paraId="338717E8" w14:textId="1E2A7BF8" w:rsidR="00F3228C" w:rsidRDefault="00F3228C" w:rsidP="002C32CE">
          <w:pPr>
            <w:pStyle w:val="TOC4"/>
            <w:rPr>
              <w:rFonts w:asciiTheme="minorHAnsi" w:hAnsiTheme="minorHAnsi" w:cstheme="minorBidi"/>
              <w:color w:val="auto"/>
              <w:kern w:val="2"/>
              <w:sz w:val="24"/>
              <w:szCs w:val="24"/>
              <w14:ligatures w14:val="standardContextual"/>
            </w:rPr>
          </w:pPr>
          <w:hyperlink w:anchor="_Toc212567900" w:history="1">
            <w:r w:rsidRPr="00CF58D3">
              <w:rPr>
                <w:rStyle w:val="Hyperlink"/>
              </w:rPr>
              <w:t>Children and adolescents</w:t>
            </w:r>
            <w:r>
              <w:rPr>
                <w:webHidden/>
              </w:rPr>
              <w:tab/>
            </w:r>
            <w:r>
              <w:rPr>
                <w:webHidden/>
              </w:rPr>
              <w:fldChar w:fldCharType="begin"/>
            </w:r>
            <w:r>
              <w:rPr>
                <w:webHidden/>
              </w:rPr>
              <w:instrText xml:space="preserve"> PAGEREF _Toc212567900 \h </w:instrText>
            </w:r>
            <w:r>
              <w:rPr>
                <w:webHidden/>
              </w:rPr>
            </w:r>
            <w:r>
              <w:rPr>
                <w:webHidden/>
              </w:rPr>
              <w:fldChar w:fldCharType="separate"/>
            </w:r>
            <w:r>
              <w:rPr>
                <w:webHidden/>
              </w:rPr>
              <w:t>57</w:t>
            </w:r>
            <w:r>
              <w:rPr>
                <w:webHidden/>
              </w:rPr>
              <w:fldChar w:fldCharType="end"/>
            </w:r>
          </w:hyperlink>
        </w:p>
        <w:p w14:paraId="60ACF359" w14:textId="354B824C" w:rsidR="00F3228C" w:rsidRDefault="00F3228C">
          <w:pPr>
            <w:pStyle w:val="TOC2"/>
            <w:rPr>
              <w:rFonts w:asciiTheme="minorHAnsi" w:hAnsiTheme="minorHAnsi" w:cstheme="minorBidi"/>
              <w:noProof/>
              <w:color w:val="auto"/>
              <w:kern w:val="2"/>
              <w:sz w:val="24"/>
              <w:szCs w:val="24"/>
              <w14:ligatures w14:val="standardContextual"/>
            </w:rPr>
          </w:pPr>
          <w:hyperlink w:anchor="_Toc212567901" w:history="1">
            <w:r w:rsidRPr="00CF58D3">
              <w:rPr>
                <w:rStyle w:val="Hyperlink"/>
                <w:noProof/>
              </w:rPr>
              <w:t>Proposed Recommendations</w:t>
            </w:r>
            <w:r>
              <w:rPr>
                <w:noProof/>
                <w:webHidden/>
              </w:rPr>
              <w:tab/>
            </w:r>
            <w:r>
              <w:rPr>
                <w:noProof/>
                <w:webHidden/>
              </w:rPr>
              <w:fldChar w:fldCharType="begin"/>
            </w:r>
            <w:r>
              <w:rPr>
                <w:noProof/>
                <w:webHidden/>
              </w:rPr>
              <w:instrText xml:space="preserve"> PAGEREF _Toc212567901 \h </w:instrText>
            </w:r>
            <w:r>
              <w:rPr>
                <w:noProof/>
                <w:webHidden/>
              </w:rPr>
            </w:r>
            <w:r>
              <w:rPr>
                <w:noProof/>
                <w:webHidden/>
              </w:rPr>
              <w:fldChar w:fldCharType="separate"/>
            </w:r>
            <w:r>
              <w:rPr>
                <w:noProof/>
                <w:webHidden/>
              </w:rPr>
              <w:t>58</w:t>
            </w:r>
            <w:r>
              <w:rPr>
                <w:noProof/>
                <w:webHidden/>
              </w:rPr>
              <w:fldChar w:fldCharType="end"/>
            </w:r>
          </w:hyperlink>
        </w:p>
        <w:p w14:paraId="660095E4" w14:textId="1F601DEB" w:rsidR="00F3228C" w:rsidRDefault="00F3228C">
          <w:pPr>
            <w:pStyle w:val="TOC2"/>
            <w:rPr>
              <w:rFonts w:asciiTheme="minorHAnsi" w:hAnsiTheme="minorHAnsi" w:cstheme="minorBidi"/>
              <w:noProof/>
              <w:color w:val="auto"/>
              <w:kern w:val="2"/>
              <w:sz w:val="24"/>
              <w:szCs w:val="24"/>
              <w14:ligatures w14:val="standardContextual"/>
            </w:rPr>
          </w:pPr>
          <w:hyperlink w:anchor="_Toc212567902" w:history="1">
            <w:r w:rsidRPr="00CF58D3">
              <w:rPr>
                <w:rStyle w:val="Hyperlink"/>
                <w:noProof/>
              </w:rPr>
              <w:t>References</w:t>
            </w:r>
            <w:r>
              <w:rPr>
                <w:noProof/>
                <w:webHidden/>
              </w:rPr>
              <w:tab/>
            </w:r>
            <w:r>
              <w:rPr>
                <w:noProof/>
                <w:webHidden/>
              </w:rPr>
              <w:fldChar w:fldCharType="begin"/>
            </w:r>
            <w:r>
              <w:rPr>
                <w:noProof/>
                <w:webHidden/>
              </w:rPr>
              <w:instrText xml:space="preserve"> PAGEREF _Toc212567902 \h </w:instrText>
            </w:r>
            <w:r>
              <w:rPr>
                <w:noProof/>
                <w:webHidden/>
              </w:rPr>
            </w:r>
            <w:r>
              <w:rPr>
                <w:noProof/>
                <w:webHidden/>
              </w:rPr>
              <w:fldChar w:fldCharType="separate"/>
            </w:r>
            <w:r>
              <w:rPr>
                <w:noProof/>
                <w:webHidden/>
              </w:rPr>
              <w:t>59</w:t>
            </w:r>
            <w:r>
              <w:rPr>
                <w:noProof/>
                <w:webHidden/>
              </w:rPr>
              <w:fldChar w:fldCharType="end"/>
            </w:r>
          </w:hyperlink>
        </w:p>
        <w:p w14:paraId="3F832FA2" w14:textId="57E86730" w:rsidR="00F3228C" w:rsidRDefault="00F3228C">
          <w:pPr>
            <w:pStyle w:val="TOC2"/>
            <w:rPr>
              <w:rFonts w:asciiTheme="minorHAnsi" w:hAnsiTheme="minorHAnsi" w:cstheme="minorBidi"/>
              <w:noProof/>
              <w:color w:val="auto"/>
              <w:kern w:val="2"/>
              <w:sz w:val="24"/>
              <w:szCs w:val="24"/>
              <w14:ligatures w14:val="standardContextual"/>
            </w:rPr>
          </w:pPr>
          <w:hyperlink w:anchor="_Toc212567903" w:history="1">
            <w:r w:rsidRPr="00CF58D3">
              <w:rPr>
                <w:rStyle w:val="Hyperlink"/>
                <w:noProof/>
              </w:rPr>
              <w:t>Appendix A - Methods for identifying evidence</w:t>
            </w:r>
            <w:r>
              <w:rPr>
                <w:noProof/>
                <w:webHidden/>
              </w:rPr>
              <w:tab/>
            </w:r>
            <w:r>
              <w:rPr>
                <w:noProof/>
                <w:webHidden/>
              </w:rPr>
              <w:fldChar w:fldCharType="begin"/>
            </w:r>
            <w:r>
              <w:rPr>
                <w:noProof/>
                <w:webHidden/>
              </w:rPr>
              <w:instrText xml:space="preserve"> PAGEREF _Toc212567903 \h </w:instrText>
            </w:r>
            <w:r>
              <w:rPr>
                <w:noProof/>
                <w:webHidden/>
              </w:rPr>
            </w:r>
            <w:r>
              <w:rPr>
                <w:noProof/>
                <w:webHidden/>
              </w:rPr>
              <w:fldChar w:fldCharType="separate"/>
            </w:r>
            <w:r>
              <w:rPr>
                <w:noProof/>
                <w:webHidden/>
              </w:rPr>
              <w:t>76</w:t>
            </w:r>
            <w:r>
              <w:rPr>
                <w:noProof/>
                <w:webHidden/>
              </w:rPr>
              <w:fldChar w:fldCharType="end"/>
            </w:r>
          </w:hyperlink>
        </w:p>
        <w:p w14:paraId="26C73198" w14:textId="5CC79C00"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904" w:history="1">
            <w:r w:rsidRPr="00CF58D3">
              <w:rPr>
                <w:rStyle w:val="Hyperlink"/>
                <w:noProof/>
              </w:rPr>
              <w:t>International guidance and advice</w:t>
            </w:r>
            <w:r>
              <w:rPr>
                <w:noProof/>
                <w:webHidden/>
              </w:rPr>
              <w:tab/>
            </w:r>
            <w:r>
              <w:rPr>
                <w:noProof/>
                <w:webHidden/>
              </w:rPr>
              <w:fldChar w:fldCharType="begin"/>
            </w:r>
            <w:r>
              <w:rPr>
                <w:noProof/>
                <w:webHidden/>
              </w:rPr>
              <w:instrText xml:space="preserve"> PAGEREF _Toc212567904 \h </w:instrText>
            </w:r>
            <w:r>
              <w:rPr>
                <w:noProof/>
                <w:webHidden/>
              </w:rPr>
            </w:r>
            <w:r>
              <w:rPr>
                <w:noProof/>
                <w:webHidden/>
              </w:rPr>
              <w:fldChar w:fldCharType="separate"/>
            </w:r>
            <w:r>
              <w:rPr>
                <w:noProof/>
                <w:webHidden/>
              </w:rPr>
              <w:t>76</w:t>
            </w:r>
            <w:r>
              <w:rPr>
                <w:noProof/>
                <w:webHidden/>
              </w:rPr>
              <w:fldChar w:fldCharType="end"/>
            </w:r>
          </w:hyperlink>
        </w:p>
        <w:p w14:paraId="42C66298" w14:textId="7266559A"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905" w:history="1">
            <w:r w:rsidRPr="00CF58D3">
              <w:rPr>
                <w:rStyle w:val="Hyperlink"/>
                <w:noProof/>
              </w:rPr>
              <w:t>Systematic reviews</w:t>
            </w:r>
            <w:r>
              <w:rPr>
                <w:noProof/>
                <w:webHidden/>
              </w:rPr>
              <w:tab/>
            </w:r>
            <w:r>
              <w:rPr>
                <w:noProof/>
                <w:webHidden/>
              </w:rPr>
              <w:fldChar w:fldCharType="begin"/>
            </w:r>
            <w:r>
              <w:rPr>
                <w:noProof/>
                <w:webHidden/>
              </w:rPr>
              <w:instrText xml:space="preserve"> PAGEREF _Toc212567905 \h </w:instrText>
            </w:r>
            <w:r>
              <w:rPr>
                <w:noProof/>
                <w:webHidden/>
              </w:rPr>
            </w:r>
            <w:r>
              <w:rPr>
                <w:noProof/>
                <w:webHidden/>
              </w:rPr>
              <w:fldChar w:fldCharType="separate"/>
            </w:r>
            <w:r>
              <w:rPr>
                <w:noProof/>
                <w:webHidden/>
              </w:rPr>
              <w:t>77</w:t>
            </w:r>
            <w:r>
              <w:rPr>
                <w:noProof/>
                <w:webHidden/>
              </w:rPr>
              <w:fldChar w:fldCharType="end"/>
            </w:r>
          </w:hyperlink>
        </w:p>
        <w:p w14:paraId="4FC13AE8" w14:textId="1A7F18BB"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906" w:history="1">
            <w:r w:rsidRPr="00CF58D3">
              <w:rPr>
                <w:rStyle w:val="Hyperlink"/>
                <w:noProof/>
              </w:rPr>
              <w:t>Primary studies/data</w:t>
            </w:r>
            <w:r>
              <w:rPr>
                <w:noProof/>
                <w:webHidden/>
              </w:rPr>
              <w:tab/>
            </w:r>
            <w:r>
              <w:rPr>
                <w:noProof/>
                <w:webHidden/>
              </w:rPr>
              <w:fldChar w:fldCharType="begin"/>
            </w:r>
            <w:r>
              <w:rPr>
                <w:noProof/>
                <w:webHidden/>
              </w:rPr>
              <w:instrText xml:space="preserve"> PAGEREF _Toc212567906 \h </w:instrText>
            </w:r>
            <w:r>
              <w:rPr>
                <w:noProof/>
                <w:webHidden/>
              </w:rPr>
            </w:r>
            <w:r>
              <w:rPr>
                <w:noProof/>
                <w:webHidden/>
              </w:rPr>
              <w:fldChar w:fldCharType="separate"/>
            </w:r>
            <w:r>
              <w:rPr>
                <w:noProof/>
                <w:webHidden/>
              </w:rPr>
              <w:t>79</w:t>
            </w:r>
            <w:r>
              <w:rPr>
                <w:noProof/>
                <w:webHidden/>
              </w:rPr>
              <w:fldChar w:fldCharType="end"/>
            </w:r>
          </w:hyperlink>
        </w:p>
        <w:p w14:paraId="42FDC061" w14:textId="0E753F9B" w:rsidR="00F3228C" w:rsidRDefault="00F3228C" w:rsidP="002C32CE">
          <w:pPr>
            <w:pStyle w:val="TOC4"/>
            <w:rPr>
              <w:rFonts w:asciiTheme="minorHAnsi" w:hAnsiTheme="minorHAnsi" w:cstheme="minorBidi"/>
              <w:color w:val="auto"/>
              <w:kern w:val="2"/>
              <w:sz w:val="24"/>
              <w:szCs w:val="24"/>
              <w14:ligatures w14:val="standardContextual"/>
            </w:rPr>
          </w:pPr>
          <w:hyperlink w:anchor="_Toc212567907" w:history="1">
            <w:r w:rsidRPr="00CF58D3">
              <w:rPr>
                <w:rStyle w:val="Hyperlink"/>
              </w:rPr>
              <w:t>Evidence scoping for priority PECO criteria</w:t>
            </w:r>
            <w:r>
              <w:rPr>
                <w:webHidden/>
              </w:rPr>
              <w:tab/>
            </w:r>
            <w:r>
              <w:rPr>
                <w:webHidden/>
              </w:rPr>
              <w:fldChar w:fldCharType="begin"/>
            </w:r>
            <w:r>
              <w:rPr>
                <w:webHidden/>
              </w:rPr>
              <w:instrText xml:space="preserve"> PAGEREF _Toc212567907 \h </w:instrText>
            </w:r>
            <w:r>
              <w:rPr>
                <w:webHidden/>
              </w:rPr>
            </w:r>
            <w:r>
              <w:rPr>
                <w:webHidden/>
              </w:rPr>
              <w:fldChar w:fldCharType="separate"/>
            </w:r>
            <w:r>
              <w:rPr>
                <w:webHidden/>
              </w:rPr>
              <w:t>79</w:t>
            </w:r>
            <w:r>
              <w:rPr>
                <w:webHidden/>
              </w:rPr>
              <w:fldChar w:fldCharType="end"/>
            </w:r>
          </w:hyperlink>
        </w:p>
        <w:p w14:paraId="1BCA2ADF" w14:textId="36C0E326" w:rsidR="00F3228C" w:rsidRDefault="00F3228C" w:rsidP="002C32CE">
          <w:pPr>
            <w:pStyle w:val="TOC4"/>
            <w:rPr>
              <w:rFonts w:asciiTheme="minorHAnsi" w:hAnsiTheme="minorHAnsi" w:cstheme="minorBidi"/>
              <w:color w:val="auto"/>
              <w:kern w:val="2"/>
              <w:sz w:val="24"/>
              <w:szCs w:val="24"/>
              <w14:ligatures w14:val="standardContextual"/>
            </w:rPr>
          </w:pPr>
          <w:hyperlink w:anchor="_Toc212567908" w:history="1">
            <w:r w:rsidRPr="00CF58D3">
              <w:rPr>
                <w:rStyle w:val="Hyperlink"/>
              </w:rPr>
              <w:t>Australian and New Zealand contextual evidence</w:t>
            </w:r>
            <w:r>
              <w:rPr>
                <w:webHidden/>
              </w:rPr>
              <w:tab/>
            </w:r>
            <w:r>
              <w:rPr>
                <w:webHidden/>
              </w:rPr>
              <w:fldChar w:fldCharType="begin"/>
            </w:r>
            <w:r>
              <w:rPr>
                <w:webHidden/>
              </w:rPr>
              <w:instrText xml:space="preserve"> PAGEREF _Toc212567908 \h </w:instrText>
            </w:r>
            <w:r>
              <w:rPr>
                <w:webHidden/>
              </w:rPr>
            </w:r>
            <w:r>
              <w:rPr>
                <w:webHidden/>
              </w:rPr>
              <w:fldChar w:fldCharType="separate"/>
            </w:r>
            <w:r>
              <w:rPr>
                <w:webHidden/>
              </w:rPr>
              <w:t>81</w:t>
            </w:r>
            <w:r>
              <w:rPr>
                <w:webHidden/>
              </w:rPr>
              <w:fldChar w:fldCharType="end"/>
            </w:r>
          </w:hyperlink>
        </w:p>
        <w:p w14:paraId="35DB7A7D" w14:textId="73B863AC" w:rsidR="00F3228C" w:rsidRDefault="00F3228C">
          <w:pPr>
            <w:pStyle w:val="TOC2"/>
            <w:rPr>
              <w:rFonts w:asciiTheme="minorHAnsi" w:hAnsiTheme="minorHAnsi" w:cstheme="minorBidi"/>
              <w:noProof/>
              <w:color w:val="auto"/>
              <w:kern w:val="2"/>
              <w:sz w:val="24"/>
              <w:szCs w:val="24"/>
              <w14:ligatures w14:val="standardContextual"/>
            </w:rPr>
          </w:pPr>
          <w:hyperlink w:anchor="_Toc212567909" w:history="1">
            <w:r w:rsidRPr="00CF58D3">
              <w:rPr>
                <w:rStyle w:val="Hyperlink"/>
                <w:noProof/>
              </w:rPr>
              <w:t>Appendix B - Supplementary analyses</w:t>
            </w:r>
            <w:r>
              <w:rPr>
                <w:noProof/>
                <w:webHidden/>
              </w:rPr>
              <w:tab/>
            </w:r>
            <w:r>
              <w:rPr>
                <w:noProof/>
                <w:webHidden/>
              </w:rPr>
              <w:fldChar w:fldCharType="begin"/>
            </w:r>
            <w:r>
              <w:rPr>
                <w:noProof/>
                <w:webHidden/>
              </w:rPr>
              <w:instrText xml:space="preserve"> PAGEREF _Toc212567909 \h </w:instrText>
            </w:r>
            <w:r>
              <w:rPr>
                <w:noProof/>
                <w:webHidden/>
              </w:rPr>
            </w:r>
            <w:r>
              <w:rPr>
                <w:noProof/>
                <w:webHidden/>
              </w:rPr>
              <w:fldChar w:fldCharType="separate"/>
            </w:r>
            <w:r>
              <w:rPr>
                <w:noProof/>
                <w:webHidden/>
              </w:rPr>
              <w:t>82</w:t>
            </w:r>
            <w:r>
              <w:rPr>
                <w:noProof/>
                <w:webHidden/>
              </w:rPr>
              <w:fldChar w:fldCharType="end"/>
            </w:r>
          </w:hyperlink>
        </w:p>
        <w:p w14:paraId="3FF6E035" w14:textId="0FE8E3DE"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910" w:history="1">
            <w:r w:rsidRPr="00CF58D3">
              <w:rPr>
                <w:rStyle w:val="Hyperlink"/>
                <w:noProof/>
              </w:rPr>
              <w:t>Sang et al (2012)</w:t>
            </w:r>
            <w:r>
              <w:rPr>
                <w:noProof/>
                <w:webHidden/>
              </w:rPr>
              <w:tab/>
            </w:r>
            <w:r>
              <w:rPr>
                <w:noProof/>
                <w:webHidden/>
              </w:rPr>
              <w:fldChar w:fldCharType="begin"/>
            </w:r>
            <w:r>
              <w:rPr>
                <w:noProof/>
                <w:webHidden/>
              </w:rPr>
              <w:instrText xml:space="preserve"> PAGEREF _Toc212567910 \h </w:instrText>
            </w:r>
            <w:r>
              <w:rPr>
                <w:noProof/>
                <w:webHidden/>
              </w:rPr>
            </w:r>
            <w:r>
              <w:rPr>
                <w:noProof/>
                <w:webHidden/>
              </w:rPr>
              <w:fldChar w:fldCharType="separate"/>
            </w:r>
            <w:r>
              <w:rPr>
                <w:noProof/>
                <w:webHidden/>
              </w:rPr>
              <w:t>82</w:t>
            </w:r>
            <w:r>
              <w:rPr>
                <w:noProof/>
                <w:webHidden/>
              </w:rPr>
              <w:fldChar w:fldCharType="end"/>
            </w:r>
          </w:hyperlink>
        </w:p>
        <w:p w14:paraId="7D042013" w14:textId="197E7F5C" w:rsidR="00F3228C" w:rsidRDefault="00F3228C">
          <w:pPr>
            <w:pStyle w:val="TOC2"/>
            <w:rPr>
              <w:rFonts w:asciiTheme="minorHAnsi" w:hAnsiTheme="minorHAnsi" w:cstheme="minorBidi"/>
              <w:noProof/>
              <w:color w:val="auto"/>
              <w:kern w:val="2"/>
              <w:sz w:val="24"/>
              <w:szCs w:val="24"/>
              <w14:ligatures w14:val="standardContextual"/>
            </w:rPr>
          </w:pPr>
          <w:hyperlink w:anchor="_Toc212567911" w:history="1">
            <w:r w:rsidRPr="00CF58D3">
              <w:rPr>
                <w:rStyle w:val="Hyperlink"/>
                <w:noProof/>
              </w:rPr>
              <w:t>Appendix C - Systematic reviews</w:t>
            </w:r>
            <w:r>
              <w:rPr>
                <w:noProof/>
                <w:webHidden/>
              </w:rPr>
              <w:tab/>
            </w:r>
            <w:r>
              <w:rPr>
                <w:noProof/>
                <w:webHidden/>
              </w:rPr>
              <w:fldChar w:fldCharType="begin"/>
            </w:r>
            <w:r>
              <w:rPr>
                <w:noProof/>
                <w:webHidden/>
              </w:rPr>
              <w:instrText xml:space="preserve"> PAGEREF _Toc212567911 \h </w:instrText>
            </w:r>
            <w:r>
              <w:rPr>
                <w:noProof/>
                <w:webHidden/>
              </w:rPr>
            </w:r>
            <w:r>
              <w:rPr>
                <w:noProof/>
                <w:webHidden/>
              </w:rPr>
              <w:fldChar w:fldCharType="separate"/>
            </w:r>
            <w:r>
              <w:rPr>
                <w:noProof/>
                <w:webHidden/>
              </w:rPr>
              <w:t>85</w:t>
            </w:r>
            <w:r>
              <w:rPr>
                <w:noProof/>
                <w:webHidden/>
              </w:rPr>
              <w:fldChar w:fldCharType="end"/>
            </w:r>
          </w:hyperlink>
        </w:p>
        <w:p w14:paraId="224F7C67" w14:textId="0AD251A9"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912" w:history="1">
            <w:r w:rsidRPr="00CF58D3">
              <w:rPr>
                <w:rStyle w:val="Hyperlink"/>
                <w:noProof/>
              </w:rPr>
              <w:t>Characteristics of systematic reviews</w:t>
            </w:r>
            <w:r>
              <w:rPr>
                <w:noProof/>
                <w:webHidden/>
              </w:rPr>
              <w:tab/>
            </w:r>
            <w:r>
              <w:rPr>
                <w:noProof/>
                <w:webHidden/>
              </w:rPr>
              <w:fldChar w:fldCharType="begin"/>
            </w:r>
            <w:r>
              <w:rPr>
                <w:noProof/>
                <w:webHidden/>
              </w:rPr>
              <w:instrText xml:space="preserve"> PAGEREF _Toc212567912 \h </w:instrText>
            </w:r>
            <w:r>
              <w:rPr>
                <w:noProof/>
                <w:webHidden/>
              </w:rPr>
            </w:r>
            <w:r>
              <w:rPr>
                <w:noProof/>
                <w:webHidden/>
              </w:rPr>
              <w:fldChar w:fldCharType="separate"/>
            </w:r>
            <w:r>
              <w:rPr>
                <w:noProof/>
                <w:webHidden/>
              </w:rPr>
              <w:t>85</w:t>
            </w:r>
            <w:r>
              <w:rPr>
                <w:noProof/>
                <w:webHidden/>
              </w:rPr>
              <w:fldChar w:fldCharType="end"/>
            </w:r>
          </w:hyperlink>
        </w:p>
        <w:p w14:paraId="5E644CDD" w14:textId="53B0E293"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913" w:history="1">
            <w:r w:rsidRPr="00CF58D3">
              <w:rPr>
                <w:rStyle w:val="Hyperlink"/>
                <w:noProof/>
              </w:rPr>
              <w:t>Risk of bias of systematic reviews</w:t>
            </w:r>
            <w:r>
              <w:rPr>
                <w:noProof/>
                <w:webHidden/>
              </w:rPr>
              <w:tab/>
            </w:r>
            <w:r>
              <w:rPr>
                <w:noProof/>
                <w:webHidden/>
              </w:rPr>
              <w:fldChar w:fldCharType="begin"/>
            </w:r>
            <w:r>
              <w:rPr>
                <w:noProof/>
                <w:webHidden/>
              </w:rPr>
              <w:instrText xml:space="preserve"> PAGEREF _Toc212567913 \h </w:instrText>
            </w:r>
            <w:r>
              <w:rPr>
                <w:noProof/>
                <w:webHidden/>
              </w:rPr>
            </w:r>
            <w:r>
              <w:rPr>
                <w:noProof/>
                <w:webHidden/>
              </w:rPr>
              <w:fldChar w:fldCharType="separate"/>
            </w:r>
            <w:r>
              <w:rPr>
                <w:noProof/>
                <w:webHidden/>
              </w:rPr>
              <w:t>98</w:t>
            </w:r>
            <w:r>
              <w:rPr>
                <w:noProof/>
                <w:webHidden/>
              </w:rPr>
              <w:fldChar w:fldCharType="end"/>
            </w:r>
          </w:hyperlink>
        </w:p>
        <w:p w14:paraId="48E5A522" w14:textId="11B1EADE" w:rsidR="00F3228C" w:rsidRDefault="00F3228C">
          <w:pPr>
            <w:pStyle w:val="TOC2"/>
            <w:rPr>
              <w:rFonts w:asciiTheme="minorHAnsi" w:hAnsiTheme="minorHAnsi" w:cstheme="minorBidi"/>
              <w:noProof/>
              <w:color w:val="auto"/>
              <w:kern w:val="2"/>
              <w:sz w:val="24"/>
              <w:szCs w:val="24"/>
              <w14:ligatures w14:val="standardContextual"/>
            </w:rPr>
          </w:pPr>
          <w:hyperlink w:anchor="_Toc212567914" w:history="1">
            <w:r w:rsidRPr="00CF58D3">
              <w:rPr>
                <w:rStyle w:val="Hyperlink"/>
                <w:noProof/>
              </w:rPr>
              <w:t>Appendix D - Outcomes from review of primary studies</w:t>
            </w:r>
            <w:r>
              <w:rPr>
                <w:noProof/>
                <w:webHidden/>
              </w:rPr>
              <w:tab/>
            </w:r>
            <w:r>
              <w:rPr>
                <w:noProof/>
                <w:webHidden/>
              </w:rPr>
              <w:fldChar w:fldCharType="begin"/>
            </w:r>
            <w:r>
              <w:rPr>
                <w:noProof/>
                <w:webHidden/>
              </w:rPr>
              <w:instrText xml:space="preserve"> PAGEREF _Toc212567914 \h </w:instrText>
            </w:r>
            <w:r>
              <w:rPr>
                <w:noProof/>
                <w:webHidden/>
              </w:rPr>
            </w:r>
            <w:r>
              <w:rPr>
                <w:noProof/>
                <w:webHidden/>
              </w:rPr>
              <w:fldChar w:fldCharType="separate"/>
            </w:r>
            <w:r>
              <w:rPr>
                <w:noProof/>
                <w:webHidden/>
              </w:rPr>
              <w:t>107</w:t>
            </w:r>
            <w:r>
              <w:rPr>
                <w:noProof/>
                <w:webHidden/>
              </w:rPr>
              <w:fldChar w:fldCharType="end"/>
            </w:r>
          </w:hyperlink>
        </w:p>
        <w:p w14:paraId="2CFCE3F1" w14:textId="22CAE681"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915" w:history="1">
            <w:r w:rsidRPr="00CF58D3">
              <w:rPr>
                <w:rStyle w:val="Hyperlink"/>
                <w:noProof/>
              </w:rPr>
              <w:t>Identified studies</w:t>
            </w:r>
            <w:r>
              <w:rPr>
                <w:noProof/>
                <w:webHidden/>
              </w:rPr>
              <w:tab/>
            </w:r>
            <w:r>
              <w:rPr>
                <w:noProof/>
                <w:webHidden/>
              </w:rPr>
              <w:fldChar w:fldCharType="begin"/>
            </w:r>
            <w:r>
              <w:rPr>
                <w:noProof/>
                <w:webHidden/>
              </w:rPr>
              <w:instrText xml:space="preserve"> PAGEREF _Toc212567915 \h </w:instrText>
            </w:r>
            <w:r>
              <w:rPr>
                <w:noProof/>
                <w:webHidden/>
              </w:rPr>
            </w:r>
            <w:r>
              <w:rPr>
                <w:noProof/>
                <w:webHidden/>
              </w:rPr>
              <w:fldChar w:fldCharType="separate"/>
            </w:r>
            <w:r>
              <w:rPr>
                <w:noProof/>
                <w:webHidden/>
              </w:rPr>
              <w:t>107</w:t>
            </w:r>
            <w:r>
              <w:rPr>
                <w:noProof/>
                <w:webHidden/>
              </w:rPr>
              <w:fldChar w:fldCharType="end"/>
            </w:r>
          </w:hyperlink>
        </w:p>
        <w:p w14:paraId="58E54C79" w14:textId="01182071" w:rsidR="00F3228C" w:rsidRDefault="00F3228C">
          <w:pPr>
            <w:pStyle w:val="TOC2"/>
            <w:rPr>
              <w:rFonts w:asciiTheme="minorHAnsi" w:hAnsiTheme="minorHAnsi" w:cstheme="minorBidi"/>
              <w:noProof/>
              <w:color w:val="auto"/>
              <w:kern w:val="2"/>
              <w:sz w:val="24"/>
              <w:szCs w:val="24"/>
              <w14:ligatures w14:val="standardContextual"/>
            </w:rPr>
          </w:pPr>
          <w:hyperlink w:anchor="_Toc212567920" w:history="1">
            <w:r w:rsidRPr="00CF58D3">
              <w:rPr>
                <w:rStyle w:val="Hyperlink"/>
                <w:noProof/>
              </w:rPr>
              <w:t>Appendix E - Evidence-to-Decision Framework</w:t>
            </w:r>
            <w:r>
              <w:rPr>
                <w:noProof/>
                <w:webHidden/>
              </w:rPr>
              <w:tab/>
            </w:r>
            <w:r>
              <w:rPr>
                <w:noProof/>
                <w:webHidden/>
              </w:rPr>
              <w:fldChar w:fldCharType="begin"/>
            </w:r>
            <w:r>
              <w:rPr>
                <w:noProof/>
                <w:webHidden/>
              </w:rPr>
              <w:instrText xml:space="preserve"> PAGEREF _Toc212567920 \h </w:instrText>
            </w:r>
            <w:r>
              <w:rPr>
                <w:noProof/>
                <w:webHidden/>
              </w:rPr>
            </w:r>
            <w:r>
              <w:rPr>
                <w:noProof/>
                <w:webHidden/>
              </w:rPr>
              <w:fldChar w:fldCharType="separate"/>
            </w:r>
            <w:r>
              <w:rPr>
                <w:noProof/>
                <w:webHidden/>
              </w:rPr>
              <w:t>111</w:t>
            </w:r>
            <w:r>
              <w:rPr>
                <w:noProof/>
                <w:webHidden/>
              </w:rPr>
              <w:fldChar w:fldCharType="end"/>
            </w:r>
          </w:hyperlink>
        </w:p>
        <w:p w14:paraId="6FB39997" w14:textId="6514F723"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921" w:history="1">
            <w:r w:rsidRPr="00CF58D3">
              <w:rPr>
                <w:rStyle w:val="Hyperlink"/>
                <w:noProof/>
              </w:rPr>
              <w:t>Iodine - Requirements for avoiding deficiency</w:t>
            </w:r>
            <w:r>
              <w:rPr>
                <w:noProof/>
                <w:webHidden/>
              </w:rPr>
              <w:tab/>
            </w:r>
            <w:r>
              <w:rPr>
                <w:noProof/>
                <w:webHidden/>
              </w:rPr>
              <w:fldChar w:fldCharType="begin"/>
            </w:r>
            <w:r>
              <w:rPr>
                <w:noProof/>
                <w:webHidden/>
              </w:rPr>
              <w:instrText xml:space="preserve"> PAGEREF _Toc212567921 \h </w:instrText>
            </w:r>
            <w:r>
              <w:rPr>
                <w:noProof/>
                <w:webHidden/>
              </w:rPr>
            </w:r>
            <w:r>
              <w:rPr>
                <w:noProof/>
                <w:webHidden/>
              </w:rPr>
              <w:fldChar w:fldCharType="separate"/>
            </w:r>
            <w:r>
              <w:rPr>
                <w:noProof/>
                <w:webHidden/>
              </w:rPr>
              <w:t>111</w:t>
            </w:r>
            <w:r>
              <w:rPr>
                <w:noProof/>
                <w:webHidden/>
              </w:rPr>
              <w:fldChar w:fldCharType="end"/>
            </w:r>
          </w:hyperlink>
        </w:p>
        <w:p w14:paraId="58183BAD" w14:textId="466F7299" w:rsidR="00F3228C" w:rsidRDefault="00F3228C" w:rsidP="002C32CE">
          <w:pPr>
            <w:pStyle w:val="TOC4"/>
            <w:rPr>
              <w:rFonts w:asciiTheme="minorHAnsi" w:hAnsiTheme="minorHAnsi" w:cstheme="minorBidi"/>
              <w:color w:val="auto"/>
              <w:kern w:val="2"/>
              <w:sz w:val="24"/>
              <w:szCs w:val="24"/>
              <w14:ligatures w14:val="standardContextual"/>
            </w:rPr>
          </w:pPr>
          <w:hyperlink w:anchor="_Toc212567922" w:history="1">
            <w:r w:rsidRPr="00CF58D3">
              <w:rPr>
                <w:rStyle w:val="Hyperlink"/>
              </w:rPr>
              <w:t>Background</w:t>
            </w:r>
            <w:r>
              <w:rPr>
                <w:webHidden/>
              </w:rPr>
              <w:tab/>
            </w:r>
            <w:r>
              <w:rPr>
                <w:webHidden/>
              </w:rPr>
              <w:fldChar w:fldCharType="begin"/>
            </w:r>
            <w:r>
              <w:rPr>
                <w:webHidden/>
              </w:rPr>
              <w:instrText xml:space="preserve"> PAGEREF _Toc212567922 \h </w:instrText>
            </w:r>
            <w:r>
              <w:rPr>
                <w:webHidden/>
              </w:rPr>
            </w:r>
            <w:r>
              <w:rPr>
                <w:webHidden/>
              </w:rPr>
              <w:fldChar w:fldCharType="separate"/>
            </w:r>
            <w:r>
              <w:rPr>
                <w:webHidden/>
              </w:rPr>
              <w:t>111</w:t>
            </w:r>
            <w:r>
              <w:rPr>
                <w:webHidden/>
              </w:rPr>
              <w:fldChar w:fldCharType="end"/>
            </w:r>
          </w:hyperlink>
        </w:p>
        <w:p w14:paraId="34B64593" w14:textId="67A7610B" w:rsidR="00F3228C" w:rsidRDefault="00F3228C" w:rsidP="002C32CE">
          <w:pPr>
            <w:pStyle w:val="TOC4"/>
            <w:rPr>
              <w:rFonts w:asciiTheme="minorHAnsi" w:hAnsiTheme="minorHAnsi" w:cstheme="minorBidi"/>
              <w:color w:val="auto"/>
              <w:kern w:val="2"/>
              <w:sz w:val="24"/>
              <w:szCs w:val="24"/>
              <w14:ligatures w14:val="standardContextual"/>
            </w:rPr>
          </w:pPr>
          <w:hyperlink w:anchor="_Toc212567923" w:history="1">
            <w:r w:rsidRPr="00CF58D3">
              <w:rPr>
                <w:rStyle w:val="Hyperlink"/>
              </w:rPr>
              <w:t>Evidence to decision tables</w:t>
            </w:r>
            <w:r>
              <w:rPr>
                <w:webHidden/>
              </w:rPr>
              <w:tab/>
            </w:r>
            <w:r>
              <w:rPr>
                <w:webHidden/>
              </w:rPr>
              <w:fldChar w:fldCharType="begin"/>
            </w:r>
            <w:r>
              <w:rPr>
                <w:webHidden/>
              </w:rPr>
              <w:instrText xml:space="preserve"> PAGEREF _Toc212567923 \h </w:instrText>
            </w:r>
            <w:r>
              <w:rPr>
                <w:webHidden/>
              </w:rPr>
            </w:r>
            <w:r>
              <w:rPr>
                <w:webHidden/>
              </w:rPr>
              <w:fldChar w:fldCharType="separate"/>
            </w:r>
            <w:r>
              <w:rPr>
                <w:webHidden/>
              </w:rPr>
              <w:t>114</w:t>
            </w:r>
            <w:r>
              <w:rPr>
                <w:webHidden/>
              </w:rPr>
              <w:fldChar w:fldCharType="end"/>
            </w:r>
          </w:hyperlink>
        </w:p>
        <w:p w14:paraId="4F97D731" w14:textId="6F6C34B3" w:rsidR="00F3228C" w:rsidRDefault="00F3228C" w:rsidP="002C32CE">
          <w:pPr>
            <w:pStyle w:val="TOC4"/>
            <w:rPr>
              <w:rFonts w:asciiTheme="minorHAnsi" w:hAnsiTheme="minorHAnsi" w:cstheme="minorBidi"/>
              <w:color w:val="auto"/>
              <w:kern w:val="2"/>
              <w:sz w:val="24"/>
              <w:szCs w:val="24"/>
              <w14:ligatures w14:val="standardContextual"/>
            </w:rPr>
          </w:pPr>
          <w:hyperlink w:anchor="_Toc212567924" w:history="1">
            <w:r w:rsidRPr="00CF58D3">
              <w:rPr>
                <w:rStyle w:val="Hyperlink"/>
              </w:rPr>
              <w:t>References</w:t>
            </w:r>
            <w:r>
              <w:rPr>
                <w:webHidden/>
              </w:rPr>
              <w:tab/>
            </w:r>
            <w:r>
              <w:rPr>
                <w:webHidden/>
              </w:rPr>
              <w:fldChar w:fldCharType="begin"/>
            </w:r>
            <w:r>
              <w:rPr>
                <w:webHidden/>
              </w:rPr>
              <w:instrText xml:space="preserve"> PAGEREF _Toc212567924 \h </w:instrText>
            </w:r>
            <w:r>
              <w:rPr>
                <w:webHidden/>
              </w:rPr>
            </w:r>
            <w:r>
              <w:rPr>
                <w:webHidden/>
              </w:rPr>
              <w:fldChar w:fldCharType="separate"/>
            </w:r>
            <w:r>
              <w:rPr>
                <w:webHidden/>
              </w:rPr>
              <w:t>148</w:t>
            </w:r>
            <w:r>
              <w:rPr>
                <w:webHidden/>
              </w:rPr>
              <w:fldChar w:fldCharType="end"/>
            </w:r>
          </w:hyperlink>
        </w:p>
        <w:p w14:paraId="0F2754E3" w14:textId="07BA57EA" w:rsidR="00F3228C" w:rsidRDefault="00F3228C" w:rsidP="002C32CE">
          <w:pPr>
            <w:pStyle w:val="TOC3"/>
            <w:rPr>
              <w:rFonts w:asciiTheme="minorHAnsi" w:hAnsiTheme="minorHAnsi" w:cstheme="minorBidi"/>
              <w:noProof/>
              <w:color w:val="auto"/>
              <w:kern w:val="2"/>
              <w:sz w:val="24"/>
              <w:szCs w:val="24"/>
              <w14:ligatures w14:val="standardContextual"/>
            </w:rPr>
          </w:pPr>
          <w:hyperlink w:anchor="_Toc212567925" w:history="1">
            <w:r w:rsidRPr="00CF58D3">
              <w:rPr>
                <w:rStyle w:val="Hyperlink"/>
                <w:noProof/>
              </w:rPr>
              <w:t>Iodine - Upper Levels</w:t>
            </w:r>
            <w:r>
              <w:rPr>
                <w:noProof/>
                <w:webHidden/>
              </w:rPr>
              <w:tab/>
            </w:r>
            <w:r>
              <w:rPr>
                <w:noProof/>
                <w:webHidden/>
              </w:rPr>
              <w:fldChar w:fldCharType="begin"/>
            </w:r>
            <w:r>
              <w:rPr>
                <w:noProof/>
                <w:webHidden/>
              </w:rPr>
              <w:instrText xml:space="preserve"> PAGEREF _Toc212567925 \h </w:instrText>
            </w:r>
            <w:r>
              <w:rPr>
                <w:noProof/>
                <w:webHidden/>
              </w:rPr>
            </w:r>
            <w:r>
              <w:rPr>
                <w:noProof/>
                <w:webHidden/>
              </w:rPr>
              <w:fldChar w:fldCharType="separate"/>
            </w:r>
            <w:r>
              <w:rPr>
                <w:noProof/>
                <w:webHidden/>
              </w:rPr>
              <w:t>155</w:t>
            </w:r>
            <w:r>
              <w:rPr>
                <w:noProof/>
                <w:webHidden/>
              </w:rPr>
              <w:fldChar w:fldCharType="end"/>
            </w:r>
          </w:hyperlink>
        </w:p>
        <w:p w14:paraId="72F03305" w14:textId="1FE7008A" w:rsidR="00F3228C" w:rsidRDefault="00F3228C" w:rsidP="002C32CE">
          <w:pPr>
            <w:pStyle w:val="TOC4"/>
            <w:rPr>
              <w:rFonts w:asciiTheme="minorHAnsi" w:hAnsiTheme="minorHAnsi" w:cstheme="minorBidi"/>
              <w:color w:val="auto"/>
              <w:kern w:val="2"/>
              <w:sz w:val="24"/>
              <w:szCs w:val="24"/>
              <w14:ligatures w14:val="standardContextual"/>
            </w:rPr>
          </w:pPr>
          <w:hyperlink w:anchor="_Toc212567926" w:history="1">
            <w:r w:rsidRPr="00CF58D3">
              <w:rPr>
                <w:rStyle w:val="Hyperlink"/>
              </w:rPr>
              <w:t>Background</w:t>
            </w:r>
            <w:r>
              <w:rPr>
                <w:webHidden/>
              </w:rPr>
              <w:tab/>
            </w:r>
            <w:r>
              <w:rPr>
                <w:webHidden/>
              </w:rPr>
              <w:fldChar w:fldCharType="begin"/>
            </w:r>
            <w:r>
              <w:rPr>
                <w:webHidden/>
              </w:rPr>
              <w:instrText xml:space="preserve"> PAGEREF _Toc212567926 \h </w:instrText>
            </w:r>
            <w:r>
              <w:rPr>
                <w:webHidden/>
              </w:rPr>
            </w:r>
            <w:r>
              <w:rPr>
                <w:webHidden/>
              </w:rPr>
              <w:fldChar w:fldCharType="separate"/>
            </w:r>
            <w:r>
              <w:rPr>
                <w:webHidden/>
              </w:rPr>
              <w:t>155</w:t>
            </w:r>
            <w:r>
              <w:rPr>
                <w:webHidden/>
              </w:rPr>
              <w:fldChar w:fldCharType="end"/>
            </w:r>
          </w:hyperlink>
        </w:p>
        <w:p w14:paraId="03E24D9E" w14:textId="041D376C" w:rsidR="00F3228C" w:rsidRDefault="00F3228C" w:rsidP="002C32CE">
          <w:pPr>
            <w:pStyle w:val="TOC4"/>
            <w:rPr>
              <w:rFonts w:asciiTheme="minorHAnsi" w:hAnsiTheme="minorHAnsi" w:cstheme="minorBidi"/>
              <w:color w:val="auto"/>
              <w:kern w:val="2"/>
              <w:sz w:val="24"/>
              <w:szCs w:val="24"/>
              <w14:ligatures w14:val="standardContextual"/>
            </w:rPr>
          </w:pPr>
          <w:hyperlink w:anchor="_Toc212567927" w:history="1">
            <w:r w:rsidRPr="00CF58D3">
              <w:rPr>
                <w:rStyle w:val="Hyperlink"/>
              </w:rPr>
              <w:t>Evidence to decision table</w:t>
            </w:r>
            <w:r>
              <w:rPr>
                <w:webHidden/>
              </w:rPr>
              <w:tab/>
            </w:r>
            <w:r>
              <w:rPr>
                <w:webHidden/>
              </w:rPr>
              <w:fldChar w:fldCharType="begin"/>
            </w:r>
            <w:r>
              <w:rPr>
                <w:webHidden/>
              </w:rPr>
              <w:instrText xml:space="preserve"> PAGEREF _Toc212567927 \h </w:instrText>
            </w:r>
            <w:r>
              <w:rPr>
                <w:webHidden/>
              </w:rPr>
            </w:r>
            <w:r>
              <w:rPr>
                <w:webHidden/>
              </w:rPr>
              <w:fldChar w:fldCharType="separate"/>
            </w:r>
            <w:r>
              <w:rPr>
                <w:webHidden/>
              </w:rPr>
              <w:t>157</w:t>
            </w:r>
            <w:r>
              <w:rPr>
                <w:webHidden/>
              </w:rPr>
              <w:fldChar w:fldCharType="end"/>
            </w:r>
          </w:hyperlink>
        </w:p>
        <w:p w14:paraId="1BC8512F" w14:textId="1469D908" w:rsidR="00F3228C" w:rsidRDefault="00F3228C" w:rsidP="002C32CE">
          <w:pPr>
            <w:pStyle w:val="TOC4"/>
            <w:rPr>
              <w:rFonts w:asciiTheme="minorHAnsi" w:hAnsiTheme="minorHAnsi" w:cstheme="minorBidi"/>
              <w:color w:val="auto"/>
              <w:kern w:val="2"/>
              <w:sz w:val="24"/>
              <w:szCs w:val="24"/>
              <w14:ligatures w14:val="standardContextual"/>
            </w:rPr>
          </w:pPr>
          <w:hyperlink w:anchor="_Toc212567928" w:history="1">
            <w:r w:rsidRPr="00CF58D3">
              <w:rPr>
                <w:rStyle w:val="Hyperlink"/>
              </w:rPr>
              <w:t>References</w:t>
            </w:r>
            <w:r>
              <w:rPr>
                <w:webHidden/>
              </w:rPr>
              <w:tab/>
            </w:r>
            <w:r>
              <w:rPr>
                <w:webHidden/>
              </w:rPr>
              <w:fldChar w:fldCharType="begin"/>
            </w:r>
            <w:r>
              <w:rPr>
                <w:webHidden/>
              </w:rPr>
              <w:instrText xml:space="preserve"> PAGEREF _Toc212567928 \h </w:instrText>
            </w:r>
            <w:r>
              <w:rPr>
                <w:webHidden/>
              </w:rPr>
            </w:r>
            <w:r>
              <w:rPr>
                <w:webHidden/>
              </w:rPr>
              <w:fldChar w:fldCharType="separate"/>
            </w:r>
            <w:r>
              <w:rPr>
                <w:webHidden/>
              </w:rPr>
              <w:t>185</w:t>
            </w:r>
            <w:r>
              <w:rPr>
                <w:webHidden/>
              </w:rPr>
              <w:fldChar w:fldCharType="end"/>
            </w:r>
          </w:hyperlink>
        </w:p>
        <w:p w14:paraId="01D96D82" w14:textId="6EDF470C" w:rsidR="00F3228C" w:rsidRDefault="00F3228C">
          <w:r>
            <w:rPr>
              <w:rFonts w:ascii="Gotham Medium" w:hAnsi="Gotham Medium"/>
              <w:color w:val="auto"/>
              <w:sz w:val="24"/>
            </w:rPr>
            <w:fldChar w:fldCharType="end"/>
          </w:r>
        </w:p>
      </w:sdtContent>
    </w:sdt>
    <w:p w14:paraId="060BDC28" w14:textId="3528092E" w:rsidR="00FD4979" w:rsidRDefault="00FD4979">
      <w:pPr>
        <w:spacing w:line="240" w:lineRule="atLeast"/>
      </w:pPr>
      <w:r>
        <w:br w:type="page"/>
      </w:r>
    </w:p>
    <w:p w14:paraId="324B7502" w14:textId="77777777" w:rsidR="00FD4979" w:rsidRDefault="00FD4979" w:rsidP="00FD4979">
      <w:pPr>
        <w:pStyle w:val="Heading2"/>
      </w:pPr>
      <w:bookmarkStart w:id="1" w:name="_Toc202956817"/>
      <w:bookmarkStart w:id="2" w:name="_Ref208829563"/>
      <w:bookmarkStart w:id="3" w:name="_Toc210406344"/>
      <w:bookmarkStart w:id="4" w:name="_Toc212567843"/>
      <w:r>
        <w:lastRenderedPageBreak/>
        <w:t>Purpose</w:t>
      </w:r>
      <w:bookmarkEnd w:id="1"/>
      <w:bookmarkEnd w:id="2"/>
      <w:bookmarkEnd w:id="3"/>
      <w:bookmarkEnd w:id="4"/>
    </w:p>
    <w:p w14:paraId="13D4A5EC" w14:textId="77777777" w:rsidR="00FD4979" w:rsidRDefault="00FD4979" w:rsidP="00FD4979">
      <w:r>
        <w:t xml:space="preserve">This report has been prepared to inform the review of the Australian and New Zealand Nutrient Reference Values for iodine. It aims to summarise the body of evidence considered by the Iodine Expert Working Group and document the process for deriving NRV recommendations. </w:t>
      </w:r>
    </w:p>
    <w:p w14:paraId="5FEDFA31" w14:textId="77777777" w:rsidR="00FD4979" w:rsidRDefault="00FD4979" w:rsidP="00FD4979">
      <w:r>
        <w:t>The report includes evidence from the following sources:</w:t>
      </w:r>
    </w:p>
    <w:p w14:paraId="47A41120" w14:textId="77777777" w:rsidR="00FD4979" w:rsidRDefault="00FD4979" w:rsidP="00FD4979">
      <w:pPr>
        <w:pStyle w:val="ListParagraph"/>
        <w:numPr>
          <w:ilvl w:val="0"/>
          <w:numId w:val="24"/>
        </w:numPr>
        <w:spacing w:before="0" w:after="160" w:line="259" w:lineRule="auto"/>
        <w:contextualSpacing/>
      </w:pPr>
      <w:r>
        <w:t>Studies identified during an NHMRC-commissioned review (see ‘</w:t>
      </w:r>
      <w:r>
        <w:fldChar w:fldCharType="begin"/>
      </w:r>
      <w:r>
        <w:instrText xml:space="preserve"> REF _Ref207357749 \h </w:instrText>
      </w:r>
      <w:r>
        <w:fldChar w:fldCharType="separate"/>
      </w:r>
      <w:r>
        <w:t>Appendix D - Outcomes from review of primary studies</w:t>
      </w:r>
      <w:r>
        <w:fldChar w:fldCharType="end"/>
      </w:r>
      <w:r>
        <w:t>’)</w:t>
      </w:r>
    </w:p>
    <w:p w14:paraId="7C31E4F8" w14:textId="77777777" w:rsidR="00FD4979" w:rsidRDefault="00FD4979" w:rsidP="00FD4979">
      <w:pPr>
        <w:pStyle w:val="ListParagraph"/>
        <w:numPr>
          <w:ilvl w:val="0"/>
          <w:numId w:val="24"/>
        </w:numPr>
        <w:spacing w:before="0" w:after="160" w:line="259" w:lineRule="auto"/>
        <w:contextualSpacing/>
      </w:pPr>
      <w:r>
        <w:t>Evidence reviews commissioned or conducted by comparable international bodies for the purposes of establishing iodine nutrient reference values:</w:t>
      </w:r>
    </w:p>
    <w:p w14:paraId="2129F0F6" w14:textId="77777777" w:rsidR="00FD4979" w:rsidRDefault="00FD4979" w:rsidP="00FD4979">
      <w:pPr>
        <w:pStyle w:val="ListParagraph"/>
        <w:numPr>
          <w:ilvl w:val="1"/>
          <w:numId w:val="24"/>
        </w:numPr>
        <w:spacing w:before="0" w:after="160" w:line="259" w:lineRule="auto"/>
        <w:contextualSpacing/>
      </w:pPr>
      <w:r>
        <w:t xml:space="preserve">Nordic Nutrition Recommendations (2023) - </w:t>
      </w:r>
      <w:r>
        <w:rPr>
          <w:i/>
          <w:iCs/>
        </w:rPr>
        <w:t>Iodine: a scoping review for Nordic Nutrition Recommendations 2023 (</w:t>
      </w:r>
      <w:proofErr w:type="spellStart"/>
      <w:r>
        <w:t>Blomhoff</w:t>
      </w:r>
      <w:proofErr w:type="spellEnd"/>
      <w:r>
        <w:t xml:space="preserve"> et al. 2023)</w:t>
      </w:r>
    </w:p>
    <w:p w14:paraId="610DD260" w14:textId="77777777" w:rsidR="00FD4979" w:rsidRDefault="00FD4979" w:rsidP="00FD4979">
      <w:pPr>
        <w:pStyle w:val="ListParagraph"/>
        <w:numPr>
          <w:ilvl w:val="1"/>
          <w:numId w:val="24"/>
        </w:numPr>
        <w:spacing w:before="0" w:after="160" w:line="259" w:lineRule="auto"/>
        <w:contextualSpacing/>
      </w:pPr>
      <w:r>
        <w:t xml:space="preserve">EFSA (2014) </w:t>
      </w:r>
      <w:r w:rsidRPr="00AC0431">
        <w:rPr>
          <w:i/>
          <w:iCs/>
        </w:rPr>
        <w:t>- Scientific Opinion on Dietary Reference Values for Iodine</w:t>
      </w:r>
      <w:r>
        <w:t xml:space="preserve"> </w:t>
      </w:r>
    </w:p>
    <w:p w14:paraId="6A4C91E0" w14:textId="77777777" w:rsidR="00FD4979" w:rsidRDefault="00FD4979" w:rsidP="00FD4979">
      <w:pPr>
        <w:pStyle w:val="ListParagraph"/>
        <w:numPr>
          <w:ilvl w:val="1"/>
          <w:numId w:val="24"/>
        </w:numPr>
        <w:spacing w:before="0" w:after="160" w:line="259" w:lineRule="auto"/>
        <w:contextualSpacing/>
      </w:pPr>
      <w:r>
        <w:t xml:space="preserve">EURRECA (2013) - </w:t>
      </w:r>
      <w:r w:rsidRPr="00AC0431">
        <w:rPr>
          <w:i/>
          <w:iCs/>
        </w:rPr>
        <w:t xml:space="preserve">Estimating Iodine Requirements for Deriving Dietary Reference Values </w:t>
      </w:r>
      <w:r>
        <w:t>(</w:t>
      </w:r>
      <w:r w:rsidRPr="00213323">
        <w:t>Ristić-Medić</w:t>
      </w:r>
      <w:r>
        <w:t xml:space="preserve"> 2013)</w:t>
      </w:r>
    </w:p>
    <w:p w14:paraId="168538E3" w14:textId="77777777" w:rsidR="00FD4979" w:rsidRDefault="00FD4979" w:rsidP="00FD4979">
      <w:pPr>
        <w:pStyle w:val="ListParagraph"/>
        <w:numPr>
          <w:ilvl w:val="0"/>
          <w:numId w:val="24"/>
        </w:numPr>
        <w:spacing w:before="0" w:after="160" w:line="259" w:lineRule="auto"/>
        <w:contextualSpacing/>
      </w:pPr>
      <w:r>
        <w:t>Other reports published by key international bodies relevant to establishing iodine nutrient reference values:</w:t>
      </w:r>
    </w:p>
    <w:p w14:paraId="0FE40F45" w14:textId="77777777" w:rsidR="00FD4979" w:rsidRDefault="00FD4979" w:rsidP="00FD4979">
      <w:pPr>
        <w:pStyle w:val="ListParagraph"/>
        <w:numPr>
          <w:ilvl w:val="1"/>
          <w:numId w:val="24"/>
        </w:numPr>
        <w:spacing w:before="0" w:after="160" w:line="259" w:lineRule="auto"/>
        <w:contextualSpacing/>
      </w:pPr>
      <w:r>
        <w:t xml:space="preserve">UK SACN </w:t>
      </w:r>
    </w:p>
    <w:p w14:paraId="3B2A8363" w14:textId="77777777" w:rsidR="00FD4979" w:rsidRDefault="00FD4979" w:rsidP="00FD4979">
      <w:pPr>
        <w:pStyle w:val="ListParagraph"/>
        <w:numPr>
          <w:ilvl w:val="2"/>
          <w:numId w:val="24"/>
        </w:numPr>
        <w:spacing w:before="0" w:after="160" w:line="259" w:lineRule="auto"/>
        <w:contextualSpacing/>
      </w:pPr>
      <w:r w:rsidRPr="00570CC9">
        <w:rPr>
          <w:i/>
          <w:iCs/>
        </w:rPr>
        <w:t>SACN Statement on Iodine and Health</w:t>
      </w:r>
      <w:r w:rsidRPr="00570CC9">
        <w:t xml:space="preserve"> </w:t>
      </w:r>
      <w:r>
        <w:t>(2014)</w:t>
      </w:r>
    </w:p>
    <w:p w14:paraId="68FF4514" w14:textId="77777777" w:rsidR="00FD4979" w:rsidRDefault="00FD4979" w:rsidP="00FD4979">
      <w:pPr>
        <w:pStyle w:val="ListParagraph"/>
        <w:numPr>
          <w:ilvl w:val="2"/>
          <w:numId w:val="24"/>
        </w:numPr>
        <w:spacing w:before="0" w:after="160" w:line="259" w:lineRule="auto"/>
        <w:contextualSpacing/>
      </w:pPr>
      <w:r w:rsidRPr="00A51045">
        <w:rPr>
          <w:i/>
          <w:iCs/>
        </w:rPr>
        <w:t xml:space="preserve">Statement on the potential effects that excess iodine intake may have during preconception, pregnancy and lactation </w:t>
      </w:r>
      <w:r>
        <w:t>(2022)</w:t>
      </w:r>
    </w:p>
    <w:p w14:paraId="240A017C" w14:textId="77777777" w:rsidR="00FD4979" w:rsidRDefault="00FD4979" w:rsidP="00FD4979">
      <w:pPr>
        <w:pStyle w:val="ListParagraph"/>
        <w:numPr>
          <w:ilvl w:val="1"/>
          <w:numId w:val="24"/>
        </w:numPr>
        <w:spacing w:before="0" w:after="160" w:line="259" w:lineRule="auto"/>
        <w:contextualSpacing/>
      </w:pPr>
      <w:r>
        <w:t>WHO &amp; FAO (2004</w:t>
      </w:r>
      <w:r w:rsidRPr="00570CC9">
        <w:t>)</w:t>
      </w:r>
      <w:r>
        <w:rPr>
          <w:i/>
          <w:iCs/>
        </w:rPr>
        <w:t xml:space="preserve"> -</w:t>
      </w:r>
      <w:r w:rsidRPr="00570CC9">
        <w:rPr>
          <w:i/>
          <w:iCs/>
        </w:rPr>
        <w:t xml:space="preserve"> Vitamin and mineral requirements in human nutrition</w:t>
      </w:r>
    </w:p>
    <w:p w14:paraId="2EE7B722" w14:textId="77777777" w:rsidR="00FD4979" w:rsidRDefault="00FD4979" w:rsidP="00FD4979">
      <w:pPr>
        <w:pStyle w:val="ListParagraph"/>
        <w:numPr>
          <w:ilvl w:val="1"/>
          <w:numId w:val="24"/>
        </w:numPr>
        <w:spacing w:before="0" w:after="160" w:line="259" w:lineRule="auto"/>
        <w:contextualSpacing/>
      </w:pPr>
      <w:r>
        <w:t xml:space="preserve">WHO (2013) - </w:t>
      </w:r>
      <w:r w:rsidRPr="00EB06FD">
        <w:rPr>
          <w:i/>
          <w:iCs/>
        </w:rPr>
        <w:t>Urinary iodine concentrations for determining iodine status in populations</w:t>
      </w:r>
    </w:p>
    <w:p w14:paraId="0A6958F7" w14:textId="77777777" w:rsidR="00FD4979" w:rsidRDefault="00FD4979" w:rsidP="00FD4979">
      <w:pPr>
        <w:pStyle w:val="ListParagraph"/>
        <w:numPr>
          <w:ilvl w:val="0"/>
          <w:numId w:val="24"/>
        </w:numPr>
        <w:spacing w:before="0" w:after="160" w:line="259" w:lineRule="auto"/>
        <w:contextualSpacing/>
      </w:pPr>
      <w:r>
        <w:t>Relevant systematic reviews published within the previous 10 years, with an emphasis on high quality, more recent systematic reviews (see ‘</w:t>
      </w:r>
      <w:r>
        <w:fldChar w:fldCharType="begin"/>
      </w:r>
      <w:r>
        <w:instrText xml:space="preserve"> REF _Ref208829459 \h </w:instrText>
      </w:r>
      <w:r>
        <w:fldChar w:fldCharType="separate"/>
      </w:r>
      <w:r>
        <w:t>Appendix C</w:t>
      </w:r>
      <w:r>
        <w:fldChar w:fldCharType="end"/>
      </w:r>
      <w:r>
        <w:t>’</w:t>
      </w:r>
    </w:p>
    <w:p w14:paraId="0686A565" w14:textId="77777777" w:rsidR="00FD4979" w:rsidRDefault="00FD4979" w:rsidP="00FD4979">
      <w:pPr>
        <w:pStyle w:val="ListParagraph"/>
        <w:numPr>
          <w:ilvl w:val="0"/>
          <w:numId w:val="24"/>
        </w:numPr>
        <w:spacing w:before="0" w:after="160" w:line="259" w:lineRule="auto"/>
        <w:contextualSpacing/>
      </w:pPr>
      <w:r>
        <w:t>Primary evidence or data relevant to the Australian and New Zealand context</w:t>
      </w:r>
    </w:p>
    <w:p w14:paraId="7683C6DD" w14:textId="77777777" w:rsidR="00FD4979" w:rsidRPr="005523E9" w:rsidRDefault="00FD4979" w:rsidP="00FD4979">
      <w:r>
        <w:t>Further information about the approach for identifying evidence is presented in ‘</w:t>
      </w:r>
      <w:r>
        <w:fldChar w:fldCharType="begin"/>
      </w:r>
      <w:r>
        <w:instrText xml:space="preserve"> REF _Ref208829478 \h </w:instrText>
      </w:r>
      <w:r>
        <w:fldChar w:fldCharType="separate"/>
      </w:r>
      <w:r>
        <w:t>Appendix A - Methods for identifying evidence</w:t>
      </w:r>
      <w:r>
        <w:fldChar w:fldCharType="end"/>
      </w:r>
      <w:r>
        <w:t xml:space="preserve">’. </w:t>
      </w:r>
    </w:p>
    <w:p w14:paraId="38710ED0" w14:textId="77777777" w:rsidR="00FD4979" w:rsidRPr="00084330" w:rsidRDefault="00FD4979" w:rsidP="00FD4979">
      <w:pPr>
        <w:rPr>
          <w:rFonts w:asciiTheme="majorHAnsi" w:eastAsiaTheme="majorEastAsia" w:hAnsiTheme="majorHAnsi" w:cstheme="majorBidi"/>
          <w:color w:val="379AC4" w:themeColor="accent1" w:themeShade="BF"/>
          <w:sz w:val="40"/>
          <w:szCs w:val="40"/>
        </w:rPr>
      </w:pPr>
      <w:r w:rsidRPr="00084330">
        <w:br w:type="page"/>
      </w:r>
    </w:p>
    <w:p w14:paraId="64520539" w14:textId="77777777" w:rsidR="00FD4979" w:rsidRPr="00923AE9" w:rsidRDefault="00FD4979" w:rsidP="00FD4979">
      <w:pPr>
        <w:pStyle w:val="Heading2"/>
      </w:pPr>
      <w:bookmarkStart w:id="5" w:name="_Toc202956818"/>
      <w:bookmarkStart w:id="6" w:name="_Toc210406345"/>
      <w:bookmarkStart w:id="7" w:name="_Toc212567844"/>
      <w:r w:rsidRPr="00923AE9">
        <w:lastRenderedPageBreak/>
        <w:t>Iodine background</w:t>
      </w:r>
      <w:bookmarkEnd w:id="5"/>
      <w:bookmarkEnd w:id="6"/>
      <w:bookmarkEnd w:id="7"/>
    </w:p>
    <w:p w14:paraId="399F365F" w14:textId="77777777" w:rsidR="00FD4979" w:rsidRPr="003076F8" w:rsidRDefault="00FD4979" w:rsidP="00FD4979">
      <w:pPr>
        <w:pStyle w:val="Heading3"/>
      </w:pPr>
      <w:bookmarkStart w:id="8" w:name="_Toc202956819"/>
      <w:bookmarkStart w:id="9" w:name="_Toc210406346"/>
      <w:bookmarkStart w:id="10" w:name="_Toc212567845"/>
      <w:r w:rsidRPr="003076F8">
        <w:t>Function, physiology and metabolism</w:t>
      </w:r>
      <w:bookmarkEnd w:id="8"/>
      <w:bookmarkEnd w:id="9"/>
      <w:bookmarkEnd w:id="10"/>
    </w:p>
    <w:p w14:paraId="2BF5AC1C" w14:textId="77777777" w:rsidR="00FD4979" w:rsidRDefault="00FD4979" w:rsidP="00FD4979">
      <w:r>
        <w:t xml:space="preserve">Iodine is a mineral that is found in soil and ocean waters and is naturally present in certain foods as inorganic iodide. It is </w:t>
      </w:r>
      <w:r w:rsidRPr="003076F8">
        <w:t xml:space="preserve">an essential nutrient required for synthesis of thyroid hormones such as thyroxine </w:t>
      </w:r>
      <w:r>
        <w:t>(</w:t>
      </w:r>
      <w:r w:rsidRPr="003076F8">
        <w:t>T4</w:t>
      </w:r>
      <w:r>
        <w:t>)</w:t>
      </w:r>
      <w:r w:rsidRPr="003076F8">
        <w:t xml:space="preserve"> and </w:t>
      </w:r>
      <w:r w:rsidRPr="00FD2B9A">
        <w:t>triiodothyronine (</w:t>
      </w:r>
      <w:r w:rsidRPr="003076F8">
        <w:t>T3</w:t>
      </w:r>
      <w:r>
        <w:t>)</w:t>
      </w:r>
      <w:r w:rsidRPr="003076F8">
        <w:t>. These hormones are involved in regulating cellular processes including metabolism, cellular oxidation and thermoregulation</w:t>
      </w:r>
      <w:r>
        <w:t>. They also play an essential role in early development, growth and maturation of organs including the brain, muscles, heart, pituitary gland, kidneys reproductive system and bones (EFSA 2014). Consequently, it is imperative that individuals are iodine sufficient during pregnancy and lactation, to ensure healthy growth and development.</w:t>
      </w:r>
    </w:p>
    <w:p w14:paraId="0AD88099" w14:textId="77777777" w:rsidR="00FD4979" w:rsidRDefault="00FD4979" w:rsidP="00FD4979">
      <w:pPr>
        <w:rPr>
          <w:b/>
          <w:bCs/>
        </w:rPr>
      </w:pPr>
      <w:r w:rsidRPr="003076F8">
        <w:t>Iodine ingested from food is reduced to iodide in the gut, with absorption occurring primarily in the small intestine. Iodide transport into the thyroid gland and extrathyroidal tissue is mediated by an intrinsic plasma membrane protein known as the sodium/iodide symporter (NIS) (</w:t>
      </w:r>
      <w:proofErr w:type="spellStart"/>
      <w:r w:rsidRPr="003076F8">
        <w:t>Dohán</w:t>
      </w:r>
      <w:proofErr w:type="spellEnd"/>
      <w:r w:rsidRPr="003076F8">
        <w:t xml:space="preserve"> et al 2003). </w:t>
      </w:r>
      <w:r>
        <w:t xml:space="preserve">Once in the thyroid gland, iodide </w:t>
      </w:r>
      <w:r w:rsidRPr="00145E67">
        <w:t>is concentrated</w:t>
      </w:r>
      <w:r>
        <w:t xml:space="preserve">, </w:t>
      </w:r>
      <w:r w:rsidRPr="00145E67">
        <w:t>converted to iodine and combined with tyrosine residues of thyroglobulin</w:t>
      </w:r>
      <w:r>
        <w:t xml:space="preserve"> (</w:t>
      </w:r>
      <w:proofErr w:type="spellStart"/>
      <w:r>
        <w:t>Tg</w:t>
      </w:r>
      <w:proofErr w:type="spellEnd"/>
      <w:r>
        <w:t xml:space="preserve">) to form iodinated </w:t>
      </w:r>
      <w:proofErr w:type="spellStart"/>
      <w:r>
        <w:t>Tg</w:t>
      </w:r>
      <w:proofErr w:type="spellEnd"/>
      <w:r w:rsidRPr="00145E67">
        <w:t xml:space="preserve">.  </w:t>
      </w:r>
      <w:r>
        <w:t xml:space="preserve">Iodinated </w:t>
      </w:r>
      <w:proofErr w:type="spellStart"/>
      <w:r>
        <w:t>Tg</w:t>
      </w:r>
      <w:proofErr w:type="spellEnd"/>
      <w:r>
        <w:t xml:space="preserve"> accumulates in the thyroid, providing for the storage of iodine and </w:t>
      </w:r>
      <w:proofErr w:type="spellStart"/>
      <w:r>
        <w:t>Tg</w:t>
      </w:r>
      <w:proofErr w:type="spellEnd"/>
      <w:r>
        <w:t xml:space="preserve"> - a precursor for thyroid hormone synthesis. </w:t>
      </w:r>
      <w:bookmarkStart w:id="11" w:name="_Toc202956820"/>
      <w:r>
        <w:t xml:space="preserve">This complex process - involving the thyroid, pituitary, brain and peripheral tissues - involves removal of iodinated </w:t>
      </w:r>
      <w:proofErr w:type="spellStart"/>
      <w:r>
        <w:t>tyrosines</w:t>
      </w:r>
      <w:proofErr w:type="spellEnd"/>
      <w:r>
        <w:t xml:space="preserve"> from </w:t>
      </w:r>
      <w:proofErr w:type="spellStart"/>
      <w:r>
        <w:t>Tg</w:t>
      </w:r>
      <w:proofErr w:type="spellEnd"/>
      <w:r>
        <w:t xml:space="preserve"> via proteolytic enzymes, releasing T4 into circulation </w:t>
      </w:r>
      <w:r w:rsidRPr="006170C4">
        <w:t>(Kidd et al 1974)</w:t>
      </w:r>
      <w:r>
        <w:t>. Deiodination of T4 then produces T3 or reverse T3 - an inactive form. E</w:t>
      </w:r>
      <w:r w:rsidRPr="000C51B2">
        <w:t xml:space="preserve">xcess iodine is excreted </w:t>
      </w:r>
      <w:r>
        <w:t xml:space="preserve">through </w:t>
      </w:r>
      <w:r w:rsidRPr="000C51B2">
        <w:t xml:space="preserve">urine, with small amounts </w:t>
      </w:r>
      <w:r>
        <w:t xml:space="preserve">also excreted via </w:t>
      </w:r>
      <w:r w:rsidRPr="000C51B2">
        <w:t>faeces and sweat (Lamberg 1993).</w:t>
      </w:r>
      <w:r w:rsidRPr="000C51B2">
        <w:rPr>
          <w:b/>
          <w:bCs/>
        </w:rPr>
        <w:t xml:space="preserve"> </w:t>
      </w:r>
    </w:p>
    <w:p w14:paraId="2ECA1991" w14:textId="77777777" w:rsidR="00FD4979" w:rsidRPr="000B079E" w:rsidRDefault="00FD4979" w:rsidP="00FD4979">
      <w:pPr>
        <w:pStyle w:val="Heading3"/>
      </w:pPr>
      <w:bookmarkStart w:id="12" w:name="_Toc210406347"/>
      <w:bookmarkStart w:id="13" w:name="_Toc212567846"/>
      <w:r w:rsidRPr="001425AD">
        <w:t>Dietary sources of iodine</w:t>
      </w:r>
      <w:bookmarkEnd w:id="11"/>
      <w:bookmarkEnd w:id="12"/>
      <w:bookmarkEnd w:id="13"/>
      <w:r>
        <w:tab/>
      </w:r>
    </w:p>
    <w:p w14:paraId="1A439B0E" w14:textId="77777777" w:rsidR="00FD4979" w:rsidRDefault="00FD4979" w:rsidP="00FD4979">
      <w:r>
        <w:t xml:space="preserve">Iodine is found in both food and water, predominantly as iodide. The use of sanitising solutions and </w:t>
      </w:r>
      <w:proofErr w:type="spellStart"/>
      <w:r>
        <w:t>iodophores</w:t>
      </w:r>
      <w:proofErr w:type="spellEnd"/>
      <w:r>
        <w:t xml:space="preserve"> during food production may also contribute significant amounts of iodine in the food supply (EFSA 2014). The level of iodine in cereal and grain foods varies depending on the iodine content of soil in which the food is grown. A 2024 Australian study identified that t</w:t>
      </w:r>
      <w:r w:rsidRPr="00B80521">
        <w:t>he elevation</w:t>
      </w:r>
      <w:r>
        <w:t xml:space="preserve"> and </w:t>
      </w:r>
      <w:r w:rsidRPr="00B80521">
        <w:t>region (State)</w:t>
      </w:r>
      <w:r>
        <w:t xml:space="preserve"> in which Australian wheat was grown predicted iodine concentration, along with r</w:t>
      </w:r>
      <w:r w:rsidRPr="00B80521">
        <w:t>ainfall and topsoil texture</w:t>
      </w:r>
      <w:r>
        <w:t xml:space="preserve"> interactions (Penrose et al 2024)</w:t>
      </w:r>
      <w:r w:rsidRPr="00B80521">
        <w:t>.</w:t>
      </w:r>
      <w:r>
        <w:t xml:space="preserve"> Iodine is water-soluble and leaches out of surface soils in geographical areas prone to high rain, snow fall or floods (Küpper et al 2011). Consequently, low soil iodine levels are typical for New Zealand and in some parts of Australia such as Tasmania (AIHW 2016). </w:t>
      </w:r>
    </w:p>
    <w:p w14:paraId="2EA03796" w14:textId="77777777" w:rsidR="00FD4979" w:rsidRDefault="00FD4979" w:rsidP="00FD4979">
      <w:r>
        <w:t>Iodine-rich foods include sea and marine products such as fish, shellfish and seaweed (</w:t>
      </w:r>
      <w:r w:rsidRPr="00706A04">
        <w:t>Barkley and Thompson, 1960</w:t>
      </w:r>
      <w:r>
        <w:t xml:space="preserve">, </w:t>
      </w:r>
      <w:proofErr w:type="spellStart"/>
      <w:r>
        <w:t>Blikra</w:t>
      </w:r>
      <w:proofErr w:type="spellEnd"/>
      <w:r>
        <w:t xml:space="preserve"> et al 2022), eggs and milk and their products, and iodised salt (EFSA 2014). The levels of iodine in animal products such as meat, dairy and eggs varies based on the iodine content of feed. Australian food composition data suggests that the predominant sources of iodine in food include iodised salt, seafood, egg and dairy products</w:t>
      </w:r>
      <w:r>
        <w:rPr>
          <w:rStyle w:val="FootnoteReference"/>
        </w:rPr>
        <w:footnoteReference w:id="1"/>
      </w:r>
      <w:r>
        <w:t>, although iodine levels in the latter have declined with ceasing use of iodine-based sanitisers in dairy production (AIHW 2016).</w:t>
      </w:r>
    </w:p>
    <w:p w14:paraId="5381449E" w14:textId="77777777" w:rsidR="00FD4979" w:rsidRDefault="00FD4979" w:rsidP="00FD4979">
      <w:r>
        <w:lastRenderedPageBreak/>
        <w:t xml:space="preserve">In 2009, Australia and New Zealand introduced mandatory fortification requirements for the addition of iodine (via iodised salt) to bread. Subsequent analytical surveys conducted post-fortification found that cereal and cereal products were the main contributor to estimated iodine intake in Australians aged 17 and older, and the second greatest contributor to dietary iodine in children aged 2 - 16 years (FSANZ, 2016). Similarly, the 2023 </w:t>
      </w:r>
      <w:r w:rsidRPr="00505E6A">
        <w:t xml:space="preserve">National Nutrition and Physical Activity Survey (NNPAS) </w:t>
      </w:r>
      <w:r>
        <w:t xml:space="preserve">identified cereals (18.1%), milk (13.7%) and bread/bread rolls (11.6%) as major contributors to iodine intake (ABS, 2025c). These findings were echoed by New Zealand analyses, which found that bread was the main contributor to dietary iodine in children aged 5 to 14 post-fortification (NZ MPI, 2014, </w:t>
      </w:r>
      <w:proofErr w:type="spellStart"/>
      <w:r>
        <w:t>Skeaff</w:t>
      </w:r>
      <w:proofErr w:type="spellEnd"/>
      <w:r>
        <w:t xml:space="preserve"> &amp; Lonsdale-Cooper, 2013). </w:t>
      </w:r>
    </w:p>
    <w:p w14:paraId="2132340C" w14:textId="77777777" w:rsidR="00FD4979" w:rsidRDefault="00FD4979" w:rsidP="00FD4979">
      <w:pPr>
        <w:pStyle w:val="Heading3"/>
      </w:pPr>
      <w:bookmarkStart w:id="14" w:name="_Toc202956821"/>
      <w:bookmarkStart w:id="15" w:name="_Toc210406348"/>
      <w:bookmarkStart w:id="16" w:name="_Toc212567847"/>
      <w:r w:rsidRPr="001425AD">
        <w:t>Bioavailability factors</w:t>
      </w:r>
      <w:bookmarkEnd w:id="14"/>
      <w:bookmarkEnd w:id="15"/>
      <w:bookmarkEnd w:id="16"/>
      <w:r w:rsidRPr="001425AD">
        <w:t xml:space="preserve"> </w:t>
      </w:r>
    </w:p>
    <w:p w14:paraId="1E037140" w14:textId="77777777" w:rsidR="00FD4979" w:rsidRDefault="00FD4979" w:rsidP="00FD4979">
      <w:r>
        <w:t xml:space="preserve">Previous work has estimated the absorption efficiency of iodine at between 90 and 92% (Thomson et al 1996, IOM 2001, Jahreis et al 2001, </w:t>
      </w:r>
      <w:proofErr w:type="spellStart"/>
      <w:r>
        <w:t>Aquaron</w:t>
      </w:r>
      <w:proofErr w:type="spellEnd"/>
      <w:r>
        <w:t xml:space="preserve"> et al 2002, EFSA 2014). However, iodine absorption is not fully understood, and evidence suggests that this assumption may not hold where intakes are very high (UK SACN 2014). </w:t>
      </w:r>
    </w:p>
    <w:p w14:paraId="051C6345" w14:textId="77777777" w:rsidR="00FD4979" w:rsidRDefault="00FD4979" w:rsidP="00FD4979">
      <w:r>
        <w:t>A range of factors have been identified that reduce the absorption of iodide, including humic acid in drinking water (Gaitan 1990), and thiocyanates, isothiocyanates, nitrates, fluorides, calcium, magnesium and iron present in food or water (</w:t>
      </w:r>
      <w:proofErr w:type="spellStart"/>
      <w:r>
        <w:t>Ubom</w:t>
      </w:r>
      <w:proofErr w:type="spellEnd"/>
      <w:r>
        <w:t xml:space="preserve"> 1991). Perchlorate compounds in food and water also reduce iodine uptake (Lisco et al 2020). However, the 24</w:t>
      </w:r>
      <w:r w:rsidRPr="00674287">
        <w:rPr>
          <w:vertAlign w:val="superscript"/>
        </w:rPr>
        <w:t>th</w:t>
      </w:r>
      <w:r>
        <w:t xml:space="preserve"> Australian Total Diet Study did not detect perchlorates in any tap water samples across the eight jurisdictions, leading FSANZ to conclude that perchlorate contamination is unlikely to pose an appreciable health risk in Australia (FSANZ 2014).</w:t>
      </w:r>
    </w:p>
    <w:p w14:paraId="2D18F854" w14:textId="77777777" w:rsidR="00FD4979" w:rsidRDefault="00FD4979" w:rsidP="00FD4979">
      <w:r>
        <w:t xml:space="preserve">Some compounds - known as goitrogens - impair or prevent iodine transport in the body, resulting in impaired iodide uptake, iodine deficiency and - subsequently - goitre formation. Known goitrogens in food include cassava, millet, maize, and cruciferous vegetables (Gibson, 1991). However, the consumption of goitrogenic foods is not expected to materially impact iodine intake, where iodine intake is adequate and for those who consume a wide variety of foods </w:t>
      </w:r>
      <w:r w:rsidRPr="00602934">
        <w:t>(Zimmermann et al. 2008).</w:t>
      </w:r>
    </w:p>
    <w:p w14:paraId="31FB7314" w14:textId="77777777" w:rsidR="00FD4979" w:rsidRDefault="00FD4979" w:rsidP="00FD4979">
      <w:r>
        <w:t>Thiocyanates in tobacco cigarette smoke are also goitrogenic, competitively inhibiting iodine uptake, and impacting thyroid hormone production (</w:t>
      </w:r>
      <w:proofErr w:type="spellStart"/>
      <w:r w:rsidRPr="00B236D2">
        <w:t>Colzani</w:t>
      </w:r>
      <w:proofErr w:type="spellEnd"/>
      <w:r w:rsidRPr="00B236D2">
        <w:t xml:space="preserve"> </w:t>
      </w:r>
      <w:r>
        <w:t>et al 1998, Knudsen et al 2002, Shields et al 2009).</w:t>
      </w:r>
      <w:r w:rsidRPr="00FB0FAC">
        <w:t xml:space="preserve"> </w:t>
      </w:r>
      <w:r>
        <w:t xml:space="preserve">Electronic cigarette users may be similarly impacted, with studies reporting levels of thiocyanates in saliva </w:t>
      </w:r>
      <w:proofErr w:type="gramStart"/>
      <w:r>
        <w:t>similar to</w:t>
      </w:r>
      <w:proofErr w:type="gramEnd"/>
      <w:r>
        <w:t xml:space="preserve"> that of tobacco cigarette smokers (Flieger et al. 2019) </w:t>
      </w:r>
    </w:p>
    <w:p w14:paraId="167A8176" w14:textId="77777777" w:rsidR="00FD4979" w:rsidRDefault="00FD4979" w:rsidP="00FD4979">
      <w:r>
        <w:rPr>
          <w:rFonts w:eastAsia="Times New Roman"/>
          <w:szCs w:val="20"/>
        </w:rPr>
        <w:t xml:space="preserve">Deficiencies in some micronutrients - including selenium, iron and zinc- have been reported to affect iodine absorption (Yang et al 1997, </w:t>
      </w:r>
      <w:proofErr w:type="spellStart"/>
      <w:r>
        <w:rPr>
          <w:rFonts w:eastAsia="Times New Roman"/>
          <w:szCs w:val="20"/>
        </w:rPr>
        <w:t>Kohrle</w:t>
      </w:r>
      <w:proofErr w:type="spellEnd"/>
      <w:r>
        <w:rPr>
          <w:rFonts w:eastAsia="Times New Roman"/>
          <w:szCs w:val="20"/>
        </w:rPr>
        <w:t xml:space="preserve"> 1999, Thomson 2004, Zimmermann et al 2000, O’Kane et al 2018). </w:t>
      </w:r>
      <w:r>
        <w:t>More broadly, other nutritional factors may affect thyroid metabolism or impair iodide uptake. For example, reduced t</w:t>
      </w:r>
      <w:r w:rsidRPr="00D15AB5">
        <w:t>hyroid peroxidase</w:t>
      </w:r>
      <w:r>
        <w:t xml:space="preserve"> (TPO) enzyme activity due to iron or selenium deficiency, or impairment of T3 and T4 function due to vitamin A deficiency (Hess 2010). </w:t>
      </w:r>
    </w:p>
    <w:p w14:paraId="74C5525F" w14:textId="77777777" w:rsidR="00FD4979" w:rsidRDefault="00FD4979" w:rsidP="00FD4979">
      <w:r w:rsidRPr="00A56A34">
        <w:t xml:space="preserve">The bioavailability of iodine is </w:t>
      </w:r>
      <w:r>
        <w:t xml:space="preserve">also mediated by </w:t>
      </w:r>
      <w:r w:rsidRPr="00A56A34">
        <w:t>intake</w:t>
      </w:r>
      <w:r>
        <w:t xml:space="preserve">, with high iodine intakes associated with reduced thyroid utilisation of iodine </w:t>
      </w:r>
      <w:r w:rsidRPr="00366021">
        <w:t>(Teng et al. 2011)</w:t>
      </w:r>
      <w:r>
        <w:t>, likely achieved through downregulation of active transport proteins that deliver iodide into the thyroid (Eng et al 2001)</w:t>
      </w:r>
      <w:r w:rsidRPr="00A56A34">
        <w:t xml:space="preserve">. </w:t>
      </w:r>
    </w:p>
    <w:p w14:paraId="50F603CB" w14:textId="77777777" w:rsidR="00FD4979" w:rsidRDefault="00FD4979" w:rsidP="00FD4979">
      <w:pPr>
        <w:pStyle w:val="Heading3"/>
      </w:pPr>
      <w:bookmarkStart w:id="17" w:name="_Toc202956822"/>
      <w:bookmarkStart w:id="18" w:name="_Toc210406349"/>
      <w:bookmarkStart w:id="19" w:name="_Toc212567848"/>
      <w:r>
        <w:lastRenderedPageBreak/>
        <w:t>Health effects of insufficiency</w:t>
      </w:r>
      <w:bookmarkEnd w:id="17"/>
      <w:r>
        <w:t xml:space="preserve"> or excess</w:t>
      </w:r>
      <w:bookmarkEnd w:id="18"/>
      <w:bookmarkEnd w:id="19"/>
    </w:p>
    <w:p w14:paraId="08FC5133" w14:textId="77777777" w:rsidR="00FD4979" w:rsidRDefault="00FD4979" w:rsidP="00FD4979">
      <w:bookmarkStart w:id="20" w:name="_Toc202956823"/>
      <w:r>
        <w:t>Both iodine insufficiency and excess are associated with thyroid dysfunction and disease, including sub-clinical and overt hyper- or hypo-</w:t>
      </w:r>
      <w:proofErr w:type="spellStart"/>
      <w:r>
        <w:t>thyroidism</w:t>
      </w:r>
      <w:proofErr w:type="spellEnd"/>
      <w:r>
        <w:t xml:space="preserve">, goitre, and potentially thyroid cancer and thyroid autoimmunity (UK SACN 2014). </w:t>
      </w:r>
    </w:p>
    <w:p w14:paraId="52C3CBD2" w14:textId="77777777" w:rsidR="00FD4979" w:rsidRPr="001635C7" w:rsidRDefault="00FD4979" w:rsidP="00FD4979">
      <w:pPr>
        <w:pStyle w:val="Heading4"/>
      </w:pPr>
      <w:bookmarkStart w:id="21" w:name="_Toc210406350"/>
      <w:bookmarkStart w:id="22" w:name="_Toc212567849"/>
      <w:r w:rsidRPr="001635C7">
        <w:t>Iodine deficiency disorders</w:t>
      </w:r>
      <w:bookmarkEnd w:id="21"/>
      <w:bookmarkEnd w:id="22"/>
    </w:p>
    <w:p w14:paraId="3C6F1D44" w14:textId="77777777" w:rsidR="00FD4979" w:rsidRDefault="00FD4979" w:rsidP="00FD4979">
      <w:r>
        <w:t>Insufficient iodine intake is associated with a</w:t>
      </w:r>
      <w:r w:rsidRPr="00080ED6">
        <w:t xml:space="preserve"> range of</w:t>
      </w:r>
      <w:r>
        <w:t xml:space="preserve"> adverse health and developmental outcomes, collectively termed ‘iodine deficiency disorders’ </w:t>
      </w:r>
      <w:r w:rsidRPr="00AE5859">
        <w:rPr>
          <w:szCs w:val="20"/>
        </w:rPr>
        <w:t>(Hetzel 1983)</w:t>
      </w:r>
      <w:r w:rsidRPr="00AE5859">
        <w:t>.</w:t>
      </w:r>
      <w:r>
        <w:t xml:space="preserve"> </w:t>
      </w:r>
      <w:r w:rsidRPr="00AE5859">
        <w:fldChar w:fldCharType="begin"/>
      </w:r>
      <w:r w:rsidRPr="00AE5859">
        <w:instrText xml:space="preserve"> REF _Ref204087999 \h </w:instrText>
      </w:r>
      <w:r>
        <w:instrText xml:space="preserve"> \* MERGEFORMAT </w:instrText>
      </w:r>
      <w:r w:rsidRPr="00AE5859">
        <w:fldChar w:fldCharType="separate"/>
      </w:r>
      <w:r w:rsidRPr="00AE5859">
        <w:t xml:space="preserve">Table </w:t>
      </w:r>
      <w:r w:rsidRPr="00AE5859">
        <w:rPr>
          <w:noProof/>
        </w:rPr>
        <w:t>1</w:t>
      </w:r>
      <w:r w:rsidRPr="00AE5859">
        <w:fldChar w:fldCharType="end"/>
      </w:r>
      <w:r>
        <w:t xml:space="preserve"> describes the spectrum of health effects arising from iodine deficiency (adapted from Eastman and Zimmermann 2018 and Hetzel 1983). Iodine deficiency disorders affect individuals of all ages</w:t>
      </w:r>
      <w:r>
        <w:rPr>
          <w:rStyle w:val="FootnoteReference"/>
        </w:rPr>
        <w:footnoteReference w:id="2"/>
      </w:r>
      <w:r>
        <w:t>, with the range effects varying depending on the developmental stage at which exposure occurs.</w:t>
      </w:r>
    </w:p>
    <w:p w14:paraId="0DC29BB6" w14:textId="77777777" w:rsidR="00FD4979" w:rsidRDefault="00FD4979" w:rsidP="00FD4979">
      <w:r>
        <w:t xml:space="preserve">Severe deficiency during pregnancy and infancy is of particular concern, due to the potential for serious and irreversible effects on child neurocognitive development, </w:t>
      </w:r>
      <w:r w:rsidRPr="00F67913">
        <w:t xml:space="preserve">including intellectual impairment, hearing loss, and psychomotor disorders (EFSA 2014). </w:t>
      </w:r>
      <w:r>
        <w:t>Iodine deficiency is the primary cause of preventable child cognitive impairment world-wide (</w:t>
      </w:r>
      <w:r w:rsidRPr="00511E30">
        <w:t>Ristić-Medić</w:t>
      </w:r>
      <w:r>
        <w:t xml:space="preserve"> 2013). </w:t>
      </w:r>
      <w:r w:rsidRPr="00EB28D4">
        <w:t>Although the relationship between severe iodine deficiency during pregnancy and global impairments in child neurocognitive development is well-established, the evidence for mild iodine deficiency is less certain. Robust supportive evidence of consistent adverse neurocognitive effects associated with mild-to-moderate iodine deficiency are lacking, with the evidence base limited by inconsistent findings and significant heterogeneity (Monaghan 2021).</w:t>
      </w:r>
    </w:p>
    <w:p w14:paraId="7DDC5F11" w14:textId="77777777" w:rsidR="00FD4979" w:rsidRDefault="00FD4979" w:rsidP="00FD4979">
      <w:r>
        <w:t>Chronic iodine deficiency can also result in progressive thyroid gland enlargement (goitre) as a compensatory measure to increase iodine storage and support thyroid hormone production (UK SACN 2014). This may progress to hyperthyroidism and can also increase the risk of thyroid cancer (EFSA 2014). Hypothyroidism can also occur due to thyroid hormone dysfunction, affecting metabolic rate, body weight and cognitive function.</w:t>
      </w:r>
    </w:p>
    <w:bookmarkEnd w:id="20"/>
    <w:p w14:paraId="0A381A19" w14:textId="3DC3B128" w:rsidR="00FD4979" w:rsidRPr="00BF6830" w:rsidRDefault="00FD4979" w:rsidP="003539DD">
      <w:pPr>
        <w:pStyle w:val="TableTitle"/>
      </w:pPr>
      <w:r w:rsidRPr="00BF6830">
        <w:lastRenderedPageBreak/>
        <w:t xml:space="preserve">Iodine deficiency disorders, by age group and severity (from Brough &amp; </w:t>
      </w:r>
      <w:proofErr w:type="spellStart"/>
      <w:r w:rsidRPr="00BF6830">
        <w:t>Skeaff</w:t>
      </w:r>
      <w:proofErr w:type="spellEnd"/>
      <w:r w:rsidRPr="00BF6830">
        <w:t xml:space="preserve"> 2024)</w:t>
      </w:r>
    </w:p>
    <w:p w14:paraId="254DDB91" w14:textId="77777777" w:rsidR="00FD4979" w:rsidRPr="00496FA4" w:rsidRDefault="00FD4979" w:rsidP="00FD4979">
      <w:r w:rsidRPr="00496FA4">
        <w:rPr>
          <w:noProof/>
        </w:rPr>
        <w:drawing>
          <wp:inline distT="0" distB="0" distL="0" distR="0" wp14:anchorId="59E158C7" wp14:editId="3517A1A9">
            <wp:extent cx="4930131" cy="3523629"/>
            <wp:effectExtent l="0" t="0" r="4445" b="635"/>
            <wp:docPr id="93257431" name="Picture 1" descr="Table summarising iodine deficiency disorders by age group and severity, showing that all ages can experience goitre, while fetuses and neonates face severe outcomes such as stillbirth and congenital abnormalities, and children, adolescents, and adults may experience varying levels of cognitive and physical impair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7431" name="Picture 1" descr="Table summarising iodine deficiency disorders by age group and severity, showing that all ages can experience goitre, while fetuses and neonates face severe outcomes such as stillbirth and congenital abnormalities, and children, adolescents, and adults may experience varying levels of cognitive and physical impairments."/>
                    <pic:cNvPicPr/>
                  </pic:nvPicPr>
                  <pic:blipFill>
                    <a:blip r:embed="rId12"/>
                    <a:stretch>
                      <a:fillRect/>
                    </a:stretch>
                  </pic:blipFill>
                  <pic:spPr>
                    <a:xfrm>
                      <a:off x="0" y="0"/>
                      <a:ext cx="4964920" cy="3548493"/>
                    </a:xfrm>
                    <a:prstGeom prst="rect">
                      <a:avLst/>
                    </a:prstGeom>
                  </pic:spPr>
                </pic:pic>
              </a:graphicData>
            </a:graphic>
          </wp:inline>
        </w:drawing>
      </w:r>
    </w:p>
    <w:p w14:paraId="36ED2324" w14:textId="77777777" w:rsidR="00FD4979" w:rsidRDefault="00FD4979" w:rsidP="003539DD">
      <w:pPr>
        <w:pStyle w:val="Heading5"/>
      </w:pPr>
      <w:r w:rsidRPr="000B079E">
        <w:t>Sensitive or at-risk groups</w:t>
      </w:r>
    </w:p>
    <w:p w14:paraId="4269F146" w14:textId="77777777" w:rsidR="00FD4979" w:rsidRDefault="00FD4979" w:rsidP="00FD4979">
      <w:pPr>
        <w:spacing w:line="240" w:lineRule="auto"/>
      </w:pPr>
      <w:r w:rsidRPr="008A4AC3">
        <w:t>Due to the critical role of iodine in early neurocognitive development</w:t>
      </w:r>
      <w:r>
        <w:t xml:space="preserve">, the </w:t>
      </w:r>
      <w:proofErr w:type="spellStart"/>
      <w:r>
        <w:t>fetus</w:t>
      </w:r>
      <w:proofErr w:type="spellEnd"/>
      <w:r>
        <w:t xml:space="preserve"> and neonate are </w:t>
      </w:r>
      <w:r w:rsidRPr="008A4AC3">
        <w:t xml:space="preserve">particularly </w:t>
      </w:r>
      <w:r w:rsidRPr="007B2B4E">
        <w:t xml:space="preserve">sensitive to the effects maternal deficiency </w:t>
      </w:r>
      <w:r>
        <w:t>during pregnancy and lactation</w:t>
      </w:r>
      <w:r w:rsidRPr="007B2B4E">
        <w:t xml:space="preserve">.  </w:t>
      </w:r>
      <w:r>
        <w:t>Individuals with low income, and those with limited access to public health systems - including migrants - may be at greater risk of iodine deficiency, due to lower iodised salt consumption or poor adherence to supplementation recommendations during pregnancy (Magri et al 2019).</w:t>
      </w:r>
    </w:p>
    <w:p w14:paraId="7559D20F" w14:textId="77777777" w:rsidR="00FD4979" w:rsidRDefault="00FD4979" w:rsidP="00FD4979">
      <w:pPr>
        <w:spacing w:line="240" w:lineRule="auto"/>
      </w:pPr>
      <w:r>
        <w:t>Vegans and vegetarians have lower intakes of iodine-containing foods such as meat, seafood, dairy and eggs, and may be at greater risk of deficiency. A systematic review examining modern vegan or vegetarian diets and iodine status found a strong association between vegan diet and iodine deficiency (p&lt;0.001), although this association did not remain when analysis was limited to countries with mandatory salt iodisation (Eveleigh 2023). While vegetarian intakes were also consistently associated with lower UIC than omnivore diets, this difference was not significantly significant. Consumption of dairy milk alternatives has also been associated with reduced iodine intake compared with cows’ milk (</w:t>
      </w:r>
      <w:proofErr w:type="spellStart"/>
      <w:r>
        <w:t>Dineva</w:t>
      </w:r>
      <w:proofErr w:type="spellEnd"/>
      <w:r>
        <w:t xml:space="preserve"> et al 2021, Lundquist et al 2024). </w:t>
      </w:r>
    </w:p>
    <w:p w14:paraId="11DC7C2B" w14:textId="77777777" w:rsidR="00FD4979" w:rsidRDefault="00FD4979" w:rsidP="00FD4979">
      <w:r>
        <w:t>Given the role of mandatory iodine fortification of bread in preventing iodine deficiency in Australia and New Zealand, the impact of vegan/vegetarian or dairy-free diets on status may be minimised for individuals who consume bread. Individuals with low commercial bread intake may be at greater risk of deficiency in Australia and New Zealand.</w:t>
      </w:r>
    </w:p>
    <w:p w14:paraId="529434B1" w14:textId="77777777" w:rsidR="00FD4979" w:rsidRDefault="00FD4979" w:rsidP="00FD4979">
      <w:pPr>
        <w:spacing w:line="240" w:lineRule="auto"/>
      </w:pPr>
      <w:r w:rsidRPr="00FB0FAC">
        <w:rPr>
          <w:lang w:val="en-US"/>
        </w:rPr>
        <w:t>Due to the goitrogenic effects of tobacco smoke</w:t>
      </w:r>
      <w:r>
        <w:rPr>
          <w:lang w:val="en-US"/>
        </w:rPr>
        <w:t xml:space="preserve"> and e-cigarettes</w:t>
      </w:r>
      <w:r w:rsidRPr="00FB0FAC">
        <w:rPr>
          <w:lang w:val="en-US"/>
        </w:rPr>
        <w:t xml:space="preserve">, </w:t>
      </w:r>
      <w:r>
        <w:rPr>
          <w:lang w:val="en-US"/>
        </w:rPr>
        <w:t xml:space="preserve">smokers and vapers are at greater risk of iodine deficiency. Similarly, individuals with high intakes of goitrogenic foods may be at increased risk of deficiency, although the risk may be negligible where </w:t>
      </w:r>
      <w:r>
        <w:t>iodine intake is adequate and a wide variety of foods are consumed (</w:t>
      </w:r>
      <w:r w:rsidRPr="00602934">
        <w:t>Zimmermann et al. 2008).</w:t>
      </w:r>
    </w:p>
    <w:p w14:paraId="1AB6578D" w14:textId="77777777" w:rsidR="00FD4979" w:rsidRDefault="00FD4979" w:rsidP="003539DD">
      <w:pPr>
        <w:pStyle w:val="Heading4"/>
      </w:pPr>
      <w:bookmarkStart w:id="23" w:name="_Toc210406351"/>
      <w:bookmarkStart w:id="24" w:name="_Toc212567850"/>
      <w:r>
        <w:lastRenderedPageBreak/>
        <w:t>Excess iodine</w:t>
      </w:r>
      <w:bookmarkEnd w:id="23"/>
      <w:bookmarkEnd w:id="24"/>
    </w:p>
    <w:p w14:paraId="60496941" w14:textId="77777777" w:rsidR="00FD4979" w:rsidRPr="003539DD" w:rsidRDefault="00FD4979" w:rsidP="003539DD">
      <w:r w:rsidRPr="003539DD">
        <w:t>High iodine intakes result in a transient stunning of the thyroid - known as the Wolff-</w:t>
      </w:r>
      <w:proofErr w:type="spellStart"/>
      <w:r w:rsidRPr="003539DD">
        <w:t>Chaikoff</w:t>
      </w:r>
      <w:proofErr w:type="spellEnd"/>
      <w:r w:rsidRPr="003539DD">
        <w:t xml:space="preserve"> effect - which halts thyroid hormone synthesis. However, in healthy adults, intrinsic regulatory mechanisms within the thyroid facilitate an ‘escape’ from the Wolff-</w:t>
      </w:r>
      <w:proofErr w:type="spellStart"/>
      <w:r w:rsidRPr="003539DD">
        <w:t>Chaikoff</w:t>
      </w:r>
      <w:proofErr w:type="spellEnd"/>
      <w:r w:rsidRPr="003539DD">
        <w:t xml:space="preserve"> effect and hormone synthesis recommences after a few days. As a result of these regulatory mechanisms, high intakes of iodine are generally well-tolerated in individuals without underlying disease or sensitivity.  However, in some individuals - most commonly those with underlying thyroid disease or abnormalities - high iodine intakes can result in hypothyroidism or hyperthyroidism, depending on the nature of underlying thyroid dysfunction (Sohn et al. 2024, Katagiri et al 2017). This typically occurs via chronic high levels of exposure, although it may also occur from acute high exposure such as that arising from use of iodinated contrast media.</w:t>
      </w:r>
    </w:p>
    <w:p w14:paraId="7B57C2D1" w14:textId="77777777" w:rsidR="00FD4979" w:rsidRPr="003539DD" w:rsidRDefault="00FD4979" w:rsidP="003539DD">
      <w:r w:rsidRPr="003539DD">
        <w:t xml:space="preserve">An increased risk of both overt and subclinical hypothyroidism is observed in regions with excess intakes (Katagiri et al 2017), with high habitual intakes arising from diets high in seaweed, high levels of iodine in drinking water or excessive salt iodisation. Subclinical hypothyroidism is a risk for progression to overt hypothyroidism, predominantly due to underlying autoimmune thyroid disease, indicated by higher TSH (&gt; 10 </w:t>
      </w:r>
      <w:proofErr w:type="spellStart"/>
      <w:r w:rsidRPr="003539DD">
        <w:t>mU</w:t>
      </w:r>
      <w:proofErr w:type="spellEnd"/>
      <w:r w:rsidRPr="003539DD">
        <w:t xml:space="preserve">/L) and positive antithyroid antibodies. Epidemiological data also suggest that chronic subclinical hypothyroidism is associated with an increased risk of cardiovascular disease (Razvi et al 2010, </w:t>
      </w:r>
      <w:proofErr w:type="spellStart"/>
      <w:r w:rsidRPr="003539DD">
        <w:t>Delitala</w:t>
      </w:r>
      <w:proofErr w:type="spellEnd"/>
      <w:r w:rsidRPr="003539DD">
        <w:t xml:space="preserve"> et al 2017, Inoue et al 2020). </w:t>
      </w:r>
    </w:p>
    <w:p w14:paraId="70D9D4D1" w14:textId="77777777" w:rsidR="00FD4979" w:rsidRDefault="00FD4979" w:rsidP="00FD4979">
      <w:r w:rsidRPr="00CB0253">
        <w:t>Elevated TSH has previously been used as a marker for establishing recommendations for the Upper Level of iodine intake, in the absence of more robust biomarkers for iodine excess. However, there is uncertainty surrounding the clinical significance of TSH values outside of normal reference ranges, with a range of factors identified that can influence TSH levels and significant individual variation in thyroid hormone levels observed (Razvi et al 2019). An Australian study found that extending the upper TSH reference range by an additional 1</w:t>
      </w:r>
      <w:r>
        <w:t>-</w:t>
      </w:r>
      <w:r w:rsidRPr="00CB0253">
        <w:t>2</w:t>
      </w:r>
      <w:r>
        <w:t xml:space="preserve"> </w:t>
      </w:r>
      <w:proofErr w:type="spellStart"/>
      <w:r>
        <w:t>mU</w:t>
      </w:r>
      <w:proofErr w:type="spellEnd"/>
      <w:r>
        <w:t>/L</w:t>
      </w:r>
      <w:r w:rsidRPr="00CB0253">
        <w:t xml:space="preserve"> before initiating FT4 testing had little effect on case finding, furthering questions about the sensitivity of TSH and measures of sub-clinical hypothyroidism as markers of latent thyroid dysfunction (Henze 2017). Nevertheless, in the absence of more sensitive markers</w:t>
      </w:r>
      <w:r>
        <w:t xml:space="preserve"> or a well characterised relationship with iodine exposure</w:t>
      </w:r>
      <w:r w:rsidRPr="00CB0253">
        <w:t>, the association between iodine intake</w:t>
      </w:r>
      <w:r>
        <w:t xml:space="preserve"> and</w:t>
      </w:r>
      <w:r w:rsidRPr="00CB0253">
        <w:t xml:space="preserve"> elevated TSH </w:t>
      </w:r>
      <w:r>
        <w:t>provides the most suitable end point</w:t>
      </w:r>
      <w:r w:rsidRPr="00CB0253">
        <w:t xml:space="preserve"> for establishing </w:t>
      </w:r>
      <w:proofErr w:type="gramStart"/>
      <w:r>
        <w:t>U</w:t>
      </w:r>
      <w:r w:rsidRPr="00CB0253">
        <w:t xml:space="preserve">pper </w:t>
      </w:r>
      <w:r>
        <w:t>Level</w:t>
      </w:r>
      <w:proofErr w:type="gramEnd"/>
      <w:r>
        <w:t xml:space="preserve"> recommendations</w:t>
      </w:r>
      <w:r w:rsidRPr="00CB0253">
        <w:t>.  Although the normal reference range is between 0.1</w:t>
      </w:r>
      <w:r>
        <w:t>-</w:t>
      </w:r>
      <w:r w:rsidRPr="00CB0253">
        <w:t>4.0 or 5.0</w:t>
      </w:r>
      <w:r>
        <w:t xml:space="preserve"> </w:t>
      </w:r>
      <w:proofErr w:type="spellStart"/>
      <w:r>
        <w:t>mU</w:t>
      </w:r>
      <w:proofErr w:type="spellEnd"/>
      <w:r>
        <w:t>/L</w:t>
      </w:r>
      <w:r w:rsidRPr="00CB0253">
        <w:t xml:space="preserve"> (depending on </w:t>
      </w:r>
      <w:r>
        <w:t xml:space="preserve">the </w:t>
      </w:r>
      <w:r w:rsidRPr="00CB0253">
        <w:t>assay</w:t>
      </w:r>
      <w:r>
        <w:t xml:space="preserve"> used</w:t>
      </w:r>
      <w:r w:rsidRPr="00CB0253">
        <w:t>), a 2006 study reported the lowest incidence of thyroid dysfunction when TSH was between 1.0 and 1.9</w:t>
      </w:r>
      <w:r>
        <w:t xml:space="preserve"> </w:t>
      </w:r>
      <w:proofErr w:type="spellStart"/>
      <w:r>
        <w:t>mU</w:t>
      </w:r>
      <w:proofErr w:type="spellEnd"/>
      <w:r>
        <w:t>/L</w:t>
      </w:r>
      <w:r w:rsidRPr="00CB0253">
        <w:t xml:space="preserve"> (Teng et al 2006). </w:t>
      </w:r>
    </w:p>
    <w:p w14:paraId="6FC650BB" w14:textId="77777777" w:rsidR="00FD4979" w:rsidRDefault="00FD4979" w:rsidP="00FD4979">
      <w:r>
        <w:t xml:space="preserve">Chronic exposure to excess iodine has also been associated with autoimmune thyroid disease (Wang et al 2019) and thyroid cancer, although the latter is likely to be multi factorial and a clear relationship with iodine exposure is not well-established (Cao et al 2017, Lee et al 2017, Weng et al 2017). Excessive habitual iodine intake may also have adverse effects on child intellectual development (Li et al 2022). </w:t>
      </w:r>
    </w:p>
    <w:p w14:paraId="26140B0C" w14:textId="77777777" w:rsidR="00FD4979" w:rsidRDefault="00FD4979" w:rsidP="003539DD">
      <w:pPr>
        <w:pStyle w:val="Heading5"/>
        <w:rPr>
          <w:lang w:val="en-US"/>
        </w:rPr>
      </w:pPr>
      <w:r w:rsidRPr="00884201">
        <w:rPr>
          <w:lang w:val="en-US"/>
        </w:rPr>
        <w:t>Sensitive or at-risk groups</w:t>
      </w:r>
    </w:p>
    <w:p w14:paraId="69F8A199" w14:textId="77777777" w:rsidR="00FD4979" w:rsidRDefault="00FD4979" w:rsidP="00FD4979">
      <w:r>
        <w:rPr>
          <w:lang w:val="en-US"/>
        </w:rPr>
        <w:t>Individuals with d</w:t>
      </w:r>
      <w:r w:rsidRPr="0093235C">
        <w:rPr>
          <w:lang w:val="en-US"/>
        </w:rPr>
        <w:t xml:space="preserve">iets high in seaweed </w:t>
      </w:r>
      <w:r>
        <w:rPr>
          <w:lang w:val="en-US"/>
        </w:rPr>
        <w:t xml:space="preserve">(including the use of seaweed-containing herbal medicines or supplements) may be at greater risk of excess due to the high iodine content in certain seaweed species or products (EFSA 2023) - </w:t>
      </w:r>
      <w:proofErr w:type="gramStart"/>
      <w:r>
        <w:rPr>
          <w:lang w:val="en-US"/>
        </w:rPr>
        <w:t>in particular for</w:t>
      </w:r>
      <w:proofErr w:type="gramEnd"/>
      <w:r>
        <w:rPr>
          <w:lang w:val="en-US"/>
        </w:rPr>
        <w:t xml:space="preserve"> dry, unprocessed brown seaweed (</w:t>
      </w:r>
      <w:proofErr w:type="spellStart"/>
      <w:r>
        <w:rPr>
          <w:lang w:val="en-US"/>
        </w:rPr>
        <w:t>Blikra</w:t>
      </w:r>
      <w:proofErr w:type="spellEnd"/>
      <w:r>
        <w:rPr>
          <w:lang w:val="en-US"/>
        </w:rPr>
        <w:t xml:space="preserve"> et al. 2022, </w:t>
      </w:r>
      <w:proofErr w:type="spellStart"/>
      <w:r>
        <w:rPr>
          <w:lang w:val="en-US"/>
        </w:rPr>
        <w:t>Blikra</w:t>
      </w:r>
      <w:proofErr w:type="spellEnd"/>
      <w:r>
        <w:rPr>
          <w:lang w:val="en-US"/>
        </w:rPr>
        <w:t xml:space="preserve"> et al. 2024). Further research is required to understand the effects of seaweed intake on iodine status and health, including the risks associated with frequent versus occasional </w:t>
      </w:r>
      <w:r>
        <w:rPr>
          <w:lang w:val="en-US"/>
        </w:rPr>
        <w:lastRenderedPageBreak/>
        <w:t>consumption (</w:t>
      </w:r>
      <w:proofErr w:type="spellStart"/>
      <w:r>
        <w:rPr>
          <w:lang w:val="en-US"/>
        </w:rPr>
        <w:t>Blikra</w:t>
      </w:r>
      <w:proofErr w:type="spellEnd"/>
      <w:r>
        <w:rPr>
          <w:lang w:val="en-US"/>
        </w:rPr>
        <w:t xml:space="preserve"> et. </w:t>
      </w:r>
      <w:proofErr w:type="gramStart"/>
      <w:r>
        <w:rPr>
          <w:lang w:val="en-US"/>
        </w:rPr>
        <w:t>al</w:t>
      </w:r>
      <w:proofErr w:type="gramEnd"/>
      <w:r>
        <w:rPr>
          <w:lang w:val="en-US"/>
        </w:rPr>
        <w:t xml:space="preserve"> 2024). </w:t>
      </w:r>
      <w:r>
        <w:t>High iodine exposure may also occur through exposure to iodinated contrast media, or antiseptics containing iodine (G</w:t>
      </w:r>
      <w:r w:rsidRPr="00B71A48">
        <w:t xml:space="preserve">unnarsdóttir </w:t>
      </w:r>
      <w:r>
        <w:t>and</w:t>
      </w:r>
      <w:r w:rsidRPr="00B71A48">
        <w:t xml:space="preserve"> </w:t>
      </w:r>
      <w:proofErr w:type="spellStart"/>
      <w:r w:rsidRPr="00B71A48">
        <w:t>Brantsæter</w:t>
      </w:r>
      <w:proofErr w:type="spellEnd"/>
      <w:r>
        <w:t xml:space="preserve"> 2023). </w:t>
      </w:r>
    </w:p>
    <w:p w14:paraId="025C6D69" w14:textId="77777777" w:rsidR="00FD4979" w:rsidRDefault="00FD4979" w:rsidP="00FD4979">
      <w:r>
        <w:t xml:space="preserve">Individuals with a recent history of iodine deficiency are more sensitive to the effects of high iodine intake, particularly where intake increases suddenly (Sohn et al. 2024). Such groups may experience adverse health outcomes at lower levels of intake than those without a recent history of deficiency. Such effects may endure for several years post-fortification, with rates of thyrotoxicosis declining to below baseline within 7 to 8 years (Braverman and Pearce, 2024). </w:t>
      </w:r>
    </w:p>
    <w:p w14:paraId="2EDE0E2B" w14:textId="77777777" w:rsidR="00FD4979" w:rsidRDefault="00FD4979" w:rsidP="00FD4979">
      <w:r w:rsidRPr="00522C55">
        <w:rPr>
          <w:rFonts w:eastAsia="Times New Roman" w:cs="Arial"/>
        </w:rPr>
        <w:t xml:space="preserve">Iodine excess can </w:t>
      </w:r>
      <w:r>
        <w:rPr>
          <w:rFonts w:eastAsia="Times New Roman" w:cs="Arial"/>
        </w:rPr>
        <w:t xml:space="preserve">also </w:t>
      </w:r>
      <w:r w:rsidRPr="00522C55">
        <w:rPr>
          <w:rFonts w:eastAsia="Times New Roman" w:cs="Arial"/>
        </w:rPr>
        <w:t>disrupt normal thyroid function</w:t>
      </w:r>
      <w:r>
        <w:rPr>
          <w:rFonts w:eastAsia="Times New Roman" w:cs="Arial"/>
        </w:rPr>
        <w:t xml:space="preserve"> in people with underlying </w:t>
      </w:r>
      <w:r w:rsidRPr="00522C55">
        <w:rPr>
          <w:rFonts w:eastAsia="Times New Roman" w:cs="Arial"/>
        </w:rPr>
        <w:t>thyroid disease</w:t>
      </w:r>
      <w:r>
        <w:rPr>
          <w:rFonts w:eastAsia="Times New Roman" w:cs="Arial"/>
        </w:rPr>
        <w:t xml:space="preserve">. This includes </w:t>
      </w:r>
      <w:r w:rsidRPr="00522C55">
        <w:rPr>
          <w:rFonts w:eastAsia="Times New Roman" w:cs="Arial"/>
        </w:rPr>
        <w:t>autoimmune thyroid disease</w:t>
      </w:r>
      <w:r>
        <w:rPr>
          <w:rFonts w:eastAsia="Times New Roman" w:cs="Arial"/>
        </w:rPr>
        <w:t xml:space="preserve"> - a common form of </w:t>
      </w:r>
      <w:r w:rsidRPr="00522C55">
        <w:rPr>
          <w:rFonts w:eastAsia="Times New Roman" w:cs="Arial"/>
        </w:rPr>
        <w:t xml:space="preserve">thyroid disease </w:t>
      </w:r>
      <w:r>
        <w:rPr>
          <w:rFonts w:eastAsia="Times New Roman" w:cs="Arial"/>
        </w:rPr>
        <w:t xml:space="preserve">primarily affecting </w:t>
      </w:r>
      <w:r w:rsidRPr="00522C55">
        <w:rPr>
          <w:rFonts w:eastAsia="Times New Roman" w:cs="Arial"/>
        </w:rPr>
        <w:t>adult women</w:t>
      </w:r>
      <w:r>
        <w:rPr>
          <w:rFonts w:eastAsia="Times New Roman" w:cs="Arial"/>
        </w:rPr>
        <w:t xml:space="preserve"> (Mammen and Cappola 2021) - </w:t>
      </w:r>
      <w:r w:rsidRPr="00522C55">
        <w:rPr>
          <w:rFonts w:eastAsia="Times New Roman" w:cs="Arial"/>
        </w:rPr>
        <w:t xml:space="preserve">or nodular thyroid disease, most common in the elderly or in </w:t>
      </w:r>
      <w:r>
        <w:rPr>
          <w:rFonts w:eastAsia="Times New Roman" w:cs="Arial"/>
        </w:rPr>
        <w:t xml:space="preserve">people with a previous history of </w:t>
      </w:r>
      <w:r w:rsidRPr="00522C55">
        <w:rPr>
          <w:rFonts w:eastAsia="Times New Roman" w:cs="Arial"/>
        </w:rPr>
        <w:t>iodine deficiency</w:t>
      </w:r>
      <w:r>
        <w:rPr>
          <w:rFonts w:eastAsia="Times New Roman" w:cs="Arial"/>
        </w:rPr>
        <w:t xml:space="preserve"> (</w:t>
      </w:r>
      <w:r>
        <w:t>Miller et al 2016)</w:t>
      </w:r>
      <w:r w:rsidRPr="00522C55">
        <w:rPr>
          <w:rFonts w:eastAsia="Times New Roman" w:cs="Arial"/>
        </w:rPr>
        <w:t xml:space="preserve">. </w:t>
      </w:r>
    </w:p>
    <w:p w14:paraId="17D243DE" w14:textId="77777777" w:rsidR="00FD4979" w:rsidRPr="00C844E4" w:rsidRDefault="00FD4979" w:rsidP="00FD4979">
      <w:pPr>
        <w:rPr>
          <w:lang w:val="en-US"/>
        </w:rPr>
      </w:pPr>
      <w:r>
        <w:t>Premature neonates and the developing foetus are particularly sensitive to the effects of excess iodine, as they lack the mechanism to escape from the Wolff-</w:t>
      </w:r>
      <w:proofErr w:type="spellStart"/>
      <w:r>
        <w:t>Chaikoff</w:t>
      </w:r>
      <w:proofErr w:type="spellEnd"/>
      <w:r>
        <w:t xml:space="preserve"> effect which begins to develop at around 36 weeks gestation (Sohn et al. 2024), fully maturing during the early neonatal period (Berbel and de Escobar 2011).  </w:t>
      </w:r>
    </w:p>
    <w:p w14:paraId="7882679F" w14:textId="77777777" w:rsidR="00FD4979" w:rsidRPr="001425AD" w:rsidRDefault="00FD4979" w:rsidP="003539DD">
      <w:pPr>
        <w:pStyle w:val="Heading3"/>
      </w:pPr>
      <w:bookmarkStart w:id="25" w:name="_Toc179801720"/>
      <w:bookmarkStart w:id="26" w:name="_Toc202956830"/>
      <w:bookmarkStart w:id="27" w:name="_Toc210406352"/>
      <w:bookmarkStart w:id="28" w:name="_Toc212567851"/>
      <w:r>
        <w:t>Measuring intake or status</w:t>
      </w:r>
      <w:bookmarkEnd w:id="25"/>
      <w:bookmarkEnd w:id="26"/>
      <w:bookmarkEnd w:id="27"/>
      <w:bookmarkEnd w:id="28"/>
    </w:p>
    <w:p w14:paraId="3DCE4602" w14:textId="77777777" w:rsidR="00FD4979" w:rsidRDefault="00FD4979" w:rsidP="00FD4979">
      <w:pPr>
        <w:spacing w:line="240" w:lineRule="auto"/>
      </w:pPr>
      <w:r w:rsidRPr="74865217">
        <w:t xml:space="preserve">Iodine intakes vary substantially day-to-day, which presents a challenge for quantifying individual intakes and for inferring information about individual status from short-term measures of intake.  </w:t>
      </w:r>
    </w:p>
    <w:p w14:paraId="2D608F52" w14:textId="77777777" w:rsidR="00FD4979" w:rsidRDefault="00FD4979" w:rsidP="003539DD">
      <w:pPr>
        <w:pStyle w:val="Heading4"/>
      </w:pPr>
      <w:bookmarkStart w:id="29" w:name="_Toc202956831"/>
      <w:bookmarkStart w:id="30" w:name="_Toc210406353"/>
      <w:bookmarkStart w:id="31" w:name="_Toc212567852"/>
      <w:r>
        <w:t>Dietary assessment methods</w:t>
      </w:r>
      <w:bookmarkEnd w:id="29"/>
      <w:bookmarkEnd w:id="30"/>
      <w:bookmarkEnd w:id="31"/>
    </w:p>
    <w:p w14:paraId="6C671966" w14:textId="77777777" w:rsidR="00FD4979" w:rsidRDefault="00FD4979" w:rsidP="00FD4979">
      <w:r>
        <w:t xml:space="preserve">Food frequency or 24-hour dietary recall approaches are frequently used in research, and present affordable options with low participant burden for completion. However, these self-reported measures are prone to bias including recall and social desirability response bias.  More robust measures have been developed to address these limitations, such as duplicate diets and weighed food records, however these methods present their own challenges. </w:t>
      </w:r>
    </w:p>
    <w:p w14:paraId="4A464B60" w14:textId="77777777" w:rsidR="00FD4979" w:rsidRDefault="00FD4979" w:rsidP="00FD4979">
      <w:r w:rsidRPr="00F077E1">
        <w:t xml:space="preserve">It is also difficult to ascertain individual status based on dietary intakes which reflect intakes at a specific point in time. In people with iodine replete diets, iodine is incorporated into </w:t>
      </w:r>
      <w:proofErr w:type="gramStart"/>
      <w:r w:rsidRPr="00F077E1">
        <w:t>thyroglobulin</w:t>
      </w:r>
      <w:proofErr w:type="gramEnd"/>
      <w:r w:rsidRPr="00F077E1">
        <w:t xml:space="preserve"> and this can provide up to 3 months of thyroid hormone, even during periods of low iodine intake</w:t>
      </w:r>
      <w:r>
        <w:t xml:space="preserve"> (Vanderpas, 2003). </w:t>
      </w:r>
    </w:p>
    <w:p w14:paraId="05C67C51" w14:textId="77777777" w:rsidR="00FD4979" w:rsidRDefault="00FD4979" w:rsidP="00FD4979">
      <w:r>
        <w:t xml:space="preserve">Dietary assessment methods also rely on accurate food composition databases (FCDBs) that reflect contemporary iodine content of foods relevant to the local food supply. Developing comprehensive, up to date FCDBs has been a global priority, with FCDBs now established - and maintained - in most developed countries. However, challenges in establishing and maintaining food FCDBs in developing countries remain, including in reliance on incomplete or outdated data, or data from other jurisdictions to estimate nutrient intakes (Al-Balushi et al 2023). </w:t>
      </w:r>
    </w:p>
    <w:p w14:paraId="2A9BEC1F" w14:textId="77777777" w:rsidR="00FD4979" w:rsidRDefault="00FD4979" w:rsidP="00FD4979">
      <w:r>
        <w:t>Some FCDBs may not include iodine data, due to the cost and complexity associated with deriving estimates where there is substantial geographic and seasonal variability of iodine content in food (</w:t>
      </w:r>
      <w:proofErr w:type="spellStart"/>
      <w:r>
        <w:t>Ershow</w:t>
      </w:r>
      <w:proofErr w:type="spellEnd"/>
      <w:r>
        <w:t xml:space="preserve"> et al 2018). Finally, </w:t>
      </w:r>
      <w:r w:rsidRPr="00F077E1">
        <w:t xml:space="preserve">difficulty in </w:t>
      </w:r>
      <w:r>
        <w:t xml:space="preserve">quantifying </w:t>
      </w:r>
      <w:r w:rsidRPr="00F077E1">
        <w:t xml:space="preserve">iodine </w:t>
      </w:r>
      <w:r>
        <w:t xml:space="preserve">intake </w:t>
      </w:r>
      <w:r w:rsidRPr="00F077E1">
        <w:t>from use of iodised salt at the table and in cooking</w:t>
      </w:r>
      <w:r>
        <w:t xml:space="preserve"> also present challenges</w:t>
      </w:r>
      <w:r w:rsidRPr="00F077E1">
        <w:t xml:space="preserve">. </w:t>
      </w:r>
      <w:r>
        <w:t>Consequently, studies that assess iodine intake using dietary assessment methods should be carefully appraised to consider the robustness of the methods used for estimating intake.</w:t>
      </w:r>
    </w:p>
    <w:p w14:paraId="3ABE19AF" w14:textId="77777777" w:rsidR="00FD4979" w:rsidRDefault="00FD4979" w:rsidP="00FD4979">
      <w:pPr>
        <w:spacing w:line="240" w:lineRule="auto"/>
      </w:pPr>
      <w:r>
        <w:lastRenderedPageBreak/>
        <w:t>A 2019 review examined the accuracy of various measures for estimating iodine intake in children, comparing dietary methods (24-hour dietary recall; duplicate diets) and 24-hour urine (</w:t>
      </w:r>
      <w:proofErr w:type="spellStart"/>
      <w:r>
        <w:t>Peniamina</w:t>
      </w:r>
      <w:proofErr w:type="spellEnd"/>
      <w:r>
        <w:t xml:space="preserve"> et al 2019). It found that 24-hour dietary recall measures may underestimate intake, whereas duplicate diets and 24-hour urine provided similar estimates.  </w:t>
      </w:r>
    </w:p>
    <w:p w14:paraId="29EC1FCC" w14:textId="77777777" w:rsidR="00FD4979" w:rsidRDefault="00FD4979" w:rsidP="003539DD">
      <w:pPr>
        <w:pStyle w:val="Heading4"/>
      </w:pPr>
      <w:bookmarkStart w:id="32" w:name="_Toc202956832"/>
      <w:bookmarkStart w:id="33" w:name="_Toc210406354"/>
      <w:bookmarkStart w:id="34" w:name="_Toc212567853"/>
      <w:r>
        <w:t>Urinary assessment methods</w:t>
      </w:r>
      <w:bookmarkEnd w:id="32"/>
      <w:bookmarkEnd w:id="33"/>
      <w:bookmarkEnd w:id="34"/>
    </w:p>
    <w:p w14:paraId="628CAB0D" w14:textId="77777777" w:rsidR="00FD4979" w:rsidRDefault="00FD4979" w:rsidP="00FD4979">
      <w:r w:rsidRPr="007F65B9">
        <w:t xml:space="preserve">Measures of urinary iodine are used as established biomarkers for </w:t>
      </w:r>
      <w:r>
        <w:t xml:space="preserve">iodine intake and status, although these measures have limitations. </w:t>
      </w:r>
    </w:p>
    <w:p w14:paraId="498AF8AD" w14:textId="77777777" w:rsidR="00FD4979" w:rsidRDefault="00FD4979" w:rsidP="00FD4979">
      <w:r>
        <w:t>A</w:t>
      </w:r>
      <w:r w:rsidRPr="007F65B9">
        <w:t>s more than 90% of dietary iodine is excreted in the urine, urinary iodine is used as an indicator of recent iodine intake</w:t>
      </w:r>
      <w:r>
        <w:t xml:space="preserve"> (Thomson et al 1996, IOM 2001, Jahreis et al 2001, </w:t>
      </w:r>
      <w:proofErr w:type="spellStart"/>
      <w:r>
        <w:t>Aquaron</w:t>
      </w:r>
      <w:proofErr w:type="spellEnd"/>
      <w:r>
        <w:t xml:space="preserve"> et al 2002, EFSA 2014)</w:t>
      </w:r>
      <w:r w:rsidRPr="007F65B9">
        <w:t>. Urinary iodine can be measured over 24-hours</w:t>
      </w:r>
      <w:r>
        <w:t xml:space="preserve"> urinary iodine excretion (UIE)</w:t>
      </w:r>
      <w:r w:rsidRPr="007F65B9">
        <w:t xml:space="preserve"> or in a spot urine sample</w:t>
      </w:r>
      <w:r>
        <w:t xml:space="preserve"> urinary iodine concentration (UIC)</w:t>
      </w:r>
      <w:r w:rsidRPr="007F65B9">
        <w:t>.</w:t>
      </w:r>
      <w:r w:rsidRPr="0077796A">
        <w:t xml:space="preserve"> </w:t>
      </w:r>
      <w:r>
        <w:t>C</w:t>
      </w:r>
      <w:r w:rsidRPr="00FA73C7">
        <w:t xml:space="preserve">orrected measures of UIC are </w:t>
      </w:r>
      <w:r>
        <w:t xml:space="preserve">also </w:t>
      </w:r>
      <w:r w:rsidRPr="00FA73C7">
        <w:t>often reported, for example, correcting for urinary creatinine</w:t>
      </w:r>
      <w:r>
        <w:t xml:space="preserve"> (</w:t>
      </w:r>
      <w:proofErr w:type="spellStart"/>
      <w:r>
        <w:t>I:Cr</w:t>
      </w:r>
      <w:proofErr w:type="spellEnd"/>
      <w:r>
        <w:t xml:space="preserve"> ratio), to address variation in urinary volume with spot sample collection</w:t>
      </w:r>
      <w:r w:rsidRPr="00FA73C7">
        <w:t>.</w:t>
      </w:r>
      <w:r>
        <w:t xml:space="preserve"> </w:t>
      </w:r>
      <w:r w:rsidRPr="0067266B">
        <w:t xml:space="preserve">Both 24-hour UIE and UIC are associated with inter- and intra-individual variation, thus neither should be used to assess </w:t>
      </w:r>
      <w:r>
        <w:t xml:space="preserve">individual iodine </w:t>
      </w:r>
      <w:r w:rsidRPr="0067266B">
        <w:t>status</w:t>
      </w:r>
      <w:r>
        <w:t xml:space="preserve">, </w:t>
      </w:r>
      <w:r w:rsidRPr="00A34486">
        <w:t>but rather to assess the iodine status of a group or population.</w:t>
      </w:r>
      <w:r>
        <w:t xml:space="preserve"> Sufficiently large sample sizes are required to account for individual variation and estimate population iodine status with sufficient precision. </w:t>
      </w:r>
    </w:p>
    <w:p w14:paraId="7372CE59" w14:textId="77777777" w:rsidR="00FD4979" w:rsidRDefault="00FD4979" w:rsidP="003539DD">
      <w:pPr>
        <w:pStyle w:val="Heading5"/>
      </w:pPr>
      <w:r>
        <w:t>Urinary iodine excretion (UIE)</w:t>
      </w:r>
    </w:p>
    <w:p w14:paraId="166333CE" w14:textId="77777777" w:rsidR="00FD4979" w:rsidRDefault="00FD4979" w:rsidP="00FD4979">
      <w:r>
        <w:t xml:space="preserve">Iodine status can be approximated from </w:t>
      </w:r>
      <w:r w:rsidRPr="00F94E82">
        <w:t xml:space="preserve">24-hour urinary iodine excretion (UIE). The collection of 24-hour urine samples </w:t>
      </w:r>
      <w:r>
        <w:t xml:space="preserve">can account for </w:t>
      </w:r>
      <w:r w:rsidRPr="00F94E82">
        <w:rPr>
          <w:rFonts w:eastAsia="Times New Roman"/>
          <w:szCs w:val="20"/>
        </w:rPr>
        <w:t xml:space="preserve">diurnal variation in iodine excretion and is the reference standard for measuring population status. However, this measure has a high respondent burden, and is contingent on </w:t>
      </w:r>
      <w:r w:rsidRPr="00F94E82">
        <w:t>patient adherence to sampling protocols, with results impacted by incomplete sampling or storage among other limitations (Bottini et al 2020). T</w:t>
      </w:r>
      <w:r w:rsidRPr="00F94E82">
        <w:rPr>
          <w:rFonts w:eastAsia="Times New Roman"/>
          <w:szCs w:val="20"/>
        </w:rPr>
        <w:t xml:space="preserve">here is no internationally accepted method to determine if all urine voided during the 24-hours was collected (i.e. completeness). </w:t>
      </w:r>
      <w:r>
        <w:rPr>
          <w:rFonts w:eastAsia="Times New Roman"/>
          <w:szCs w:val="20"/>
        </w:rPr>
        <w:t xml:space="preserve"> </w:t>
      </w:r>
    </w:p>
    <w:p w14:paraId="76C728E5" w14:textId="77777777" w:rsidR="00FD4979" w:rsidRDefault="00FD4979" w:rsidP="00FD4979">
      <w:r>
        <w:t xml:space="preserve">Furthermore, the relationship between UIE and dietary iodine intake is not well characterised across a broad range of intakes. In steady state conditions, urinary excretion reflects recent intake, which may vary significantly over time and may not reflect habitual intake. Furthermore, UIE may not be a reliable measure of recent intake or status following a change in iodine intake, with wide variation in the time taken to achieve a steady state, ranging from one to two weeks in iodine replete subjects to 7 to 9 months for infants and young children in mildly deficient areas, or adults with goitre due to iodine deficiency (EFSA 2014). Consequently, UIE may not be a reliable measure of intake or status in populations where iodine intake has recently changed. </w:t>
      </w:r>
    </w:p>
    <w:p w14:paraId="5178C8D5" w14:textId="77777777" w:rsidR="00FD4979" w:rsidRPr="002D71C4" w:rsidRDefault="00FD4979" w:rsidP="00FD4979">
      <w:r>
        <w:t xml:space="preserve">Furthermore, it has been suggested that the association between UIE and intake - and the assumption that 90-92% of ingested iodine is absorbed - may apply in a narrow range of intakes that is not yet fully characterised (UK SACN 2014). Evidence from Japan suggests that homeostatic processes result in reduced iodine uptake in those with high habitual intake (Miyai et al 2008, </w:t>
      </w:r>
      <w:proofErr w:type="spellStart"/>
      <w:r>
        <w:t>Nagataki</w:t>
      </w:r>
      <w:proofErr w:type="spellEnd"/>
      <w:r>
        <w:t xml:space="preserve"> et al 1967). </w:t>
      </w:r>
      <w:r w:rsidRPr="00511B7B">
        <w:t>UIE may also underestimate iodine intake at low exposure levels, as iodine excretion is reduced in these circumstances, owing to homeostatic adaptations associated with low circulating T3 and T4 and elevated TSH (SACN 2014).</w:t>
      </w:r>
      <w:r>
        <w:t xml:space="preserve"> Finally, absorption during pregnancy may deviate from the observed 90-92% rate due to </w:t>
      </w:r>
      <w:r w:rsidRPr="002D71C4">
        <w:t xml:space="preserve">physical alterations </w:t>
      </w:r>
      <w:r>
        <w:t>including</w:t>
      </w:r>
      <w:r w:rsidRPr="002D71C4">
        <w:t>:</w:t>
      </w:r>
    </w:p>
    <w:p w14:paraId="21BD8619" w14:textId="77777777" w:rsidR="00FD4979" w:rsidRDefault="00FD4979" w:rsidP="00FD4979">
      <w:pPr>
        <w:pStyle w:val="ListParagraph"/>
        <w:numPr>
          <w:ilvl w:val="0"/>
          <w:numId w:val="28"/>
        </w:numPr>
        <w:spacing w:before="0" w:after="160" w:line="259" w:lineRule="auto"/>
        <w:contextualSpacing/>
      </w:pPr>
      <w:r w:rsidRPr="002D71C4">
        <w:t>increased iodine uptake through hormonal stimulation of the iodine transport system (</w:t>
      </w:r>
      <w:r>
        <w:t xml:space="preserve">Arturi et al 2002, </w:t>
      </w:r>
      <w:proofErr w:type="spellStart"/>
      <w:r>
        <w:t>Glinoer</w:t>
      </w:r>
      <w:proofErr w:type="spellEnd"/>
      <w:r>
        <w:t xml:space="preserve"> 2001</w:t>
      </w:r>
      <w:r w:rsidRPr="002D71C4">
        <w:t xml:space="preserve">) </w:t>
      </w:r>
    </w:p>
    <w:p w14:paraId="7ECE2413" w14:textId="77777777" w:rsidR="00FD4979" w:rsidRDefault="00FD4979" w:rsidP="00FD4979">
      <w:pPr>
        <w:pStyle w:val="ListParagraph"/>
        <w:numPr>
          <w:ilvl w:val="0"/>
          <w:numId w:val="28"/>
        </w:numPr>
        <w:spacing w:before="0" w:after="160" w:line="259" w:lineRule="auto"/>
        <w:contextualSpacing/>
      </w:pPr>
      <w:r w:rsidRPr="002D71C4">
        <w:lastRenderedPageBreak/>
        <w:t>increases in the glomerular filtration rate of iodine, resulting in and renal iodine output has also been shown to vary over the course of pregnancy (</w:t>
      </w:r>
      <w:r>
        <w:t xml:space="preserve">Stilwell et al 2008; </w:t>
      </w:r>
      <w:proofErr w:type="spellStart"/>
      <w:r>
        <w:t>Dafnis</w:t>
      </w:r>
      <w:proofErr w:type="spellEnd"/>
      <w:r>
        <w:t xml:space="preserve"> and Sabatini 1992</w:t>
      </w:r>
      <w:r w:rsidRPr="002D71C4">
        <w:t xml:space="preserve">).  </w:t>
      </w:r>
    </w:p>
    <w:p w14:paraId="454AF98B" w14:textId="77777777" w:rsidR="00FD4979" w:rsidRDefault="00FD4979" w:rsidP="00FD4979">
      <w:pPr>
        <w:rPr>
          <w:rFonts w:eastAsia="Times New Roman"/>
          <w:szCs w:val="20"/>
        </w:rPr>
      </w:pPr>
      <w:r>
        <w:t xml:space="preserve">This is supported by findings from </w:t>
      </w:r>
      <w:r>
        <w:rPr>
          <w:rFonts w:eastAsia="Times New Roman"/>
          <w:szCs w:val="20"/>
        </w:rPr>
        <w:t>several s</w:t>
      </w:r>
      <w:r w:rsidRPr="00263304">
        <w:rPr>
          <w:rFonts w:eastAsia="Times New Roman"/>
          <w:szCs w:val="20"/>
        </w:rPr>
        <w:t>tudies</w:t>
      </w:r>
      <w:r>
        <w:rPr>
          <w:rFonts w:eastAsia="Times New Roman"/>
          <w:szCs w:val="20"/>
        </w:rPr>
        <w:t xml:space="preserve">, which suggest </w:t>
      </w:r>
      <w:r w:rsidRPr="00263304">
        <w:rPr>
          <w:rFonts w:eastAsia="Times New Roman"/>
          <w:szCs w:val="20"/>
        </w:rPr>
        <w:t xml:space="preserve">there may be poor correspondence between </w:t>
      </w:r>
      <w:r>
        <w:rPr>
          <w:rFonts w:eastAsia="Times New Roman"/>
          <w:szCs w:val="20"/>
        </w:rPr>
        <w:t xml:space="preserve">maternal </w:t>
      </w:r>
      <w:r w:rsidRPr="00263304">
        <w:rPr>
          <w:rFonts w:eastAsia="Times New Roman"/>
          <w:szCs w:val="20"/>
        </w:rPr>
        <w:t>UIC and iodine intake</w:t>
      </w:r>
      <w:r>
        <w:rPr>
          <w:rFonts w:eastAsia="Times New Roman"/>
          <w:szCs w:val="20"/>
        </w:rPr>
        <w:t xml:space="preserve"> during pregnancy</w:t>
      </w:r>
      <w:r w:rsidRPr="00263304">
        <w:rPr>
          <w:rFonts w:eastAsia="Times New Roman"/>
          <w:szCs w:val="20"/>
        </w:rPr>
        <w:t xml:space="preserve">, particularly with </w:t>
      </w:r>
      <w:r>
        <w:rPr>
          <w:rFonts w:eastAsia="Times New Roman"/>
          <w:szCs w:val="20"/>
        </w:rPr>
        <w:t xml:space="preserve">initiation </w:t>
      </w:r>
      <w:r w:rsidRPr="00263304">
        <w:rPr>
          <w:rFonts w:eastAsia="Times New Roman"/>
          <w:szCs w:val="20"/>
        </w:rPr>
        <w:t xml:space="preserve">of iodine supplementation (Abel et al 2018, </w:t>
      </w:r>
      <w:proofErr w:type="spellStart"/>
      <w:r w:rsidRPr="00263304">
        <w:rPr>
          <w:rFonts w:eastAsia="Times New Roman"/>
          <w:szCs w:val="20"/>
        </w:rPr>
        <w:t>Mridha</w:t>
      </w:r>
      <w:proofErr w:type="spellEnd"/>
      <w:r w:rsidRPr="00263304">
        <w:rPr>
          <w:rFonts w:eastAsia="Times New Roman"/>
          <w:szCs w:val="20"/>
        </w:rPr>
        <w:t xml:space="preserve"> et al 2017)</w:t>
      </w:r>
      <w:r>
        <w:rPr>
          <w:rFonts w:eastAsia="Times New Roman"/>
          <w:szCs w:val="20"/>
        </w:rPr>
        <w:t>.</w:t>
      </w:r>
    </w:p>
    <w:p w14:paraId="68542116" w14:textId="77777777" w:rsidR="00FD4979" w:rsidRDefault="00FD4979" w:rsidP="00FD4979">
      <w:r>
        <w:t>Despite these limitations, UIE currently represents the best available biomarker for inferring iodine intake in non-pregnant adults. Iodine intake can be estimated from 24-hour UIE using the formula:</w:t>
      </w:r>
    </w:p>
    <w:p w14:paraId="7E862FCA" w14:textId="77777777" w:rsidR="00FD4979" w:rsidRDefault="00FD4979" w:rsidP="00FD4979">
      <w:pPr>
        <w:ind w:firstLine="720"/>
      </w:pPr>
      <w:r>
        <w:t>Daily iodine ingested (</w:t>
      </w:r>
      <w:proofErr w:type="spellStart"/>
      <w:r w:rsidRPr="004727CF">
        <w:t>μg</w:t>
      </w:r>
      <w:proofErr w:type="spellEnd"/>
      <w:r w:rsidRPr="004727CF">
        <w:t>/</w:t>
      </w:r>
      <w:r>
        <w:t>day) = UIE (</w:t>
      </w:r>
      <w:proofErr w:type="spellStart"/>
      <w:r w:rsidRPr="004727CF">
        <w:t>μg</w:t>
      </w:r>
      <w:proofErr w:type="spellEnd"/>
      <w:r w:rsidRPr="004727CF">
        <w:t>/</w:t>
      </w:r>
      <w:r>
        <w:t xml:space="preserve">day) ÷ 0.92 (absorption efficiency) </w:t>
      </w:r>
    </w:p>
    <w:p w14:paraId="7CE460AD" w14:textId="77777777" w:rsidR="00FD4979" w:rsidRPr="005C7140" w:rsidRDefault="00FD4979" w:rsidP="003539DD">
      <w:pPr>
        <w:pStyle w:val="Heading5"/>
      </w:pPr>
      <w:r>
        <w:t xml:space="preserve">Urinary iodine </w:t>
      </w:r>
      <w:r w:rsidRPr="005C7140">
        <w:t>concentration (UIC)</w:t>
      </w:r>
    </w:p>
    <w:p w14:paraId="605DB645" w14:textId="77777777" w:rsidR="00FD4979" w:rsidRDefault="00FD4979" w:rsidP="00FD4979">
      <w:r w:rsidRPr="005C7140">
        <w:rPr>
          <w:rFonts w:eastAsia="Times New Roman"/>
          <w:szCs w:val="20"/>
        </w:rPr>
        <w:t xml:space="preserve">The use of spot urine samples is simpler and consequently, more frequently </w:t>
      </w:r>
      <w:r>
        <w:rPr>
          <w:rFonts w:eastAsia="Times New Roman"/>
          <w:szCs w:val="20"/>
        </w:rPr>
        <w:t xml:space="preserve">measured and </w:t>
      </w:r>
      <w:r w:rsidRPr="005C7140">
        <w:rPr>
          <w:rFonts w:eastAsia="Times New Roman"/>
          <w:szCs w:val="20"/>
        </w:rPr>
        <w:t>reported in the literature</w:t>
      </w:r>
      <w:r w:rsidRPr="005C7140">
        <w:t xml:space="preserve"> and public health monitoring</w:t>
      </w:r>
      <w:r w:rsidRPr="005C7140">
        <w:rPr>
          <w:rFonts w:eastAsia="Times New Roman"/>
          <w:szCs w:val="20"/>
        </w:rPr>
        <w:t xml:space="preserve">. Furthermore, the epidemiologic criteria described in </w:t>
      </w:r>
      <w:r w:rsidRPr="005C7140">
        <w:fldChar w:fldCharType="begin"/>
      </w:r>
      <w:r w:rsidRPr="005C7140">
        <w:instrText xml:space="preserve"> REF _Ref202955963 \h </w:instrText>
      </w:r>
      <w:r>
        <w:instrText xml:space="preserve"> \* MERGEFORMAT </w:instrText>
      </w:r>
      <w:r w:rsidRPr="005C7140">
        <w:fldChar w:fldCharType="separate"/>
      </w:r>
      <w:r w:rsidRPr="005C7140">
        <w:t>Table 2</w:t>
      </w:r>
      <w:r w:rsidRPr="005C7140">
        <w:fldChar w:fldCharType="end"/>
      </w:r>
      <w:r w:rsidRPr="005C7140">
        <w:rPr>
          <w:rFonts w:eastAsia="Times New Roman"/>
          <w:szCs w:val="20"/>
        </w:rPr>
        <w:t xml:space="preserve"> is based on UIC (</w:t>
      </w:r>
      <w:proofErr w:type="spellStart"/>
      <w:r w:rsidRPr="005C7140">
        <w:t>μ</w:t>
      </w:r>
      <w:r w:rsidRPr="005C7140">
        <w:rPr>
          <w:rFonts w:eastAsia="Times New Roman"/>
          <w:szCs w:val="20"/>
        </w:rPr>
        <w:t>g</w:t>
      </w:r>
      <w:proofErr w:type="spellEnd"/>
      <w:r w:rsidRPr="005C7140">
        <w:rPr>
          <w:rFonts w:eastAsia="Times New Roman"/>
          <w:szCs w:val="20"/>
        </w:rPr>
        <w:t xml:space="preserve">/L). However, there are limitations to spot urine samples including that they fail to account for diurnal variation in excretion and are subject to individual variation in urinary volume and may be misleading regarding status. For example, high urine volumes will </w:t>
      </w:r>
      <w:r>
        <w:rPr>
          <w:rFonts w:eastAsia="Times New Roman"/>
          <w:szCs w:val="20"/>
        </w:rPr>
        <w:t xml:space="preserve">result in </w:t>
      </w:r>
      <w:r w:rsidRPr="005C7140">
        <w:rPr>
          <w:rFonts w:eastAsia="Times New Roman"/>
          <w:szCs w:val="20"/>
        </w:rPr>
        <w:t xml:space="preserve">lower UIC </w:t>
      </w:r>
      <w:r>
        <w:rPr>
          <w:rFonts w:eastAsia="Times New Roman"/>
          <w:szCs w:val="20"/>
        </w:rPr>
        <w:t xml:space="preserve">values </w:t>
      </w:r>
      <w:r w:rsidRPr="005C7140">
        <w:rPr>
          <w:rFonts w:eastAsia="Times New Roman"/>
          <w:szCs w:val="20"/>
        </w:rPr>
        <w:t>which may be misinterpreted as poor iodine status</w:t>
      </w:r>
      <w:r>
        <w:rPr>
          <w:rFonts w:eastAsia="Times New Roman"/>
          <w:szCs w:val="20"/>
        </w:rPr>
        <w:t xml:space="preserve">; conversely, </w:t>
      </w:r>
      <w:r w:rsidRPr="005C7140">
        <w:rPr>
          <w:rFonts w:eastAsia="Times New Roman"/>
          <w:szCs w:val="20"/>
        </w:rPr>
        <w:t xml:space="preserve">low urine volumes will </w:t>
      </w:r>
      <w:r>
        <w:rPr>
          <w:rFonts w:eastAsia="Times New Roman"/>
          <w:szCs w:val="20"/>
        </w:rPr>
        <w:t xml:space="preserve">result in </w:t>
      </w:r>
      <w:r w:rsidRPr="005C7140">
        <w:rPr>
          <w:rFonts w:eastAsia="Times New Roman"/>
          <w:szCs w:val="20"/>
        </w:rPr>
        <w:t>raise</w:t>
      </w:r>
      <w:r>
        <w:rPr>
          <w:rFonts w:eastAsia="Times New Roman"/>
          <w:szCs w:val="20"/>
        </w:rPr>
        <w:t>d</w:t>
      </w:r>
      <w:r w:rsidRPr="005C7140">
        <w:rPr>
          <w:rFonts w:eastAsia="Times New Roman"/>
          <w:szCs w:val="20"/>
        </w:rPr>
        <w:t xml:space="preserve"> UIC</w:t>
      </w:r>
      <w:r>
        <w:rPr>
          <w:rFonts w:eastAsia="Times New Roman"/>
          <w:szCs w:val="20"/>
        </w:rPr>
        <w:t xml:space="preserve"> values</w:t>
      </w:r>
      <w:r w:rsidRPr="005C7140">
        <w:rPr>
          <w:rFonts w:eastAsia="Times New Roman"/>
          <w:szCs w:val="20"/>
        </w:rPr>
        <w:t xml:space="preserve">, suggesting </w:t>
      </w:r>
      <w:r>
        <w:rPr>
          <w:rFonts w:eastAsia="Times New Roman"/>
          <w:szCs w:val="20"/>
        </w:rPr>
        <w:t xml:space="preserve">adequate </w:t>
      </w:r>
      <w:r w:rsidRPr="005C7140">
        <w:rPr>
          <w:rFonts w:eastAsia="Times New Roman"/>
          <w:szCs w:val="20"/>
        </w:rPr>
        <w:t xml:space="preserve">iodine status </w:t>
      </w:r>
      <w:r>
        <w:rPr>
          <w:rFonts w:eastAsia="Times New Roman"/>
          <w:szCs w:val="20"/>
        </w:rPr>
        <w:t xml:space="preserve">where this may not be the case </w:t>
      </w:r>
      <w:r w:rsidRPr="005C7140">
        <w:t>(Als et al 2000, Moreno-Reyes et al 2011, Oblak et al 2024, Rasmussen et al 1999, Johner et al 2010).</w:t>
      </w:r>
      <w:r>
        <w:t xml:space="preserve"> It has been suggested that between 10 and 12 repeat collections of UIC would be required to estimate individual intakes with 20% precision (König et al. 2011).</w:t>
      </w:r>
    </w:p>
    <w:p w14:paraId="062664CA" w14:textId="4F04BFFA" w:rsidR="00343D25" w:rsidRDefault="00FD4979" w:rsidP="00FD4979">
      <w:pPr>
        <w:rPr>
          <w:rFonts w:eastAsia="Times New Roman"/>
          <w:szCs w:val="20"/>
        </w:rPr>
      </w:pPr>
      <w:r>
        <w:rPr>
          <w:rFonts w:eastAsia="Times New Roman"/>
          <w:szCs w:val="20"/>
        </w:rPr>
        <w:t xml:space="preserve">Notwithstanding these limitations, UIC is a widely used and accepted biomarker of population status. </w:t>
      </w:r>
      <w:r w:rsidRPr="005561D8">
        <w:rPr>
          <w:rFonts w:eastAsia="Times New Roman"/>
          <w:szCs w:val="20"/>
        </w:rPr>
        <w:t>The World Health Organization (WHO) have deve</w:t>
      </w:r>
      <w:r w:rsidRPr="005B58AC">
        <w:rPr>
          <w:rFonts w:eastAsia="Times New Roman"/>
          <w:szCs w:val="20"/>
        </w:rPr>
        <w:t>loped epidemiologic criteria for assessing population iodine status in school-age children using</w:t>
      </w:r>
      <w:r w:rsidRPr="005561D8">
        <w:rPr>
          <w:rFonts w:eastAsia="Times New Roman"/>
          <w:szCs w:val="20"/>
        </w:rPr>
        <w:t xml:space="preserve"> median urinary iodine</w:t>
      </w:r>
      <w:r>
        <w:t xml:space="preserve"> </w:t>
      </w:r>
      <w:r w:rsidRPr="006A62E5">
        <w:t>concentration (UIC)</w:t>
      </w:r>
      <w:r>
        <w:t xml:space="preserve">, shown in </w:t>
      </w:r>
      <w:r>
        <w:fldChar w:fldCharType="begin"/>
      </w:r>
      <w:r>
        <w:instrText xml:space="preserve"> REF _Ref202267806 \h </w:instrText>
      </w:r>
      <w:r>
        <w:fldChar w:fldCharType="separate"/>
      </w:r>
      <w:r>
        <w:t>Table 2</w:t>
      </w:r>
      <w:r>
        <w:fldChar w:fldCharType="end"/>
      </w:r>
      <w:r>
        <w:t xml:space="preserve">.  </w:t>
      </w:r>
      <w:r w:rsidRPr="00430F9A">
        <w:rPr>
          <w:rFonts w:eastAsia="Times New Roman"/>
          <w:szCs w:val="20"/>
        </w:rPr>
        <w:t>It also recommend</w:t>
      </w:r>
      <w:r>
        <w:rPr>
          <w:rFonts w:eastAsia="Times New Roman"/>
          <w:szCs w:val="20"/>
        </w:rPr>
        <w:t>s</w:t>
      </w:r>
      <w:r w:rsidRPr="00430F9A">
        <w:rPr>
          <w:rFonts w:eastAsia="Times New Roman"/>
          <w:szCs w:val="20"/>
        </w:rPr>
        <w:t xml:space="preserve"> that the proportion of the population with UIC below 50 </w:t>
      </w:r>
      <w:proofErr w:type="spellStart"/>
      <w:r w:rsidRPr="00430F9A">
        <w:rPr>
          <w:rFonts w:eastAsia="Times New Roman"/>
          <w:szCs w:val="20"/>
        </w:rPr>
        <w:t>μg</w:t>
      </w:r>
      <w:proofErr w:type="spellEnd"/>
      <w:r w:rsidRPr="00430F9A">
        <w:rPr>
          <w:rFonts w:eastAsia="Times New Roman"/>
          <w:szCs w:val="20"/>
        </w:rPr>
        <w:t>/L should not exceed 20%</w:t>
      </w:r>
      <w:r>
        <w:rPr>
          <w:rFonts w:eastAsia="Times New Roman"/>
          <w:szCs w:val="20"/>
        </w:rPr>
        <w:t xml:space="preserve"> (WHO, 2007)</w:t>
      </w:r>
      <w:r w:rsidRPr="00430F9A">
        <w:rPr>
          <w:rFonts w:eastAsia="Times New Roman"/>
          <w:szCs w:val="20"/>
        </w:rPr>
        <w:t>.</w:t>
      </w:r>
      <w:r>
        <w:rPr>
          <w:rFonts w:eastAsia="Times New Roman"/>
          <w:szCs w:val="20"/>
        </w:rPr>
        <w:t xml:space="preserve"> The cut-offs for children were subsequently extended to include adults (except during pregnancy).</w:t>
      </w:r>
    </w:p>
    <w:p w14:paraId="707837E2" w14:textId="2A268CE7" w:rsidR="00FD4979" w:rsidRPr="00343D25" w:rsidRDefault="00343D25" w:rsidP="00343D25">
      <w:pPr>
        <w:spacing w:line="240" w:lineRule="atLeast"/>
        <w:rPr>
          <w:rFonts w:eastAsia="Times New Roman"/>
          <w:szCs w:val="20"/>
        </w:rPr>
      </w:pPr>
      <w:r>
        <w:rPr>
          <w:rFonts w:eastAsia="Times New Roman"/>
          <w:szCs w:val="20"/>
        </w:rPr>
        <w:br w:type="page"/>
      </w:r>
    </w:p>
    <w:p w14:paraId="09F54632" w14:textId="205783A2" w:rsidR="00FD4979" w:rsidRDefault="00FD4979" w:rsidP="003539DD">
      <w:pPr>
        <w:pStyle w:val="TableTitle"/>
      </w:pPr>
      <w:r>
        <w:lastRenderedPageBreak/>
        <w:t xml:space="preserve">WHO epidemiologic criteria for </w:t>
      </w:r>
      <w:r>
        <w:rPr>
          <w:noProof/>
        </w:rPr>
        <w:t>assessing iodine nutrition using Median UIC (Source: WHO 2013)</w:t>
      </w:r>
    </w:p>
    <w:tbl>
      <w:tblPr>
        <w:tblStyle w:val="TableGrid"/>
        <w:tblW w:w="0" w:type="auto"/>
        <w:tblInd w:w="0" w:type="dxa"/>
        <w:tblLook w:val="0620" w:firstRow="1" w:lastRow="0" w:firstColumn="0" w:lastColumn="0" w:noHBand="1" w:noVBand="1"/>
      </w:tblPr>
      <w:tblGrid>
        <w:gridCol w:w="1592"/>
        <w:gridCol w:w="2089"/>
        <w:gridCol w:w="2541"/>
        <w:gridCol w:w="2794"/>
      </w:tblGrid>
      <w:tr w:rsidR="00FD4979" w14:paraId="27E06A01" w14:textId="77777777" w:rsidTr="00343D25">
        <w:tc>
          <w:tcPr>
            <w:tcW w:w="1592" w:type="dxa"/>
          </w:tcPr>
          <w:p w14:paraId="2192911B" w14:textId="77777777" w:rsidR="00FD4979" w:rsidRPr="00667F61" w:rsidRDefault="00FD4979">
            <w:pPr>
              <w:rPr>
                <w:b/>
                <w:bCs/>
              </w:rPr>
            </w:pPr>
            <w:r w:rsidRPr="00667F61">
              <w:rPr>
                <w:b/>
                <w:bCs/>
              </w:rPr>
              <w:t>Population</w:t>
            </w:r>
          </w:p>
        </w:tc>
        <w:tc>
          <w:tcPr>
            <w:tcW w:w="2089" w:type="dxa"/>
          </w:tcPr>
          <w:p w14:paraId="0ED58158" w14:textId="77777777" w:rsidR="00FD4979" w:rsidRPr="00421625" w:rsidRDefault="00FD4979">
            <w:pPr>
              <w:rPr>
                <w:b/>
                <w:bCs/>
              </w:rPr>
            </w:pPr>
            <w:r w:rsidRPr="00421625">
              <w:rPr>
                <w:b/>
                <w:bCs/>
              </w:rPr>
              <w:t>Median UIC (</w:t>
            </w:r>
            <w:proofErr w:type="spellStart"/>
            <w:r w:rsidRPr="00421625">
              <w:rPr>
                <w:b/>
                <w:bCs/>
              </w:rPr>
              <w:t>μg</w:t>
            </w:r>
            <w:proofErr w:type="spellEnd"/>
            <w:r w:rsidRPr="00421625">
              <w:rPr>
                <w:b/>
                <w:bCs/>
              </w:rPr>
              <w:t>/L)</w:t>
            </w:r>
          </w:p>
        </w:tc>
        <w:tc>
          <w:tcPr>
            <w:tcW w:w="2541" w:type="dxa"/>
          </w:tcPr>
          <w:p w14:paraId="2FCFB9DA" w14:textId="77777777" w:rsidR="00FD4979" w:rsidRPr="00421625" w:rsidRDefault="00FD4979">
            <w:pPr>
              <w:rPr>
                <w:b/>
                <w:bCs/>
              </w:rPr>
            </w:pPr>
            <w:r w:rsidRPr="00421625">
              <w:rPr>
                <w:b/>
                <w:bCs/>
              </w:rPr>
              <w:t>Iodine intake</w:t>
            </w:r>
          </w:p>
        </w:tc>
        <w:tc>
          <w:tcPr>
            <w:tcW w:w="2794" w:type="dxa"/>
          </w:tcPr>
          <w:p w14:paraId="4F19B277" w14:textId="77777777" w:rsidR="00FD4979" w:rsidRPr="00421625" w:rsidRDefault="00FD4979">
            <w:pPr>
              <w:rPr>
                <w:b/>
                <w:bCs/>
              </w:rPr>
            </w:pPr>
            <w:r w:rsidRPr="00421625">
              <w:rPr>
                <w:b/>
                <w:bCs/>
              </w:rPr>
              <w:t>Iodine status</w:t>
            </w:r>
          </w:p>
        </w:tc>
      </w:tr>
      <w:tr w:rsidR="00FD4979" w14:paraId="10007345" w14:textId="77777777" w:rsidTr="00343D25">
        <w:tc>
          <w:tcPr>
            <w:tcW w:w="1592" w:type="dxa"/>
            <w:vMerge w:val="restart"/>
          </w:tcPr>
          <w:p w14:paraId="674F7BFB" w14:textId="77777777" w:rsidR="00FD4979" w:rsidRPr="00667F61" w:rsidRDefault="00FD4979">
            <w:r w:rsidRPr="00667F61">
              <w:t>School-aged children (6 years and up)</w:t>
            </w:r>
          </w:p>
        </w:tc>
        <w:tc>
          <w:tcPr>
            <w:tcW w:w="2089" w:type="dxa"/>
          </w:tcPr>
          <w:p w14:paraId="6F54414B" w14:textId="77777777" w:rsidR="00FD4979" w:rsidRPr="00667F61" w:rsidRDefault="00FD4979">
            <w:r w:rsidRPr="00667F61">
              <w:t>&lt;20</w:t>
            </w:r>
          </w:p>
        </w:tc>
        <w:tc>
          <w:tcPr>
            <w:tcW w:w="2541" w:type="dxa"/>
          </w:tcPr>
          <w:p w14:paraId="0E59D6C8" w14:textId="77777777" w:rsidR="00FD4979" w:rsidRPr="00421625" w:rsidRDefault="00FD4979">
            <w:r w:rsidRPr="00421625">
              <w:t>Insufficient</w:t>
            </w:r>
          </w:p>
        </w:tc>
        <w:tc>
          <w:tcPr>
            <w:tcW w:w="2794" w:type="dxa"/>
          </w:tcPr>
          <w:p w14:paraId="279165F0" w14:textId="77777777" w:rsidR="00FD4979" w:rsidRPr="00421625" w:rsidRDefault="00FD4979">
            <w:r w:rsidRPr="00421625">
              <w:t>Severe iodine deficiency</w:t>
            </w:r>
          </w:p>
        </w:tc>
      </w:tr>
      <w:tr w:rsidR="00FD4979" w14:paraId="7E61FCEA" w14:textId="77777777" w:rsidTr="00343D25">
        <w:tc>
          <w:tcPr>
            <w:tcW w:w="1592" w:type="dxa"/>
            <w:vMerge/>
          </w:tcPr>
          <w:p w14:paraId="7C52D1B0" w14:textId="77777777" w:rsidR="00FD4979" w:rsidRPr="00667F61" w:rsidRDefault="00FD4979"/>
        </w:tc>
        <w:tc>
          <w:tcPr>
            <w:tcW w:w="2089" w:type="dxa"/>
          </w:tcPr>
          <w:p w14:paraId="104352EA" w14:textId="77777777" w:rsidR="00FD4979" w:rsidRPr="00667F61" w:rsidRDefault="00FD4979">
            <w:r w:rsidRPr="00667F61">
              <w:t xml:space="preserve">20 </w:t>
            </w:r>
            <w:r>
              <w:t>-</w:t>
            </w:r>
            <w:r w:rsidRPr="00667F61">
              <w:t xml:space="preserve"> 49</w:t>
            </w:r>
          </w:p>
        </w:tc>
        <w:tc>
          <w:tcPr>
            <w:tcW w:w="2541" w:type="dxa"/>
          </w:tcPr>
          <w:p w14:paraId="01D085CC" w14:textId="77777777" w:rsidR="00FD4979" w:rsidRPr="00421625" w:rsidRDefault="00FD4979">
            <w:r w:rsidRPr="00421625">
              <w:t>Insufficient</w:t>
            </w:r>
          </w:p>
        </w:tc>
        <w:tc>
          <w:tcPr>
            <w:tcW w:w="2794" w:type="dxa"/>
          </w:tcPr>
          <w:p w14:paraId="37A98BB9" w14:textId="77777777" w:rsidR="00FD4979" w:rsidRPr="00421625" w:rsidRDefault="00FD4979">
            <w:r w:rsidRPr="00421625">
              <w:t>Moderate iodine deficiency</w:t>
            </w:r>
          </w:p>
        </w:tc>
      </w:tr>
      <w:tr w:rsidR="00FD4979" w14:paraId="69185D0E" w14:textId="77777777" w:rsidTr="00343D25">
        <w:tc>
          <w:tcPr>
            <w:tcW w:w="1592" w:type="dxa"/>
            <w:vMerge/>
          </w:tcPr>
          <w:p w14:paraId="1030A382" w14:textId="77777777" w:rsidR="00FD4979" w:rsidRPr="00667F61" w:rsidRDefault="00FD4979"/>
        </w:tc>
        <w:tc>
          <w:tcPr>
            <w:tcW w:w="2089" w:type="dxa"/>
          </w:tcPr>
          <w:p w14:paraId="34FD6780" w14:textId="77777777" w:rsidR="00FD4979" w:rsidRPr="00667F61" w:rsidRDefault="00FD4979">
            <w:r w:rsidRPr="00667F61">
              <w:t>50 - 99</w:t>
            </w:r>
          </w:p>
        </w:tc>
        <w:tc>
          <w:tcPr>
            <w:tcW w:w="2541" w:type="dxa"/>
          </w:tcPr>
          <w:p w14:paraId="787878F5" w14:textId="77777777" w:rsidR="00FD4979" w:rsidRPr="00421625" w:rsidRDefault="00FD4979">
            <w:r w:rsidRPr="00421625">
              <w:t>Insufficient</w:t>
            </w:r>
          </w:p>
        </w:tc>
        <w:tc>
          <w:tcPr>
            <w:tcW w:w="2794" w:type="dxa"/>
          </w:tcPr>
          <w:p w14:paraId="40C53894" w14:textId="77777777" w:rsidR="00FD4979" w:rsidRPr="00421625" w:rsidRDefault="00FD4979">
            <w:r w:rsidRPr="00421625">
              <w:t>Mild iodine deficiency</w:t>
            </w:r>
          </w:p>
        </w:tc>
      </w:tr>
      <w:tr w:rsidR="00FD4979" w14:paraId="47E768AE" w14:textId="77777777" w:rsidTr="00343D25">
        <w:tc>
          <w:tcPr>
            <w:tcW w:w="1592" w:type="dxa"/>
            <w:vMerge/>
          </w:tcPr>
          <w:p w14:paraId="66B6D360" w14:textId="77777777" w:rsidR="00FD4979" w:rsidRPr="00667F61" w:rsidRDefault="00FD4979"/>
        </w:tc>
        <w:tc>
          <w:tcPr>
            <w:tcW w:w="2089" w:type="dxa"/>
          </w:tcPr>
          <w:p w14:paraId="0ED7FC4B" w14:textId="77777777" w:rsidR="00FD4979" w:rsidRPr="00667F61" w:rsidRDefault="00FD4979">
            <w:r w:rsidRPr="00667F61">
              <w:t xml:space="preserve">100 </w:t>
            </w:r>
            <w:r>
              <w:t>-</w:t>
            </w:r>
            <w:r w:rsidRPr="00667F61">
              <w:t xml:space="preserve"> 199</w:t>
            </w:r>
          </w:p>
        </w:tc>
        <w:tc>
          <w:tcPr>
            <w:tcW w:w="2541" w:type="dxa"/>
          </w:tcPr>
          <w:p w14:paraId="0EF68ABD" w14:textId="77777777" w:rsidR="00FD4979" w:rsidRPr="00421625" w:rsidRDefault="00FD4979">
            <w:r w:rsidRPr="00421625">
              <w:t>Adequate</w:t>
            </w:r>
          </w:p>
        </w:tc>
        <w:tc>
          <w:tcPr>
            <w:tcW w:w="2794" w:type="dxa"/>
          </w:tcPr>
          <w:p w14:paraId="23351EB2" w14:textId="77777777" w:rsidR="00FD4979" w:rsidRPr="00421625" w:rsidRDefault="00FD4979">
            <w:r w:rsidRPr="00421625">
              <w:t>Adequate iodine nutrition</w:t>
            </w:r>
          </w:p>
        </w:tc>
      </w:tr>
      <w:tr w:rsidR="00FD4979" w14:paraId="7698D033" w14:textId="77777777" w:rsidTr="00343D25">
        <w:tc>
          <w:tcPr>
            <w:tcW w:w="1592" w:type="dxa"/>
            <w:vMerge/>
          </w:tcPr>
          <w:p w14:paraId="13A7C922" w14:textId="77777777" w:rsidR="00FD4979" w:rsidRPr="00667F61" w:rsidRDefault="00FD4979"/>
        </w:tc>
        <w:tc>
          <w:tcPr>
            <w:tcW w:w="2089" w:type="dxa"/>
          </w:tcPr>
          <w:p w14:paraId="26DBE2BD" w14:textId="77777777" w:rsidR="00FD4979" w:rsidRPr="00667F61" w:rsidRDefault="00FD4979">
            <w:r w:rsidRPr="00667F61">
              <w:t xml:space="preserve">200 </w:t>
            </w:r>
            <w:r>
              <w:t>-</w:t>
            </w:r>
            <w:r w:rsidRPr="00667F61">
              <w:t xml:space="preserve"> 299</w:t>
            </w:r>
          </w:p>
        </w:tc>
        <w:tc>
          <w:tcPr>
            <w:tcW w:w="2541" w:type="dxa"/>
          </w:tcPr>
          <w:p w14:paraId="5C9627C7" w14:textId="77777777" w:rsidR="00FD4979" w:rsidRPr="00421625" w:rsidRDefault="00FD4979">
            <w:r w:rsidRPr="00421625">
              <w:t>Above requirements</w:t>
            </w:r>
          </w:p>
        </w:tc>
        <w:tc>
          <w:tcPr>
            <w:tcW w:w="2794" w:type="dxa"/>
          </w:tcPr>
          <w:p w14:paraId="0780E333" w14:textId="77777777" w:rsidR="00FD4979" w:rsidRPr="00421625" w:rsidRDefault="00FD4979">
            <w:r w:rsidRPr="00421625">
              <w:t>Slight risk of more than adequate iodine intake</w:t>
            </w:r>
          </w:p>
        </w:tc>
      </w:tr>
      <w:tr w:rsidR="00FD4979" w14:paraId="618323D6" w14:textId="77777777" w:rsidTr="00343D25">
        <w:tc>
          <w:tcPr>
            <w:tcW w:w="1592" w:type="dxa"/>
            <w:vMerge/>
          </w:tcPr>
          <w:p w14:paraId="5F7828F7" w14:textId="77777777" w:rsidR="00FD4979" w:rsidRPr="00667F61" w:rsidRDefault="00FD4979"/>
        </w:tc>
        <w:tc>
          <w:tcPr>
            <w:tcW w:w="2089" w:type="dxa"/>
          </w:tcPr>
          <w:p w14:paraId="1FC87010" w14:textId="77777777" w:rsidR="00FD4979" w:rsidRPr="00667F61" w:rsidRDefault="00FD4979">
            <w:r w:rsidRPr="00667F61">
              <w:t>≥300</w:t>
            </w:r>
          </w:p>
        </w:tc>
        <w:tc>
          <w:tcPr>
            <w:tcW w:w="2541" w:type="dxa"/>
          </w:tcPr>
          <w:p w14:paraId="677FD19A" w14:textId="77777777" w:rsidR="00FD4979" w:rsidRPr="0058708A" w:rsidRDefault="00FD4979">
            <w:r w:rsidRPr="0058708A">
              <w:t>Excessive</w:t>
            </w:r>
            <w:r>
              <w:t>*</w:t>
            </w:r>
          </w:p>
        </w:tc>
        <w:tc>
          <w:tcPr>
            <w:tcW w:w="2794" w:type="dxa"/>
          </w:tcPr>
          <w:p w14:paraId="2D98FF33" w14:textId="77777777" w:rsidR="00FD4979" w:rsidRPr="00421625" w:rsidRDefault="00FD4979">
            <w:r w:rsidRPr="00421625">
              <w:t>Risk of adverse health consequences</w:t>
            </w:r>
          </w:p>
        </w:tc>
      </w:tr>
      <w:tr w:rsidR="00FD4979" w14:paraId="2DE254B9" w14:textId="77777777" w:rsidTr="00343D25">
        <w:tc>
          <w:tcPr>
            <w:tcW w:w="1592" w:type="dxa"/>
            <w:vMerge w:val="restart"/>
          </w:tcPr>
          <w:p w14:paraId="7F02C08D" w14:textId="77777777" w:rsidR="00FD4979" w:rsidRPr="00D902A4" w:rsidRDefault="00FD4979">
            <w:r w:rsidRPr="00D902A4">
              <w:t>During pregnancy</w:t>
            </w:r>
          </w:p>
        </w:tc>
        <w:tc>
          <w:tcPr>
            <w:tcW w:w="2089" w:type="dxa"/>
          </w:tcPr>
          <w:p w14:paraId="27A1CC12" w14:textId="77777777" w:rsidR="00FD4979" w:rsidRPr="00D902A4" w:rsidRDefault="00FD4979">
            <w:r w:rsidRPr="00D902A4">
              <w:t>&lt;150</w:t>
            </w:r>
          </w:p>
        </w:tc>
        <w:tc>
          <w:tcPr>
            <w:tcW w:w="2541" w:type="dxa"/>
          </w:tcPr>
          <w:p w14:paraId="051EA948" w14:textId="77777777" w:rsidR="00FD4979" w:rsidRPr="00D902A4" w:rsidRDefault="00FD4979">
            <w:r w:rsidRPr="00D902A4">
              <w:t>Insufficient</w:t>
            </w:r>
          </w:p>
        </w:tc>
        <w:tc>
          <w:tcPr>
            <w:tcW w:w="2794" w:type="dxa"/>
          </w:tcPr>
          <w:p w14:paraId="0450E15D" w14:textId="77777777" w:rsidR="00FD4979" w:rsidRDefault="00FD4979">
            <w:pPr>
              <w:rPr>
                <w:highlight w:val="yellow"/>
              </w:rPr>
            </w:pPr>
          </w:p>
        </w:tc>
      </w:tr>
      <w:tr w:rsidR="00FD4979" w14:paraId="79A60770" w14:textId="77777777" w:rsidTr="00343D25">
        <w:tc>
          <w:tcPr>
            <w:tcW w:w="1592" w:type="dxa"/>
            <w:vMerge/>
          </w:tcPr>
          <w:p w14:paraId="5ED90FED" w14:textId="77777777" w:rsidR="00FD4979" w:rsidRPr="00D902A4" w:rsidRDefault="00FD4979"/>
        </w:tc>
        <w:tc>
          <w:tcPr>
            <w:tcW w:w="2089" w:type="dxa"/>
          </w:tcPr>
          <w:p w14:paraId="4844E551" w14:textId="77777777" w:rsidR="00FD4979" w:rsidRPr="00D902A4" w:rsidRDefault="00FD4979">
            <w:r w:rsidRPr="00D902A4">
              <w:t xml:space="preserve">150 </w:t>
            </w:r>
            <w:r>
              <w:t>-</w:t>
            </w:r>
            <w:r w:rsidRPr="00D902A4">
              <w:t xml:space="preserve"> 249</w:t>
            </w:r>
          </w:p>
        </w:tc>
        <w:tc>
          <w:tcPr>
            <w:tcW w:w="2541" w:type="dxa"/>
          </w:tcPr>
          <w:p w14:paraId="161E35B0" w14:textId="77777777" w:rsidR="00FD4979" w:rsidRPr="00D902A4" w:rsidRDefault="00FD4979">
            <w:r w:rsidRPr="00D902A4">
              <w:t>Adequate</w:t>
            </w:r>
          </w:p>
        </w:tc>
        <w:tc>
          <w:tcPr>
            <w:tcW w:w="2794" w:type="dxa"/>
          </w:tcPr>
          <w:p w14:paraId="1FFE4B93" w14:textId="77777777" w:rsidR="00FD4979" w:rsidRDefault="00FD4979">
            <w:pPr>
              <w:rPr>
                <w:highlight w:val="yellow"/>
              </w:rPr>
            </w:pPr>
          </w:p>
        </w:tc>
      </w:tr>
      <w:tr w:rsidR="00FD4979" w14:paraId="79538E76" w14:textId="77777777" w:rsidTr="00343D25">
        <w:tc>
          <w:tcPr>
            <w:tcW w:w="1592" w:type="dxa"/>
            <w:vMerge/>
          </w:tcPr>
          <w:p w14:paraId="71784700" w14:textId="77777777" w:rsidR="00FD4979" w:rsidRPr="00D902A4" w:rsidRDefault="00FD4979"/>
        </w:tc>
        <w:tc>
          <w:tcPr>
            <w:tcW w:w="2089" w:type="dxa"/>
          </w:tcPr>
          <w:p w14:paraId="2E48B9D2" w14:textId="77777777" w:rsidR="00FD4979" w:rsidRPr="00D902A4" w:rsidRDefault="00FD4979">
            <w:r w:rsidRPr="00D902A4">
              <w:t xml:space="preserve">250 </w:t>
            </w:r>
            <w:r>
              <w:t>-</w:t>
            </w:r>
            <w:r w:rsidRPr="00D902A4">
              <w:t xml:space="preserve"> 499</w:t>
            </w:r>
          </w:p>
        </w:tc>
        <w:tc>
          <w:tcPr>
            <w:tcW w:w="2541" w:type="dxa"/>
          </w:tcPr>
          <w:p w14:paraId="370D79A4" w14:textId="77777777" w:rsidR="00FD4979" w:rsidRPr="00D902A4" w:rsidRDefault="00FD4979">
            <w:r w:rsidRPr="00D902A4">
              <w:t>Above requirements</w:t>
            </w:r>
          </w:p>
        </w:tc>
        <w:tc>
          <w:tcPr>
            <w:tcW w:w="2794" w:type="dxa"/>
          </w:tcPr>
          <w:p w14:paraId="1B0065F1" w14:textId="77777777" w:rsidR="00FD4979" w:rsidRDefault="00FD4979">
            <w:pPr>
              <w:rPr>
                <w:highlight w:val="yellow"/>
              </w:rPr>
            </w:pPr>
          </w:p>
        </w:tc>
      </w:tr>
      <w:tr w:rsidR="00FD4979" w14:paraId="1D39DBF5" w14:textId="77777777" w:rsidTr="00343D25">
        <w:tc>
          <w:tcPr>
            <w:tcW w:w="1592" w:type="dxa"/>
            <w:vMerge/>
          </w:tcPr>
          <w:p w14:paraId="158D42C0" w14:textId="77777777" w:rsidR="00FD4979" w:rsidRPr="00D902A4" w:rsidRDefault="00FD4979"/>
        </w:tc>
        <w:tc>
          <w:tcPr>
            <w:tcW w:w="2089" w:type="dxa"/>
          </w:tcPr>
          <w:p w14:paraId="67467938" w14:textId="77777777" w:rsidR="00FD4979" w:rsidRPr="00D902A4" w:rsidRDefault="00FD4979">
            <w:r w:rsidRPr="00D902A4">
              <w:t>≥500</w:t>
            </w:r>
          </w:p>
        </w:tc>
        <w:tc>
          <w:tcPr>
            <w:tcW w:w="2541" w:type="dxa"/>
          </w:tcPr>
          <w:p w14:paraId="15A53F66" w14:textId="77777777" w:rsidR="00FD4979" w:rsidRPr="00D902A4" w:rsidRDefault="00FD4979">
            <w:r w:rsidRPr="00D902A4">
              <w:t>Excessive</w:t>
            </w:r>
            <w:r>
              <w:t>*</w:t>
            </w:r>
          </w:p>
        </w:tc>
        <w:tc>
          <w:tcPr>
            <w:tcW w:w="2794" w:type="dxa"/>
          </w:tcPr>
          <w:p w14:paraId="7F7DEEAA" w14:textId="77777777" w:rsidR="00FD4979" w:rsidRDefault="00FD4979">
            <w:pPr>
              <w:rPr>
                <w:highlight w:val="yellow"/>
              </w:rPr>
            </w:pPr>
          </w:p>
        </w:tc>
      </w:tr>
      <w:tr w:rsidR="00FD4979" w14:paraId="04C3FBBB" w14:textId="77777777" w:rsidTr="00343D25">
        <w:tc>
          <w:tcPr>
            <w:tcW w:w="1592" w:type="dxa"/>
            <w:vMerge w:val="restart"/>
          </w:tcPr>
          <w:p w14:paraId="4FB80492" w14:textId="77777777" w:rsidR="00FD4979" w:rsidRPr="00D902A4" w:rsidRDefault="00FD4979">
            <w:r w:rsidRPr="00D902A4">
              <w:t>During lactation</w:t>
            </w:r>
          </w:p>
        </w:tc>
        <w:tc>
          <w:tcPr>
            <w:tcW w:w="2089" w:type="dxa"/>
          </w:tcPr>
          <w:p w14:paraId="61942237" w14:textId="77777777" w:rsidR="00FD4979" w:rsidRPr="00D902A4" w:rsidRDefault="00FD4979">
            <w:r w:rsidRPr="00D902A4">
              <w:t>&lt;100</w:t>
            </w:r>
          </w:p>
        </w:tc>
        <w:tc>
          <w:tcPr>
            <w:tcW w:w="2541" w:type="dxa"/>
          </w:tcPr>
          <w:p w14:paraId="0AF17545" w14:textId="77777777" w:rsidR="00FD4979" w:rsidRPr="00D902A4" w:rsidRDefault="00FD4979">
            <w:r w:rsidRPr="00D902A4">
              <w:t>Insufficient</w:t>
            </w:r>
          </w:p>
        </w:tc>
        <w:tc>
          <w:tcPr>
            <w:tcW w:w="2794" w:type="dxa"/>
          </w:tcPr>
          <w:p w14:paraId="6C2C9102" w14:textId="77777777" w:rsidR="00FD4979" w:rsidRDefault="00FD4979">
            <w:pPr>
              <w:rPr>
                <w:highlight w:val="yellow"/>
              </w:rPr>
            </w:pPr>
          </w:p>
        </w:tc>
      </w:tr>
      <w:tr w:rsidR="00FD4979" w14:paraId="2CDD0F66" w14:textId="77777777" w:rsidTr="00343D25">
        <w:tc>
          <w:tcPr>
            <w:tcW w:w="1592" w:type="dxa"/>
            <w:vMerge/>
          </w:tcPr>
          <w:p w14:paraId="6D9CEE1A" w14:textId="77777777" w:rsidR="00FD4979" w:rsidRPr="00D902A4" w:rsidRDefault="00FD4979"/>
        </w:tc>
        <w:tc>
          <w:tcPr>
            <w:tcW w:w="2089" w:type="dxa"/>
          </w:tcPr>
          <w:p w14:paraId="38674BFD" w14:textId="77777777" w:rsidR="00FD4979" w:rsidRPr="00D902A4" w:rsidRDefault="00FD4979">
            <w:r w:rsidRPr="00D902A4">
              <w:t>≥100</w:t>
            </w:r>
          </w:p>
        </w:tc>
        <w:tc>
          <w:tcPr>
            <w:tcW w:w="2541" w:type="dxa"/>
          </w:tcPr>
          <w:p w14:paraId="6DDAFC27" w14:textId="77777777" w:rsidR="00FD4979" w:rsidRPr="00D902A4" w:rsidRDefault="00FD4979">
            <w:r w:rsidRPr="00D902A4">
              <w:t>Adequate</w:t>
            </w:r>
          </w:p>
        </w:tc>
        <w:tc>
          <w:tcPr>
            <w:tcW w:w="2794" w:type="dxa"/>
          </w:tcPr>
          <w:p w14:paraId="05085CCE" w14:textId="77777777" w:rsidR="00FD4979" w:rsidRDefault="00FD4979">
            <w:pPr>
              <w:rPr>
                <w:highlight w:val="yellow"/>
              </w:rPr>
            </w:pPr>
          </w:p>
        </w:tc>
      </w:tr>
    </w:tbl>
    <w:p w14:paraId="37A47740" w14:textId="77777777" w:rsidR="00FD4979" w:rsidRPr="00470142" w:rsidRDefault="00FD4979" w:rsidP="00FD4979">
      <w:pPr>
        <w:rPr>
          <w:sz w:val="18"/>
        </w:rPr>
      </w:pPr>
      <w:r w:rsidRPr="00470142">
        <w:rPr>
          <w:sz w:val="18"/>
        </w:rPr>
        <w:t xml:space="preserve">* In this context, the term ‘excessive’ denotes an intake </w:t>
      </w:r>
      <w:proofErr w:type="gramStart"/>
      <w:r w:rsidRPr="00470142">
        <w:rPr>
          <w:sz w:val="18"/>
        </w:rPr>
        <w:t>in excess of</w:t>
      </w:r>
      <w:proofErr w:type="gramEnd"/>
      <w:r w:rsidRPr="00470142">
        <w:rPr>
          <w:sz w:val="18"/>
        </w:rPr>
        <w:t xml:space="preserve"> that required for prevention and control of iodine deficiency. It is not </w:t>
      </w:r>
      <w:proofErr w:type="spellStart"/>
      <w:r w:rsidRPr="00470142">
        <w:rPr>
          <w:sz w:val="18"/>
        </w:rPr>
        <w:t>synonomyous</w:t>
      </w:r>
      <w:proofErr w:type="spellEnd"/>
      <w:r w:rsidRPr="00470142">
        <w:rPr>
          <w:sz w:val="18"/>
        </w:rPr>
        <w:t xml:space="preserve"> with an ‘Upper Level’ at which there is an increased risk of toxicological effects.</w:t>
      </w:r>
    </w:p>
    <w:p w14:paraId="3B7F98C2" w14:textId="77777777" w:rsidR="00FD4979" w:rsidRDefault="00FD4979" w:rsidP="00FD4979">
      <w:r w:rsidRPr="00875118">
        <w:t>The WHO epidemiologic criteria (WHO 2013) use UIC as an approximation of 24-hour UIE on the basis that school-age children (6 to 12 years) produce 1 litre of urine per day. This enables UIC</w:t>
      </w:r>
      <w:r>
        <w:t> </w:t>
      </w:r>
      <w:r w:rsidRPr="00875118">
        <w:t>(</w:t>
      </w:r>
      <w:proofErr w:type="spellStart"/>
      <w:r w:rsidRPr="00875118">
        <w:t>μg</w:t>
      </w:r>
      <w:proofErr w:type="spellEnd"/>
      <w:r w:rsidRPr="00875118">
        <w:t>/L) and UIE (</w:t>
      </w:r>
      <w:proofErr w:type="spellStart"/>
      <w:r w:rsidRPr="00875118">
        <w:t>μg</w:t>
      </w:r>
      <w:proofErr w:type="spellEnd"/>
      <w:r w:rsidRPr="00875118">
        <w:t>/day) measures to be used interchangeably, despite their differing denominators (UK SACN 2014).  However, this equivalency only applies where daily urinary output is equal to 1L/day</w:t>
      </w:r>
      <w:r>
        <w:t xml:space="preserve">. </w:t>
      </w:r>
    </w:p>
    <w:p w14:paraId="29142165" w14:textId="77777777" w:rsidR="00FD4979" w:rsidRPr="00263304" w:rsidRDefault="00FD4979" w:rsidP="00FD4979">
      <w:pPr>
        <w:rPr>
          <w:rFonts w:eastAsia="Times New Roman"/>
          <w:szCs w:val="20"/>
        </w:rPr>
      </w:pPr>
      <w:r>
        <w:t xml:space="preserve">It has previously been suggested that </w:t>
      </w:r>
      <w:r w:rsidRPr="00875118">
        <w:t xml:space="preserve">urine output for adults and older children </w:t>
      </w:r>
      <w:r>
        <w:t xml:space="preserve">may be </w:t>
      </w:r>
      <w:r w:rsidRPr="00875118">
        <w:t>closer to 1.5</w:t>
      </w:r>
      <w:r>
        <w:t xml:space="preserve"> </w:t>
      </w:r>
      <w:r w:rsidRPr="00875118">
        <w:t xml:space="preserve">L/ day (UK SACN, 2014). However, more recently a systematic review of urinary output among children and adolescents found that output in children aged 2 to 12 years was below 1L/day, </w:t>
      </w:r>
      <w:r>
        <w:t xml:space="preserve">undermining the assumption of equivalency between UIC and UIE in this age group </w:t>
      </w:r>
      <w:r w:rsidRPr="00875118">
        <w:t>(Beckford et al 2019)</w:t>
      </w:r>
      <w:r>
        <w:t xml:space="preserve">. This raises the </w:t>
      </w:r>
      <w:r w:rsidRPr="00875118">
        <w:t>potential for iodine intake to be misclassified based on UIC. Similarly, a recent systematic review in adults estimated daily urinary volume at 1.77</w:t>
      </w:r>
      <w:r>
        <w:t xml:space="preserve"> </w:t>
      </w:r>
      <w:r w:rsidRPr="00875118">
        <w:t xml:space="preserve">L/day </w:t>
      </w:r>
      <w:r>
        <w:t>-</w:t>
      </w:r>
      <w:r w:rsidRPr="00875118">
        <w:t xml:space="preserve"> greater than the 1.5</w:t>
      </w:r>
      <w:r>
        <w:t xml:space="preserve"> </w:t>
      </w:r>
      <w:r w:rsidRPr="00875118">
        <w:t>L/day upon which previous iodine NRVs have been developed (Noble et al 2024).</w:t>
      </w:r>
      <w:r>
        <w:t xml:space="preserve"> E</w:t>
      </w:r>
      <w:r w:rsidRPr="007819EF">
        <w:t>stimates</w:t>
      </w:r>
      <w:r>
        <w:t xml:space="preserve"> of intake</w:t>
      </w:r>
      <w:r w:rsidRPr="007819EF">
        <w:t xml:space="preserve"> based on single </w:t>
      </w:r>
      <w:r>
        <w:t xml:space="preserve">spot </w:t>
      </w:r>
      <w:r w:rsidRPr="007819EF">
        <w:t xml:space="preserve">urine may </w:t>
      </w:r>
      <w:r>
        <w:t xml:space="preserve">be inaccurate </w:t>
      </w:r>
      <w:r w:rsidRPr="007819EF">
        <w:t xml:space="preserve">and should be interpreted with caution (Mackerras 2011). </w:t>
      </w:r>
    </w:p>
    <w:p w14:paraId="0451EE25" w14:textId="77777777" w:rsidR="00FD4979" w:rsidRDefault="00FD4979" w:rsidP="00FD4979">
      <w:pPr>
        <w:keepNext/>
      </w:pPr>
      <w:r>
        <w:lastRenderedPageBreak/>
        <w:t xml:space="preserve">Assuming 90% excretion and daily urinary output of 1.5 litres, iodine intake can be estimated based on </w:t>
      </w:r>
      <w:r w:rsidRPr="004727CF">
        <w:t xml:space="preserve">UIC using the </w:t>
      </w:r>
      <w:r>
        <w:t>formula</w:t>
      </w:r>
      <w:r w:rsidRPr="004727CF">
        <w:t>:</w:t>
      </w:r>
    </w:p>
    <w:p w14:paraId="5629BBBC" w14:textId="77777777" w:rsidR="00FD4979" w:rsidRDefault="00FD4979" w:rsidP="00FD4979">
      <w:pPr>
        <w:ind w:firstLine="720"/>
      </w:pPr>
      <w:r>
        <w:t>Daily iodine intake (</w:t>
      </w:r>
      <w:proofErr w:type="spellStart"/>
      <w:r w:rsidRPr="004727CF">
        <w:t>μg</w:t>
      </w:r>
      <w:proofErr w:type="spellEnd"/>
      <w:r w:rsidRPr="004727CF">
        <w:t>/</w:t>
      </w:r>
      <w:r>
        <w:t>day) = UIC (</w:t>
      </w:r>
      <w:proofErr w:type="spellStart"/>
      <w:r w:rsidRPr="004727CF">
        <w:t>μg</w:t>
      </w:r>
      <w:proofErr w:type="spellEnd"/>
      <w:r w:rsidRPr="004727CF">
        <w:t>/</w:t>
      </w:r>
      <w:r>
        <w:t>L) x 0.0235 x bodyweight (kg)</w:t>
      </w:r>
    </w:p>
    <w:p w14:paraId="1A140147" w14:textId="77777777" w:rsidR="00FD4979" w:rsidRPr="00263304" w:rsidRDefault="00FD4979" w:rsidP="00FD4979">
      <w:pPr>
        <w:rPr>
          <w:rFonts w:eastAsia="Times New Roman"/>
          <w:szCs w:val="20"/>
        </w:rPr>
      </w:pPr>
      <w:r>
        <w:t>Using this approach, a daily intake of 150</w:t>
      </w:r>
      <w:r w:rsidRPr="00020A9A">
        <w:t xml:space="preserve"> </w:t>
      </w:r>
      <w:proofErr w:type="spellStart"/>
      <w:r w:rsidRPr="00020A9A">
        <w:t>μg</w:t>
      </w:r>
      <w:proofErr w:type="spellEnd"/>
      <w:r>
        <w:t xml:space="preserve"> is derived from </w:t>
      </w:r>
      <w:r w:rsidRPr="00020A9A">
        <w:t>median UIC of 100</w:t>
      </w:r>
      <w:r>
        <w:t xml:space="preserve"> </w:t>
      </w:r>
      <w:proofErr w:type="spellStart"/>
      <w:r>
        <w:t>μg</w:t>
      </w:r>
      <w:proofErr w:type="spellEnd"/>
      <w:r>
        <w:t>/L</w:t>
      </w:r>
      <w:r w:rsidRPr="00020A9A">
        <w:t xml:space="preserve"> in adult</w:t>
      </w:r>
      <w:r>
        <w:t>s</w:t>
      </w:r>
      <w:r w:rsidRPr="00020A9A">
        <w:t xml:space="preserve">. </w:t>
      </w:r>
    </w:p>
    <w:p w14:paraId="0C81BC70" w14:textId="77777777" w:rsidR="00FD4979" w:rsidRDefault="00FD4979" w:rsidP="00FD4979">
      <w:r>
        <w:t>As an alternative approach, intake can be estimated by adjusting for daily urinary volume and absorption using the formula:</w:t>
      </w:r>
    </w:p>
    <w:p w14:paraId="6826DEA4" w14:textId="77777777" w:rsidR="00FD4979" w:rsidRDefault="00FD4979" w:rsidP="00FD4979">
      <w:pPr>
        <w:ind w:firstLine="720"/>
      </w:pPr>
      <w:r>
        <w:t>Daily iodine intake (</w:t>
      </w:r>
      <w:proofErr w:type="spellStart"/>
      <w:r w:rsidRPr="004727CF">
        <w:t>μg</w:t>
      </w:r>
      <w:proofErr w:type="spellEnd"/>
      <w:r w:rsidRPr="004727CF">
        <w:t>/</w:t>
      </w:r>
      <w:r>
        <w:t>day) = UIC (</w:t>
      </w:r>
      <w:proofErr w:type="spellStart"/>
      <w:r w:rsidRPr="004727CF">
        <w:t>μg</w:t>
      </w:r>
      <w:proofErr w:type="spellEnd"/>
      <w:r w:rsidRPr="004727CF">
        <w:t>/</w:t>
      </w:r>
      <w:r>
        <w:t>L) x urinary volume (Litres) ÷absorption rate (assumed 90-92% unless otherwise indicated)</w:t>
      </w:r>
    </w:p>
    <w:p w14:paraId="36381E22" w14:textId="77777777" w:rsidR="00FD4979" w:rsidRPr="009A5CDE" w:rsidRDefault="00FD4979" w:rsidP="00343D25">
      <w:pPr>
        <w:pStyle w:val="Heading5"/>
      </w:pPr>
      <w:r w:rsidRPr="009A5CDE">
        <w:t>Creatinine: Iodine Ratio (</w:t>
      </w:r>
      <w:proofErr w:type="spellStart"/>
      <w:proofErr w:type="gramStart"/>
      <w:r w:rsidRPr="009A5CDE">
        <w:t>I:Cr</w:t>
      </w:r>
      <w:proofErr w:type="spellEnd"/>
      <w:proofErr w:type="gramEnd"/>
      <w:r w:rsidRPr="009A5CDE">
        <w:t>)</w:t>
      </w:r>
    </w:p>
    <w:p w14:paraId="21E8CF0D" w14:textId="77777777" w:rsidR="00FD4979" w:rsidRDefault="00FD4979" w:rsidP="00FD4979">
      <w:r>
        <w:t>The iodine-to-creatinine ratio (</w:t>
      </w:r>
      <w:proofErr w:type="spellStart"/>
      <w:proofErr w:type="gramStart"/>
      <w:r>
        <w:t>I:Cr</w:t>
      </w:r>
      <w:proofErr w:type="spellEnd"/>
      <w:proofErr w:type="gramEnd"/>
      <w:r>
        <w:t xml:space="preserve">) - measured in </w:t>
      </w:r>
      <w:r w:rsidRPr="00842BF8">
        <w:t xml:space="preserve">µg/g </w:t>
      </w:r>
      <w:r>
        <w:t xml:space="preserve">- has been proposed as a method for estimating individual iodine status from UIC, by adjusting for urinary dilution and variations in daily urinary volume (Oblak et al 2024).  However, this measure is sensitive to the effects of sex, age, diet and renal function and it has therefore been suggested that estimates should adjust for age and sex when calculating </w:t>
      </w:r>
      <w:proofErr w:type="gramStart"/>
      <w:r>
        <w:t>I:Cr</w:t>
      </w:r>
      <w:proofErr w:type="gramEnd"/>
      <w:r>
        <w:t xml:space="preserve"> for urinary iodine measures (Konno et al 1993, Rasmussen et al 1999, Knudsen et al 2000). Furthermore, in its 2012 report on biochemical indicators of nutrition, the US CDC found that Creatinine-adjusted UIC was no more reliable than UIC alone (CDC, 2012). </w:t>
      </w:r>
    </w:p>
    <w:p w14:paraId="7B5BF13F" w14:textId="77777777" w:rsidR="00FD4979" w:rsidRDefault="00FD4979" w:rsidP="00343D25">
      <w:pPr>
        <w:pStyle w:val="Heading4"/>
      </w:pPr>
      <w:bookmarkStart w:id="35" w:name="_Toc210406355"/>
      <w:bookmarkStart w:id="36" w:name="_Toc212567854"/>
      <w:r>
        <w:t>Breast milk iodine concentration during lactation</w:t>
      </w:r>
      <w:bookmarkEnd w:id="35"/>
      <w:bookmarkEnd w:id="36"/>
    </w:p>
    <w:p w14:paraId="114301B0" w14:textId="77777777" w:rsidR="00FD4979" w:rsidRPr="000C26F4" w:rsidRDefault="00FD4979" w:rsidP="00FD4979">
      <w:r>
        <w:t xml:space="preserve">A 2022 systematic review examined the relationship between breast milk iodine concentration (BMIC) and urinary iodine concentration. This review aimed to evaluate the potential use of BMIC as a biomarker for iodine status during lactation and in breastfed children &lt;2 years of age (Liu et al 2022). Although the authors concluded that BMIC shows promise as a potential biomarker of iodine status, the body of evidence is not sufficiently robust to derive an optimal BMIC or to inform thresholds for sufficiency. </w:t>
      </w:r>
    </w:p>
    <w:p w14:paraId="52A483E5" w14:textId="77777777" w:rsidR="00FD4979" w:rsidRPr="00427E9B" w:rsidRDefault="00FD4979" w:rsidP="00343D25">
      <w:pPr>
        <w:pStyle w:val="Heading4"/>
      </w:pPr>
      <w:bookmarkStart w:id="37" w:name="_Toc210406356"/>
      <w:bookmarkStart w:id="38" w:name="_Toc212567855"/>
      <w:r>
        <w:t>Secondary biomarkers of status</w:t>
      </w:r>
      <w:bookmarkEnd w:id="37"/>
      <w:bookmarkEnd w:id="38"/>
    </w:p>
    <w:p w14:paraId="0C64C28F" w14:textId="77777777" w:rsidR="00FD4979" w:rsidRDefault="00FD4979" w:rsidP="00FD4979">
      <w:r>
        <w:t>A limitation of urinary iodine measures is that they reflect more recent dietary intake. A range of thyroid function and disease parameters are used to estimate longer-term status</w:t>
      </w:r>
      <w:r w:rsidRPr="00CA048B">
        <w:t xml:space="preserve">. </w:t>
      </w:r>
      <w:r>
        <w:t xml:space="preserve"> However, these measures may be restricted in their sensitivity for identifying mild </w:t>
      </w:r>
      <w:r w:rsidRPr="00CA048B">
        <w:t>iodine deficiency</w:t>
      </w:r>
      <w:r>
        <w:t xml:space="preserve"> (Leung, 2019)</w:t>
      </w:r>
      <w:r w:rsidRPr="00CA048B">
        <w:t>.</w:t>
      </w:r>
      <w:r>
        <w:t xml:space="preserve"> Although serum levels of thyroid hormones primarily reflect thyroid function, these can be used as indirect markers of iodine status. </w:t>
      </w:r>
    </w:p>
    <w:p w14:paraId="10889DAD" w14:textId="77777777" w:rsidR="00FD4979" w:rsidRDefault="00FD4979" w:rsidP="00343D25">
      <w:pPr>
        <w:pStyle w:val="Heading5"/>
      </w:pPr>
      <w:r>
        <w:t xml:space="preserve">Thyroid hormones </w:t>
      </w:r>
    </w:p>
    <w:p w14:paraId="6415B263" w14:textId="77777777" w:rsidR="00FD4979" w:rsidRDefault="00FD4979" w:rsidP="00FD4979">
      <w:r>
        <w:t>Thyroglobulin (</w:t>
      </w:r>
      <w:proofErr w:type="spellStart"/>
      <w:r>
        <w:t>Tg</w:t>
      </w:r>
      <w:proofErr w:type="spellEnd"/>
      <w:r>
        <w:t>) is a protein produced by thyroid follicular cells and is the main precursor for synthesis of the thyroid hormones t</w:t>
      </w:r>
      <w:r w:rsidRPr="00045394">
        <w:t>riiodothyronine</w:t>
      </w:r>
      <w:r>
        <w:t xml:space="preserve"> (T3) and thyroxine (T4). E</w:t>
      </w:r>
      <w:r w:rsidRPr="000B5C05">
        <w:t xml:space="preserve">levated </w:t>
      </w:r>
      <w:proofErr w:type="spellStart"/>
      <w:r w:rsidRPr="000B5C05">
        <w:t>Tg</w:t>
      </w:r>
      <w:proofErr w:type="spellEnd"/>
      <w:r w:rsidRPr="000B5C05">
        <w:t xml:space="preserve"> </w:t>
      </w:r>
      <w:r>
        <w:t xml:space="preserve">is a sensitive indicator of long-term population status and </w:t>
      </w:r>
      <w:r w:rsidRPr="000B5C05">
        <w:t xml:space="preserve">has been </w:t>
      </w:r>
      <w:r>
        <w:t>suggested as a potential biomarker of excess (G</w:t>
      </w:r>
      <w:r w:rsidRPr="00B71A48">
        <w:t xml:space="preserve">unnarsdóttir </w:t>
      </w:r>
      <w:r>
        <w:t>and</w:t>
      </w:r>
      <w:r w:rsidRPr="00B71A48">
        <w:t xml:space="preserve"> </w:t>
      </w:r>
      <w:proofErr w:type="spellStart"/>
      <w:r w:rsidRPr="00B71A48">
        <w:t>Brantsæter</w:t>
      </w:r>
      <w:proofErr w:type="spellEnd"/>
      <w:r>
        <w:t xml:space="preserve"> 2023). However, </w:t>
      </w:r>
      <w:r w:rsidRPr="000B5C05">
        <w:t xml:space="preserve">validated </w:t>
      </w:r>
      <w:r>
        <w:t xml:space="preserve">reference values in </w:t>
      </w:r>
      <w:r w:rsidRPr="000B5C05">
        <w:t xml:space="preserve">adults </w:t>
      </w:r>
      <w:r>
        <w:t xml:space="preserve">have not been established </w:t>
      </w:r>
      <w:r w:rsidRPr="000B5C05">
        <w:t>(</w:t>
      </w:r>
      <w:r>
        <w:t>Ma et al 2017, Ma et al 2018</w:t>
      </w:r>
      <w:r w:rsidRPr="000B5C05">
        <w:t>)</w:t>
      </w:r>
      <w:r>
        <w:t xml:space="preserve"> and its validity as an individual </w:t>
      </w:r>
      <w:r w:rsidRPr="00D2162C">
        <w:t>marker is uncertain, due to significant variability in day-to-day measures (Farebro</w:t>
      </w:r>
      <w:r>
        <w:t>t</w:t>
      </w:r>
      <w:r w:rsidRPr="00D2162C">
        <w:t>her et al 201</w:t>
      </w:r>
      <w:r>
        <w:t>8</w:t>
      </w:r>
      <w:r w:rsidRPr="00D2162C">
        <w:t>).</w:t>
      </w:r>
      <w:r>
        <w:t xml:space="preserve"> A 2020 systematic review examining the suitability of </w:t>
      </w:r>
      <w:proofErr w:type="spellStart"/>
      <w:r>
        <w:t>Tg</w:t>
      </w:r>
      <w:proofErr w:type="spellEnd"/>
      <w:r>
        <w:t xml:space="preserve"> as a biomarker of status during pregnancy found that </w:t>
      </w:r>
      <w:proofErr w:type="spellStart"/>
      <w:r>
        <w:t>Tg</w:t>
      </w:r>
      <w:proofErr w:type="spellEnd"/>
      <w:r>
        <w:t xml:space="preserve"> may be a sensitive indicator of iodine deficiency where median UIC is less than 100 µg/L. </w:t>
      </w:r>
      <w:r>
        <w:lastRenderedPageBreak/>
        <w:t xml:space="preserve">However, the sensitivity of </w:t>
      </w:r>
      <w:proofErr w:type="spellStart"/>
      <w:r>
        <w:t>Tg</w:t>
      </w:r>
      <w:proofErr w:type="spellEnd"/>
      <w:r>
        <w:t xml:space="preserve"> for detecting mild population deficiency in the MUIC range of 100-150 µg/L during pregnancy remains unclear (Nazeri et al. 2020a)</w:t>
      </w:r>
    </w:p>
    <w:p w14:paraId="2F69772D" w14:textId="77777777" w:rsidR="00FD4979" w:rsidRDefault="00FD4979" w:rsidP="00FD4979">
      <w:r>
        <w:t>In children and adolescents, serum thyroid stimulating hormone (TSH) and thyroglobulin (</w:t>
      </w:r>
      <w:proofErr w:type="spellStart"/>
      <w:r>
        <w:t>Tg</w:t>
      </w:r>
      <w:proofErr w:type="spellEnd"/>
      <w:r>
        <w:t xml:space="preserve">) are both useful biomarkers, with normal TSH typically within the range 0.1- 5 </w:t>
      </w:r>
      <w:proofErr w:type="spellStart"/>
      <w:r>
        <w:t>mU</w:t>
      </w:r>
      <w:proofErr w:type="spellEnd"/>
      <w:r>
        <w:t xml:space="preserve">/L and a serum </w:t>
      </w:r>
      <w:proofErr w:type="spellStart"/>
      <w:r>
        <w:t>Tg</w:t>
      </w:r>
      <w:proofErr w:type="spellEnd"/>
      <w:r>
        <w:t xml:space="preserve"> below 10 µg/L indicative of adequacy </w:t>
      </w:r>
      <w:r w:rsidRPr="00F9790C">
        <w:t xml:space="preserve">(Vejbjerg et al., 2009; </w:t>
      </w:r>
      <w:r w:rsidRPr="00612C44">
        <w:rPr>
          <w:szCs w:val="20"/>
        </w:rPr>
        <w:t>Ristić-Medić</w:t>
      </w:r>
      <w:r w:rsidRPr="00F9790C">
        <w:t xml:space="preserve"> et al., 2009</w:t>
      </w:r>
      <w:r>
        <w:t>, EFSA 2014</w:t>
      </w:r>
      <w:r w:rsidRPr="00F9790C">
        <w:t>)</w:t>
      </w:r>
      <w:r>
        <w:t xml:space="preserve">. </w:t>
      </w:r>
      <w:r w:rsidRPr="00AF720E">
        <w:t xml:space="preserve">Free Triiodothyronine </w:t>
      </w:r>
      <w:r>
        <w:t xml:space="preserve">(FT3) </w:t>
      </w:r>
      <w:r w:rsidRPr="00AF720E">
        <w:t>and Free Thyroxine</w:t>
      </w:r>
      <w:r>
        <w:t xml:space="preserve"> (FT4) lack sensitivity and are not reliable biomarkers of iodine status. </w:t>
      </w:r>
    </w:p>
    <w:p w14:paraId="7C0DD2CF" w14:textId="77777777" w:rsidR="00FD4979" w:rsidRDefault="00FD4979" w:rsidP="00FD4979">
      <w:pPr>
        <w:pStyle w:val="Heading5"/>
      </w:pPr>
      <w:r>
        <w:t>Neonatal TSH</w:t>
      </w:r>
    </w:p>
    <w:p w14:paraId="395D4AC2" w14:textId="77777777" w:rsidR="00FD4979" w:rsidRDefault="00FD4979" w:rsidP="00FD4979">
      <w:r w:rsidRPr="004428D1">
        <w:t>WHO guidelines recommend the use of neonatal TSH screening at 3 to 4 days post-birth as an indicator of population status. Population sufficiency is indicated when newborn TSH levels &gt;5</w:t>
      </w:r>
      <w:r>
        <w:t xml:space="preserve"> </w:t>
      </w:r>
      <w:proofErr w:type="spellStart"/>
      <w:r>
        <w:t>mU</w:t>
      </w:r>
      <w:proofErr w:type="spellEnd"/>
      <w:r>
        <w:t>/L</w:t>
      </w:r>
      <w:r w:rsidRPr="004428D1">
        <w:t xml:space="preserve"> are observed in in less than 3 % of those sampled (WHO 2007). </w:t>
      </w:r>
    </w:p>
    <w:p w14:paraId="4B09BC2F" w14:textId="77777777" w:rsidR="00FD4979" w:rsidRPr="00353615" w:rsidRDefault="00FD4979" w:rsidP="00FD4979">
      <w:r>
        <w:t>However, it has been suggested that this approach may not be sufficiently reliable for classifying population status (Li and Eastman 2011). However, a</w:t>
      </w:r>
      <w:r w:rsidRPr="005B5737">
        <w:t xml:space="preserve"> 2019 systematic review </w:t>
      </w:r>
      <w:r>
        <w:t xml:space="preserve">found better agreement between </w:t>
      </w:r>
      <w:r w:rsidRPr="005B5737">
        <w:t>neonatal TSH</w:t>
      </w:r>
      <w:r>
        <w:t xml:space="preserve"> and </w:t>
      </w:r>
      <w:r w:rsidRPr="005B5737">
        <w:t>goitre prevalence</w:t>
      </w:r>
      <w:r>
        <w:t xml:space="preserve">, than when </w:t>
      </w:r>
      <w:r w:rsidRPr="005B5737">
        <w:t xml:space="preserve">MUIC </w:t>
      </w:r>
      <w:r>
        <w:t xml:space="preserve">was compared with </w:t>
      </w:r>
      <w:r w:rsidRPr="005B5737">
        <w:t>goitre prevalence</w:t>
      </w:r>
      <w:r>
        <w:t xml:space="preserve"> (</w:t>
      </w:r>
      <w:proofErr w:type="spellStart"/>
      <w:r>
        <w:t>Wassie</w:t>
      </w:r>
      <w:proofErr w:type="spellEnd"/>
      <w:r>
        <w:t xml:space="preserve"> et al 2019)</w:t>
      </w:r>
      <w:r w:rsidRPr="005B5737">
        <w:t xml:space="preserve">.  The authors emphasised the importance of adhering to WHO-recommended sampling </w:t>
      </w:r>
      <w:r>
        <w:t xml:space="preserve">- </w:t>
      </w:r>
      <w:r w:rsidRPr="005B5737">
        <w:t>within 3 to</w:t>
      </w:r>
      <w:r>
        <w:t xml:space="preserve"> 4 days of birth - with sampling outside this period (including from cord blood) found to be unreliable.</w:t>
      </w:r>
    </w:p>
    <w:p w14:paraId="4F852A65" w14:textId="77777777" w:rsidR="00FD4979" w:rsidRDefault="00FD4979" w:rsidP="00FD4979">
      <w:r>
        <w:t xml:space="preserve">Elevated neonatal TSH is also used as an indicator of iodine deficiency in newborns and may be informative regarding maternal iodine status during pregnancy. Beyond the neonatal period, TSH is not a sensitive indicator of individual deficiency due to the wide range of values within the limits of normal function. </w:t>
      </w:r>
    </w:p>
    <w:p w14:paraId="42B83DEE" w14:textId="77777777" w:rsidR="00FD4979" w:rsidRPr="00AF720E" w:rsidRDefault="00FD4979" w:rsidP="00343D25">
      <w:pPr>
        <w:pStyle w:val="Heading5"/>
      </w:pPr>
      <w:r>
        <w:t>G</w:t>
      </w:r>
      <w:r w:rsidRPr="00C24C9D">
        <w:t>oitre prevalence</w:t>
      </w:r>
    </w:p>
    <w:p w14:paraId="312CBA1D" w14:textId="77777777" w:rsidR="00FD4979" w:rsidRDefault="00FD4979" w:rsidP="00FD4979">
      <w:r>
        <w:t xml:space="preserve">Goitre prevalence in children aged 6 to 12 years is an established measure of long-term population iodine status, with prevalence &gt;5% indicative of population-level deficiency (WHO 2007).  However, it should be noted that thyroid volume can take months or even years to return to normal after deficiency is corrected. Consequently, goitre prevalence may be an unreliable measure, in populations where deficiency has been recently corrected, and thyroid volumes have not yet returned to normal volume. </w:t>
      </w:r>
    </w:p>
    <w:p w14:paraId="1BECBE88" w14:textId="77777777" w:rsidR="00FD4979" w:rsidRDefault="00FD4979" w:rsidP="00FD4979">
      <w:r>
        <w:t xml:space="preserve">Furthermore, thyroid volume is only a reliable indicator of goitre prevalence in areas of moderate or severe deficiency, and as such these measures are not sensitive markers of mild iodine deficiency (NNR 2023). </w:t>
      </w:r>
    </w:p>
    <w:p w14:paraId="35844A2A" w14:textId="6B04C2D5" w:rsidR="003138BD" w:rsidRDefault="00FD4979" w:rsidP="003138BD">
      <w:r w:rsidRPr="003138BD">
        <w:t>When combined with urinary iodine measures, goitre prevalence can be used to infer a level of intake sufficient for preventing abnormal thyroid volume and goitre in most of the population. That is, by measuring median urinary iodine associated with goitre prevalence &lt;5% within a given population. When this approach is used, the primary source of uncertainty arises from back-converting urinary iodine measures (expressed is µg/L or µg/day) into a daily iodine intake (EFSA 2014).</w:t>
      </w:r>
      <w:bookmarkStart w:id="39" w:name="_Toc202956834"/>
      <w:bookmarkStart w:id="40" w:name="_Toc210406357"/>
    </w:p>
    <w:p w14:paraId="30B35938" w14:textId="77777777" w:rsidR="003138BD" w:rsidRDefault="003138BD">
      <w:pPr>
        <w:spacing w:line="240" w:lineRule="atLeast"/>
      </w:pPr>
      <w:r>
        <w:br w:type="page"/>
      </w:r>
    </w:p>
    <w:p w14:paraId="5475060B" w14:textId="4D579F3A" w:rsidR="003138BD" w:rsidRDefault="003138BD" w:rsidP="003138BD">
      <w:pPr>
        <w:pStyle w:val="Heading2"/>
      </w:pPr>
      <w:bookmarkStart w:id="41" w:name="_Toc212567856"/>
      <w:r>
        <w:lastRenderedPageBreak/>
        <w:t>Current recommendations and international comparisons</w:t>
      </w:r>
      <w:bookmarkEnd w:id="39"/>
      <w:bookmarkEnd w:id="40"/>
      <w:bookmarkEnd w:id="41"/>
    </w:p>
    <w:p w14:paraId="2875BBA0" w14:textId="77777777" w:rsidR="003138BD" w:rsidRDefault="003138BD" w:rsidP="003138BD">
      <w:r>
        <w:t xml:space="preserve">The current Australian and New Zealand Nutrient Reference Values (2006 NRVs) for iodine were developed in 2006 and adapted from values published by the US Institute of Medicine in 2001. Subsequently, several international jurisdictions have published updated NRVs for iodine. Although there is variation in local context - including population iodine status and dietary patterns - and in the age groupings used across jurisdictions, NRVs developed using comparable approaches are informative for comparison purposes. </w:t>
      </w:r>
      <w:proofErr w:type="gramStart"/>
      <w:r>
        <w:t>In particular, where</w:t>
      </w:r>
      <w:proofErr w:type="gramEnd"/>
      <w:r>
        <w:t xml:space="preserve"> reference values have been updated to reflect contemporary evidence review methods and recently published research.</w:t>
      </w:r>
    </w:p>
    <w:p w14:paraId="47ABA49E" w14:textId="77777777" w:rsidR="003138BD" w:rsidRDefault="003138BD" w:rsidP="003138BD">
      <w:pPr>
        <w:pStyle w:val="Heading3"/>
      </w:pPr>
      <w:bookmarkStart w:id="42" w:name="_Toc202956835"/>
      <w:bookmarkStart w:id="43" w:name="_Toc210406358"/>
      <w:bookmarkStart w:id="44" w:name="_Toc212567857"/>
      <w:r>
        <w:t>Nutritional adequacy recommendations</w:t>
      </w:r>
      <w:bookmarkEnd w:id="42"/>
      <w:bookmarkEnd w:id="43"/>
      <w:bookmarkEnd w:id="44"/>
    </w:p>
    <w:p w14:paraId="1ED723C8" w14:textId="77777777" w:rsidR="003138BD" w:rsidRPr="00AA752E" w:rsidRDefault="003138BD" w:rsidP="003138BD">
      <w:pPr>
        <w:pStyle w:val="Heading4"/>
      </w:pPr>
      <w:bookmarkStart w:id="45" w:name="_Toc202956836"/>
      <w:bookmarkStart w:id="46" w:name="_Toc210406359"/>
      <w:bookmarkStart w:id="47" w:name="_Toc212567858"/>
      <w:r>
        <w:t>Basis for current recommendations</w:t>
      </w:r>
      <w:bookmarkEnd w:id="45"/>
      <w:bookmarkEnd w:id="46"/>
      <w:bookmarkEnd w:id="47"/>
    </w:p>
    <w:p w14:paraId="3E847617" w14:textId="77777777" w:rsidR="003138BD" w:rsidRDefault="003138BD" w:rsidP="003138BD">
      <w:r>
        <w:t xml:space="preserve">The 2006 NRVs specify an Estimated Average Requirement (EAR) and Recommended Dietary Intake (RDI) for each population and age group (see </w:t>
      </w:r>
      <w:r>
        <w:fldChar w:fldCharType="begin"/>
      </w:r>
      <w:r>
        <w:instrText xml:space="preserve"> REF _Ref173248184 \h </w:instrText>
      </w:r>
      <w:r>
        <w:fldChar w:fldCharType="separate"/>
      </w:r>
      <w:r>
        <w:t xml:space="preserve">Table </w:t>
      </w:r>
      <w:r>
        <w:rPr>
          <w:noProof/>
        </w:rPr>
        <w:t>1</w:t>
      </w:r>
      <w:r>
        <w:fldChar w:fldCharType="end"/>
      </w:r>
      <w:r>
        <w:t>). The basis for deriving each of these values is presented below.</w:t>
      </w:r>
    </w:p>
    <w:p w14:paraId="7AB3204D" w14:textId="77777777" w:rsidR="003138BD" w:rsidRDefault="003138BD" w:rsidP="003138BD">
      <w:pPr>
        <w:pStyle w:val="Heading5"/>
      </w:pPr>
      <w:r>
        <w:t>Adults</w:t>
      </w:r>
    </w:p>
    <w:p w14:paraId="44EB22E8" w14:textId="1DC54D64" w:rsidR="003138BD" w:rsidRDefault="003138BD" w:rsidP="003138BD">
      <w:pPr>
        <w:rPr>
          <w:rFonts w:eastAsia="Times New Roman"/>
        </w:rPr>
      </w:pPr>
      <w:r>
        <w:t xml:space="preserve">Values for adults were based on </w:t>
      </w:r>
      <w:r w:rsidRPr="4D0FE953">
        <w:rPr>
          <w:rFonts w:eastAsia="Times New Roman"/>
        </w:rPr>
        <w:t xml:space="preserve">studies reporting average thyroid iodine accumulation and turnover between 91.2 and 96.5 </w:t>
      </w:r>
      <w:proofErr w:type="spellStart"/>
      <w:r w:rsidRPr="4D0FE953">
        <w:rPr>
          <w:rFonts w:eastAsia="Times New Roman"/>
        </w:rPr>
        <w:t>μg</w:t>
      </w:r>
      <w:proofErr w:type="spellEnd"/>
      <w:r w:rsidRPr="4D0FE953">
        <w:rPr>
          <w:rFonts w:eastAsia="Times New Roman"/>
        </w:rPr>
        <w:t>/day</w:t>
      </w:r>
      <w:r w:rsidRPr="00554A62">
        <w:rPr>
          <w:color w:val="000000"/>
          <w:shd w:val="clear" w:color="auto" w:fill="FFFFFF"/>
        </w:rPr>
        <w:t xml:space="preserve"> </w:t>
      </w:r>
      <w:r w:rsidRPr="4D0FE953">
        <w:rPr>
          <w:rFonts w:eastAsia="Times New Roman"/>
        </w:rPr>
        <w:t xml:space="preserve">in euthyroid adults (Fisher and Oddie 1969a, Fisher and Oddie 1969b). Values were rounded to 100 </w:t>
      </w:r>
      <w:proofErr w:type="spellStart"/>
      <w:r w:rsidRPr="4D0FE953">
        <w:rPr>
          <w:rFonts w:eastAsia="Times New Roman"/>
        </w:rPr>
        <w:t>μg</w:t>
      </w:r>
      <w:proofErr w:type="spellEnd"/>
      <w:r w:rsidRPr="4D0FE953">
        <w:rPr>
          <w:rFonts w:eastAsia="Times New Roman"/>
        </w:rPr>
        <w:t>/day to reflect New Zealand data on urinary iodide to thyroid volume (Thomson et al 2001). The RDI was established applying a 20% co-efficient of variation (CV), being half of the 40% CV reported by Fisher and Oddie (1969a). This adjustment reflected the assumption that half of the variation observed by Fisher and Oddie (1969a) was due to the complexity of the experimental design and calculations used to estimate turnover (US IOM 2001).</w:t>
      </w:r>
    </w:p>
    <w:p w14:paraId="0BA6FEB8" w14:textId="77777777" w:rsidR="003138BD" w:rsidRDefault="003138BD" w:rsidP="003138BD">
      <w:pPr>
        <w:pStyle w:val="Heading5"/>
      </w:pPr>
      <w:r>
        <w:t>Pregnancy</w:t>
      </w:r>
    </w:p>
    <w:p w14:paraId="2086838E" w14:textId="0B7F481C" w:rsidR="003138BD" w:rsidRDefault="003138BD" w:rsidP="003138BD">
      <w:r>
        <w:t xml:space="preserve">Values for pregnancy were based on adult requirements, adjusted to account for additional requirements during pregnancy. Daily </w:t>
      </w:r>
      <w:proofErr w:type="spellStart"/>
      <w:r>
        <w:t>fetal</w:t>
      </w:r>
      <w:proofErr w:type="spellEnd"/>
      <w:r>
        <w:t xml:space="preserve"> thyroid iodine uptake was estimated at 75 </w:t>
      </w:r>
      <w:proofErr w:type="spellStart"/>
      <w:r>
        <w:t>μg</w:t>
      </w:r>
      <w:proofErr w:type="spellEnd"/>
      <w:r>
        <w:t>/day based on 100% daily turnover of iodine in the newborn thyroid, and an estimated thyroid content of 50-100</w:t>
      </w:r>
      <w:r w:rsidRPr="00CA6BCE">
        <w:t xml:space="preserve"> </w:t>
      </w:r>
      <w:proofErr w:type="spellStart"/>
      <w:r>
        <w:t>μg</w:t>
      </w:r>
      <w:proofErr w:type="spellEnd"/>
      <w:r>
        <w:t xml:space="preserve"> in newborns (</w:t>
      </w:r>
      <w:r w:rsidRPr="00E4541E">
        <w:t xml:space="preserve">Delange, 1989; Delange and </w:t>
      </w:r>
      <w:proofErr w:type="spellStart"/>
      <w:r w:rsidRPr="00E4541E">
        <w:t>Ermans</w:t>
      </w:r>
      <w:proofErr w:type="spellEnd"/>
      <w:r w:rsidRPr="00E4541E">
        <w:t xml:space="preserve"> 1991</w:t>
      </w:r>
      <w:r>
        <w:t xml:space="preserve">). Assuming an EAR of </w:t>
      </w:r>
      <w:r w:rsidR="1698941B">
        <w:t>95</w:t>
      </w:r>
      <w:r w:rsidR="5EB711D1">
        <w:t xml:space="preserve"> </w:t>
      </w:r>
      <w:proofErr w:type="spellStart"/>
      <w:r w:rsidR="1698941B">
        <w:t>μg</w:t>
      </w:r>
      <w:proofErr w:type="spellEnd"/>
      <w:r>
        <w:t xml:space="preserve">/day for non-pregnant women (based on the EAR identified by the US IOM), a preliminary EAR of 170 </w:t>
      </w:r>
      <w:proofErr w:type="spellStart"/>
      <w:r>
        <w:t>μg</w:t>
      </w:r>
      <w:proofErr w:type="spellEnd"/>
      <w:r>
        <w:t xml:space="preserve">/day during pregnancy was calculated. This estimate was reduced to 160 </w:t>
      </w:r>
      <w:proofErr w:type="spellStart"/>
      <w:r>
        <w:t>μg</w:t>
      </w:r>
      <w:proofErr w:type="spellEnd"/>
      <w:r>
        <w:t xml:space="preserve">/day in view of the following supportive evidence: </w:t>
      </w:r>
    </w:p>
    <w:p w14:paraId="6371A697" w14:textId="77777777" w:rsidR="003138BD" w:rsidRDefault="003138BD" w:rsidP="003138BD">
      <w:pPr>
        <w:pStyle w:val="ListParagraph"/>
        <w:numPr>
          <w:ilvl w:val="0"/>
          <w:numId w:val="25"/>
        </w:numPr>
        <w:spacing w:before="0" w:after="160" w:line="259" w:lineRule="auto"/>
        <w:contextualSpacing/>
      </w:pPr>
      <w:r>
        <w:t xml:space="preserve">a balance study which reported neutral balance among pregnant women with iodine intakes of around 160 </w:t>
      </w:r>
      <w:proofErr w:type="spellStart"/>
      <w:r>
        <w:t>μg</w:t>
      </w:r>
      <w:proofErr w:type="spellEnd"/>
      <w:r>
        <w:t>/day (</w:t>
      </w:r>
      <w:r w:rsidRPr="00C575DB">
        <w:t>Dworkin et al., 1966</w:t>
      </w:r>
      <w:r>
        <w:t xml:space="preserve">); and </w:t>
      </w:r>
    </w:p>
    <w:p w14:paraId="1A10DE0D" w14:textId="59B59866" w:rsidR="003138BD" w:rsidRDefault="003138BD" w:rsidP="4D0FE953">
      <w:pPr>
        <w:pStyle w:val="ListParagraph"/>
        <w:spacing w:before="0" w:after="160" w:line="259" w:lineRule="auto"/>
        <w:contextualSpacing/>
      </w:pPr>
      <w:r>
        <w:t xml:space="preserve">studies on the effect of iodine supplementation on maternal thyroid volume, with daily intakes of 250 to 280 </w:t>
      </w:r>
      <w:proofErr w:type="spellStart"/>
      <w:r>
        <w:t>μg</w:t>
      </w:r>
      <w:proofErr w:type="spellEnd"/>
      <w:r>
        <w:t>/day found to prevent goitre during pregnancy (Pedersen et al 1993), whereas intakes of 150μg/day were insufficient to prevent increased thyroid volume (</w:t>
      </w:r>
      <w:proofErr w:type="spellStart"/>
      <w:r w:rsidRPr="00583240">
        <w:t>Glinoer</w:t>
      </w:r>
      <w:proofErr w:type="spellEnd"/>
      <w:r w:rsidRPr="00583240">
        <w:t xml:space="preserve"> 1998</w:t>
      </w:r>
      <w:r>
        <w:t xml:space="preserve">). </w:t>
      </w:r>
    </w:p>
    <w:p w14:paraId="1423617B" w14:textId="77777777" w:rsidR="003138BD" w:rsidRDefault="003138BD" w:rsidP="003138BD">
      <w:r>
        <w:t xml:space="preserve">The RDI during pregnancy was estimated at 220 </w:t>
      </w:r>
      <w:proofErr w:type="spellStart"/>
      <w:r>
        <w:t>μg</w:t>
      </w:r>
      <w:proofErr w:type="spellEnd"/>
      <w:r>
        <w:t xml:space="preserve">/day, based on an EAR of 160 </w:t>
      </w:r>
      <w:proofErr w:type="spellStart"/>
      <w:r>
        <w:t>μg</w:t>
      </w:r>
      <w:proofErr w:type="spellEnd"/>
      <w:r>
        <w:t>/day and applying a 20% CV.</w:t>
      </w:r>
    </w:p>
    <w:p w14:paraId="2C5F6D79" w14:textId="77777777" w:rsidR="003138BD" w:rsidRDefault="003138BD" w:rsidP="003138BD">
      <w:pPr>
        <w:pStyle w:val="Heading5"/>
      </w:pPr>
      <w:r>
        <w:lastRenderedPageBreak/>
        <w:t>Lactation</w:t>
      </w:r>
    </w:p>
    <w:p w14:paraId="63F780DD" w14:textId="77777777" w:rsidR="003138BD" w:rsidRPr="00D536C6" w:rsidRDefault="003138BD" w:rsidP="003138BD">
      <w:r w:rsidRPr="00D536C6">
        <w:t>The EAR was set at 190</w:t>
      </w:r>
      <w:r>
        <w:t xml:space="preserve"> </w:t>
      </w:r>
      <w:proofErr w:type="spellStart"/>
      <w:r>
        <w:t>μg</w:t>
      </w:r>
      <w:proofErr w:type="spellEnd"/>
      <w:r>
        <w:t>/day,</w:t>
      </w:r>
      <w:r w:rsidRPr="00D536C6">
        <w:t xml:space="preserve"> based on the adult EAR (100</w:t>
      </w:r>
      <w:r>
        <w:t xml:space="preserve"> </w:t>
      </w:r>
      <w:proofErr w:type="spellStart"/>
      <w:r>
        <w:t>μg</w:t>
      </w:r>
      <w:proofErr w:type="spellEnd"/>
      <w:r>
        <w:t>/day</w:t>
      </w:r>
      <w:r w:rsidRPr="00D536C6">
        <w:t>) plus replacement of iodine secreted in breast milk estimated at 90</w:t>
      </w:r>
      <w:r>
        <w:t xml:space="preserve"> </w:t>
      </w:r>
      <w:proofErr w:type="spellStart"/>
      <w:r>
        <w:t>μg</w:t>
      </w:r>
      <w:proofErr w:type="spellEnd"/>
      <w:r>
        <w:t>/day</w:t>
      </w:r>
      <w:r w:rsidRPr="00D536C6">
        <w:t>. The replacement value of 90</w:t>
      </w:r>
      <w:r>
        <w:t xml:space="preserve"> </w:t>
      </w:r>
      <w:proofErr w:type="spellStart"/>
      <w:r>
        <w:t>μg</w:t>
      </w:r>
      <w:proofErr w:type="spellEnd"/>
      <w:r>
        <w:t>/day</w:t>
      </w:r>
      <w:r w:rsidRPr="00D536C6">
        <w:t xml:space="preserve"> was lower than the 114</w:t>
      </w:r>
      <w:r>
        <w:t xml:space="preserve"> </w:t>
      </w:r>
      <w:proofErr w:type="spellStart"/>
      <w:r>
        <w:t>μg</w:t>
      </w:r>
      <w:proofErr w:type="spellEnd"/>
      <w:r>
        <w:t>/day</w:t>
      </w:r>
      <w:r w:rsidRPr="00D536C6">
        <w:t xml:space="preserve"> estimated by the US IOM (based on </w:t>
      </w:r>
      <w:proofErr w:type="spellStart"/>
      <w:r w:rsidRPr="00D536C6">
        <w:t>Gushurst</w:t>
      </w:r>
      <w:proofErr w:type="spellEnd"/>
      <w:r w:rsidRPr="00D536C6">
        <w:t xml:space="preserve"> et al 1984) as the panel considered a broader range of studies on the topic (Delange e al 1984, </w:t>
      </w:r>
      <w:proofErr w:type="spellStart"/>
      <w:r w:rsidRPr="00D536C6">
        <w:t>Gushurst</w:t>
      </w:r>
      <w:proofErr w:type="spellEnd"/>
      <w:r w:rsidRPr="00D536C6">
        <w:t xml:space="preserve"> et al 1984, </w:t>
      </w:r>
      <w:proofErr w:type="gramStart"/>
      <w:r w:rsidRPr="00D536C6">
        <w:t>FAO:WHO</w:t>
      </w:r>
      <w:proofErr w:type="gramEnd"/>
      <w:r w:rsidRPr="00D536C6">
        <w:t xml:space="preserve"> 2001, Johnson et al 1990). The RDI was set at 270</w:t>
      </w:r>
      <w:r>
        <w:t xml:space="preserve"> </w:t>
      </w:r>
      <w:proofErr w:type="spellStart"/>
      <w:r>
        <w:t>μg</w:t>
      </w:r>
      <w:proofErr w:type="spellEnd"/>
      <w:r>
        <w:t>/day</w:t>
      </w:r>
      <w:r w:rsidRPr="00D536C6">
        <w:t xml:space="preserve"> assuming a CV of 20% for the EAR.</w:t>
      </w:r>
    </w:p>
    <w:p w14:paraId="29178A2F" w14:textId="77777777" w:rsidR="003138BD" w:rsidRDefault="003138BD" w:rsidP="003138BD">
      <w:pPr>
        <w:pStyle w:val="Heading5"/>
      </w:pPr>
      <w:r>
        <w:t>Children and adolescents</w:t>
      </w:r>
    </w:p>
    <w:p w14:paraId="071CF622" w14:textId="77777777" w:rsidR="003138BD" w:rsidRPr="001D00DB" w:rsidRDefault="003138BD" w:rsidP="003138BD">
      <w:pPr>
        <w:pStyle w:val="Heading6"/>
      </w:pPr>
      <w:r w:rsidRPr="001D00DB">
        <w:t xml:space="preserve">1 </w:t>
      </w:r>
      <w:r>
        <w:t>-</w:t>
      </w:r>
      <w:r w:rsidRPr="001D00DB">
        <w:t xml:space="preserve"> 3 years of age </w:t>
      </w:r>
    </w:p>
    <w:p w14:paraId="7D1B2DA5" w14:textId="77777777" w:rsidR="003138BD" w:rsidRDefault="003138BD" w:rsidP="003138BD">
      <w:r>
        <w:t>The EAR for children aged 1 to 3 years was based on a 4-day balance study in seven children aged 1.5 to 2.5 years (</w:t>
      </w:r>
      <w:proofErr w:type="spellStart"/>
      <w:r>
        <w:t>Ingenbleek</w:t>
      </w:r>
      <w:proofErr w:type="spellEnd"/>
      <w:r>
        <w:t xml:space="preserve"> and </w:t>
      </w:r>
      <w:proofErr w:type="spellStart"/>
      <w:r>
        <w:t>Malvaux</w:t>
      </w:r>
      <w:proofErr w:type="spellEnd"/>
      <w:r>
        <w:t xml:space="preserve"> 1974). Children were previously malnourished but had been nutritionally rehabilitated. Mean average iodine balance was positive (19 </w:t>
      </w:r>
      <w:proofErr w:type="spellStart"/>
      <w:r>
        <w:t>μg</w:t>
      </w:r>
      <w:proofErr w:type="spellEnd"/>
      <w:r>
        <w:t xml:space="preserve">/day) with a median iodine intake of 63.5 </w:t>
      </w:r>
      <w:proofErr w:type="spellStart"/>
      <w:r>
        <w:t>μg</w:t>
      </w:r>
      <w:proofErr w:type="spellEnd"/>
      <w:r>
        <w:t>/day</w:t>
      </w:r>
      <w:r w:rsidRPr="00841F91">
        <w:t xml:space="preserve">. This estimate was </w:t>
      </w:r>
      <w:r>
        <w:t xml:space="preserve">favoured over an </w:t>
      </w:r>
      <w:r w:rsidRPr="00841F91">
        <w:t>estimate of 36</w:t>
      </w:r>
      <w:r>
        <w:t> </w:t>
      </w:r>
      <w:proofErr w:type="spellStart"/>
      <w:r>
        <w:t>μg</w:t>
      </w:r>
      <w:proofErr w:type="spellEnd"/>
      <w:r>
        <w:t>/day</w:t>
      </w:r>
      <w:r w:rsidRPr="00841F91">
        <w:t xml:space="preserve"> obtained when adult recommendations were extrapolated based on body weight.</w:t>
      </w:r>
      <w:r>
        <w:t xml:space="preserve"> The RDI was calculated by applying a 20% CV.</w:t>
      </w:r>
    </w:p>
    <w:p w14:paraId="16B31518" w14:textId="77777777" w:rsidR="003138BD" w:rsidRPr="001D00DB" w:rsidRDefault="003138BD" w:rsidP="003138BD">
      <w:pPr>
        <w:pStyle w:val="Heading6"/>
      </w:pPr>
      <w:r>
        <w:t>4 -</w:t>
      </w:r>
      <w:r w:rsidRPr="001D00DB">
        <w:t xml:space="preserve"> </w:t>
      </w:r>
      <w:r>
        <w:t>8</w:t>
      </w:r>
      <w:r w:rsidRPr="001D00DB">
        <w:t xml:space="preserve"> years of age </w:t>
      </w:r>
    </w:p>
    <w:p w14:paraId="6F3D00D3" w14:textId="77777777" w:rsidR="003138BD" w:rsidRPr="00182E1C" w:rsidRDefault="003138BD" w:rsidP="003138BD">
      <w:pPr>
        <w:rPr>
          <w:rFonts w:cstheme="minorHAnsi"/>
          <w:i/>
          <w:iCs/>
        </w:rPr>
      </w:pPr>
      <w:r>
        <w:t xml:space="preserve">The EAR for children aged 4 to 8 years was derived from a 1969 </w:t>
      </w:r>
      <w:r w:rsidRPr="00182E1C">
        <w:t>balance study</w:t>
      </w:r>
      <w:r>
        <w:t xml:space="preserve">, based on the results from two </w:t>
      </w:r>
      <w:proofErr w:type="gramStart"/>
      <w:r>
        <w:t>8 year-old</w:t>
      </w:r>
      <w:proofErr w:type="gramEnd"/>
      <w:r>
        <w:t xml:space="preserve"> children with </w:t>
      </w:r>
      <w:r w:rsidRPr="00182E1C">
        <w:t>intakes of 20</w:t>
      </w:r>
      <w:r>
        <w:t xml:space="preserve"> or </w:t>
      </w:r>
      <w:r w:rsidRPr="00182E1C">
        <w:t>40</w:t>
      </w:r>
      <w:r>
        <w:t xml:space="preserve"> </w:t>
      </w:r>
      <w:proofErr w:type="spellStart"/>
      <w:r>
        <w:t>μg</w:t>
      </w:r>
      <w:proofErr w:type="spellEnd"/>
      <w:r>
        <w:t>/day</w:t>
      </w:r>
      <w:r>
        <w:rPr>
          <w:color w:val="000000"/>
          <w:shd w:val="clear" w:color="auto" w:fill="FFFFFF"/>
        </w:rPr>
        <w:t xml:space="preserve">, which resulted in </w:t>
      </w:r>
      <w:r w:rsidRPr="00182E1C">
        <w:rPr>
          <w:color w:val="000000"/>
          <w:shd w:val="clear" w:color="auto" w:fill="FFFFFF"/>
        </w:rPr>
        <w:t>negative balance (</w:t>
      </w:r>
      <w:r>
        <w:rPr>
          <w:color w:val="000000"/>
          <w:shd w:val="clear" w:color="auto" w:fill="FFFFFF"/>
        </w:rPr>
        <w:t>-</w:t>
      </w:r>
      <w:r w:rsidRPr="00182E1C">
        <w:rPr>
          <w:color w:val="000000"/>
          <w:shd w:val="clear" w:color="auto" w:fill="FFFFFF"/>
        </w:rPr>
        <w:t xml:space="preserve">23 </w:t>
      </w:r>
      <w:r>
        <w:rPr>
          <w:color w:val="000000"/>
          <w:shd w:val="clear" w:color="auto" w:fill="FFFFFF"/>
        </w:rPr>
        <w:t>or -</w:t>
      </w:r>
      <w:r w:rsidRPr="00182E1C">
        <w:rPr>
          <w:color w:val="000000"/>
          <w:shd w:val="clear" w:color="auto" w:fill="FFFFFF"/>
        </w:rPr>
        <w:t>26</w:t>
      </w:r>
      <w:r>
        <w:rPr>
          <w:color w:val="000000"/>
          <w:shd w:val="clear" w:color="auto" w:fill="FFFFFF"/>
        </w:rPr>
        <w:t>μg/day respectively</w:t>
      </w:r>
      <w:r w:rsidRPr="00182E1C">
        <w:rPr>
          <w:color w:val="000000"/>
          <w:shd w:val="clear" w:color="auto" w:fill="FFFFFF"/>
        </w:rPr>
        <w:t>)</w:t>
      </w:r>
      <w:r>
        <w:rPr>
          <w:color w:val="000000"/>
          <w:shd w:val="clear" w:color="auto" w:fill="FFFFFF"/>
        </w:rPr>
        <w:t xml:space="preserve"> (</w:t>
      </w:r>
      <w:proofErr w:type="spellStart"/>
      <w:r w:rsidRPr="00783D9F">
        <w:rPr>
          <w:color w:val="000000"/>
          <w:shd w:val="clear" w:color="auto" w:fill="FFFFFF"/>
        </w:rPr>
        <w:t>Malvaux</w:t>
      </w:r>
      <w:proofErr w:type="spellEnd"/>
      <w:r w:rsidRPr="00783D9F">
        <w:rPr>
          <w:color w:val="000000"/>
          <w:shd w:val="clear" w:color="auto" w:fill="FFFFFF"/>
        </w:rPr>
        <w:t xml:space="preserve"> et al. 1969</w:t>
      </w:r>
      <w:r>
        <w:rPr>
          <w:color w:val="000000"/>
          <w:shd w:val="clear" w:color="auto" w:fill="FFFFFF"/>
        </w:rPr>
        <w:t>)</w:t>
      </w:r>
      <w:r w:rsidRPr="00182E1C">
        <w:rPr>
          <w:color w:val="000000"/>
          <w:shd w:val="clear" w:color="auto" w:fill="FFFFFF"/>
        </w:rPr>
        <w:t>.</w:t>
      </w:r>
      <w:r w:rsidRPr="00182E1C">
        <w:t xml:space="preserve"> </w:t>
      </w:r>
      <w:r>
        <w:t xml:space="preserve">On this basis, the </w:t>
      </w:r>
      <w:r w:rsidRPr="00182E1C">
        <w:t xml:space="preserve">EAR </w:t>
      </w:r>
      <w:r>
        <w:t xml:space="preserve">was </w:t>
      </w:r>
      <w:r w:rsidRPr="00182E1C">
        <w:t>set to 65</w:t>
      </w:r>
      <w:r>
        <w:t>μg/day</w:t>
      </w:r>
      <w:r>
        <w:rPr>
          <w:color w:val="000000"/>
          <w:shd w:val="clear" w:color="auto" w:fill="FFFFFF"/>
        </w:rPr>
        <w:t xml:space="preserve"> and the corresponding </w:t>
      </w:r>
      <w:r w:rsidRPr="00182E1C">
        <w:t>RDI established at 90</w:t>
      </w:r>
      <w:r>
        <w:t>μg/day</w:t>
      </w:r>
      <w:r w:rsidRPr="00182E1C">
        <w:t xml:space="preserve"> using a 20% CV</w:t>
      </w:r>
      <w:r>
        <w:t>.</w:t>
      </w:r>
    </w:p>
    <w:p w14:paraId="125586F5" w14:textId="77777777" w:rsidR="003138BD" w:rsidRDefault="003138BD" w:rsidP="003138BD">
      <w:pPr>
        <w:pStyle w:val="Heading6"/>
      </w:pPr>
      <w:r>
        <w:t>9 - 13</w:t>
      </w:r>
      <w:r w:rsidRPr="001D00DB">
        <w:t xml:space="preserve"> years of age </w:t>
      </w:r>
    </w:p>
    <w:p w14:paraId="7627127B" w14:textId="77777777" w:rsidR="003138BD" w:rsidRDefault="003138BD" w:rsidP="003138BD">
      <w:r>
        <w:t>Several studies were considered when setting the EAR and RDI for children aged 9 to 13 years, although these resulted in substantially different estimates of requirements. Data from a study on goitre prevalence in European children aged 6 to 15 years (Delange et al 1997) suggested an RDI of 125 µg/day, and assuming median urine volume of 1.15L/day and 92% excretion (US IOM, 2001). Conversely, balance data from a subset (N=16) of participants aged 9 to 13 years in a 1969 balance study were also examined. Average iodine intake was 31 µg/</w:t>
      </w:r>
      <w:proofErr w:type="gramStart"/>
      <w:r>
        <w:t>day</w:t>
      </w:r>
      <w:proofErr w:type="gramEnd"/>
      <w:r>
        <w:t xml:space="preserve"> and average balance was -24 µg/day, suggesting an EAR of approximately 55 µg/day (Malveaux et al 1969). </w:t>
      </w:r>
    </w:p>
    <w:p w14:paraId="53FD02B3" w14:textId="77777777" w:rsidR="003138BD" w:rsidRDefault="003138BD" w:rsidP="003138BD">
      <w:r>
        <w:t>Ultimately, the EAR for</w:t>
      </w:r>
      <w:r w:rsidRPr="00182E1C">
        <w:t xml:space="preserve"> 9</w:t>
      </w:r>
      <w:r>
        <w:t xml:space="preserve"> </w:t>
      </w:r>
      <w:proofErr w:type="gramStart"/>
      <w:r>
        <w:t>-</w:t>
      </w:r>
      <w:r w:rsidRPr="00182E1C">
        <w:t>13 year</w:t>
      </w:r>
      <w:r>
        <w:t>-</w:t>
      </w:r>
      <w:r w:rsidRPr="00182E1C">
        <w:t>olds</w:t>
      </w:r>
      <w:proofErr w:type="gramEnd"/>
      <w:r w:rsidRPr="00182E1C">
        <w:t xml:space="preserve"> </w:t>
      </w:r>
      <w:r>
        <w:t>was developed by extrapolating values from adults - u</w:t>
      </w:r>
      <w:r w:rsidRPr="00182E1C">
        <w:t>sing metabolic body weight ratios</w:t>
      </w:r>
      <w:r>
        <w:t xml:space="preserve"> -</w:t>
      </w:r>
      <w:r w:rsidRPr="00182E1C">
        <w:t xml:space="preserve"> to arrive at an EAR of 75</w:t>
      </w:r>
      <w:r>
        <w:t xml:space="preserve"> </w:t>
      </w:r>
      <w:proofErr w:type="spellStart"/>
      <w:r>
        <w:t>μg</w:t>
      </w:r>
      <w:proofErr w:type="spellEnd"/>
      <w:r>
        <w:t>/day</w:t>
      </w:r>
      <w:r w:rsidRPr="00182E1C">
        <w:t xml:space="preserve"> and RDI of 120</w:t>
      </w:r>
      <w:r>
        <w:t xml:space="preserve"> </w:t>
      </w:r>
      <w:proofErr w:type="spellStart"/>
      <w:r>
        <w:t>μg</w:t>
      </w:r>
      <w:proofErr w:type="spellEnd"/>
      <w:r>
        <w:t>/day</w:t>
      </w:r>
      <w:r w:rsidRPr="00182E1C">
        <w:t xml:space="preserve"> established using a 20%</w:t>
      </w:r>
      <w:r>
        <w:t xml:space="preserve"> CV.</w:t>
      </w:r>
    </w:p>
    <w:p w14:paraId="2C5D7D59" w14:textId="77777777" w:rsidR="003138BD" w:rsidRPr="005338F4" w:rsidRDefault="003138BD" w:rsidP="003138BD">
      <w:pPr>
        <w:pStyle w:val="Heading6"/>
      </w:pPr>
      <w:r w:rsidRPr="005338F4">
        <w:t>14-18 years</w:t>
      </w:r>
      <w:r>
        <w:t xml:space="preserve"> of age</w:t>
      </w:r>
    </w:p>
    <w:p w14:paraId="199E7D86" w14:textId="77777777" w:rsidR="003138BD" w:rsidRPr="00182E1C" w:rsidRDefault="003138BD" w:rsidP="003138BD">
      <w:pPr>
        <w:spacing w:after="225"/>
      </w:pPr>
      <w:r>
        <w:t xml:space="preserve">In setting the EAR for children and adolescents aged 14 to 18 years, it was noted that negative balance (-24 </w:t>
      </w:r>
      <w:proofErr w:type="spellStart"/>
      <w:r>
        <w:t>μg</w:t>
      </w:r>
      <w:proofErr w:type="spellEnd"/>
      <w:r>
        <w:t>/day</w:t>
      </w:r>
      <w:r>
        <w:rPr>
          <w:color w:val="000000"/>
          <w:shd w:val="clear" w:color="auto" w:fill="FFFFFF"/>
        </w:rPr>
        <w:t xml:space="preserve">) was found in </w:t>
      </w:r>
      <w:r>
        <w:t xml:space="preserve">a subset of participants (N=10) aged 14 to 18 with an </w:t>
      </w:r>
      <w:r w:rsidRPr="00182E1C">
        <w:t xml:space="preserve">average </w:t>
      </w:r>
      <w:r>
        <w:t xml:space="preserve">daily </w:t>
      </w:r>
      <w:r w:rsidRPr="00182E1C">
        <w:t>intake of 34</w:t>
      </w:r>
      <w:r>
        <w:t xml:space="preserve"> </w:t>
      </w:r>
      <w:proofErr w:type="spellStart"/>
      <w:r w:rsidRPr="00182E1C">
        <w:rPr>
          <w:color w:val="000000"/>
          <w:shd w:val="clear" w:color="auto" w:fill="FFFFFF"/>
        </w:rPr>
        <w:t>μg</w:t>
      </w:r>
      <w:proofErr w:type="spellEnd"/>
      <w:r>
        <w:rPr>
          <w:color w:val="000000"/>
          <w:shd w:val="clear" w:color="auto" w:fill="FFFFFF"/>
        </w:rPr>
        <w:t xml:space="preserve"> (</w:t>
      </w:r>
      <w:proofErr w:type="spellStart"/>
      <w:r w:rsidRPr="00783D9F">
        <w:rPr>
          <w:color w:val="000000"/>
          <w:shd w:val="clear" w:color="auto" w:fill="FFFFFF"/>
        </w:rPr>
        <w:t>Malvaux</w:t>
      </w:r>
      <w:proofErr w:type="spellEnd"/>
      <w:r w:rsidRPr="00783D9F">
        <w:rPr>
          <w:color w:val="000000"/>
          <w:shd w:val="clear" w:color="auto" w:fill="FFFFFF"/>
        </w:rPr>
        <w:t xml:space="preserve"> et al. 1969</w:t>
      </w:r>
      <w:r>
        <w:rPr>
          <w:color w:val="000000"/>
          <w:shd w:val="clear" w:color="auto" w:fill="FFFFFF"/>
        </w:rPr>
        <w:t xml:space="preserve">). This resulted in a calculated </w:t>
      </w:r>
      <w:r w:rsidRPr="00182E1C">
        <w:rPr>
          <w:color w:val="000000"/>
          <w:shd w:val="clear" w:color="auto" w:fill="FFFFFF"/>
        </w:rPr>
        <w:t>average requirement of 58</w:t>
      </w:r>
      <w:r>
        <w:rPr>
          <w:color w:val="000000"/>
          <w:shd w:val="clear" w:color="auto" w:fill="FFFFFF"/>
        </w:rPr>
        <w:t xml:space="preserve"> </w:t>
      </w:r>
      <w:proofErr w:type="spellStart"/>
      <w:r>
        <w:rPr>
          <w:color w:val="000000"/>
          <w:shd w:val="clear" w:color="auto" w:fill="FFFFFF"/>
        </w:rPr>
        <w:t>μg</w:t>
      </w:r>
      <w:proofErr w:type="spellEnd"/>
      <w:r>
        <w:rPr>
          <w:color w:val="000000"/>
          <w:shd w:val="clear" w:color="auto" w:fill="FFFFFF"/>
        </w:rPr>
        <w:t>/day</w:t>
      </w:r>
      <w:r w:rsidRPr="00182E1C">
        <w:rPr>
          <w:color w:val="000000"/>
          <w:shd w:val="clear" w:color="auto" w:fill="FFFFFF"/>
        </w:rPr>
        <w:t>.</w:t>
      </w:r>
      <w:r w:rsidRPr="00182E1C">
        <w:t xml:space="preserve"> However</w:t>
      </w:r>
      <w:r>
        <w:t xml:space="preserve">, the EAR in this age group was instead derived by extrapolating values from adults using metabolic weight ratios, which yielded an estimated </w:t>
      </w:r>
      <w:r w:rsidRPr="00182E1C">
        <w:t xml:space="preserve">EAR </w:t>
      </w:r>
      <w:r>
        <w:t xml:space="preserve">of </w:t>
      </w:r>
      <w:r w:rsidRPr="00182E1C">
        <w:t>95</w:t>
      </w:r>
      <w:r>
        <w:t xml:space="preserve"> </w:t>
      </w:r>
      <w:proofErr w:type="spellStart"/>
      <w:r>
        <w:t>μg</w:t>
      </w:r>
      <w:proofErr w:type="spellEnd"/>
      <w:r>
        <w:t>/day</w:t>
      </w:r>
      <w:r w:rsidRPr="00182E1C">
        <w:rPr>
          <w:color w:val="000000"/>
          <w:shd w:val="clear" w:color="auto" w:fill="FFFFFF"/>
        </w:rPr>
        <w:t>.</w:t>
      </w:r>
      <w:r w:rsidRPr="00182E1C">
        <w:t xml:space="preserve"> RDI was established at 150</w:t>
      </w:r>
      <w:r>
        <w:t xml:space="preserve"> </w:t>
      </w:r>
      <w:proofErr w:type="spellStart"/>
      <w:r>
        <w:t>μg</w:t>
      </w:r>
      <w:proofErr w:type="spellEnd"/>
      <w:r>
        <w:t>/day</w:t>
      </w:r>
      <w:r w:rsidRPr="00182E1C">
        <w:t xml:space="preserve"> based on a 20% CV.</w:t>
      </w:r>
    </w:p>
    <w:p w14:paraId="70424E60" w14:textId="3C68C909" w:rsidR="003138BD" w:rsidRDefault="003138BD" w:rsidP="003138BD">
      <w:pPr>
        <w:pStyle w:val="TableTitle"/>
      </w:pPr>
      <w:bookmarkStart w:id="48" w:name="_Ref190958453"/>
      <w:r w:rsidRPr="005C14E0">
        <w:lastRenderedPageBreak/>
        <w:t>Estimated Average Requirement and Recommended Dietary Intake, or equivalent</w:t>
      </w:r>
      <w:r>
        <w:t>, by population and jurisdiction</w:t>
      </w:r>
      <w:bookmarkEnd w:id="48"/>
    </w:p>
    <w:tbl>
      <w:tblPr>
        <w:tblStyle w:val="TableGrid"/>
        <w:tblW w:w="10343" w:type="dxa"/>
        <w:jc w:val="center"/>
        <w:tblInd w:w="0" w:type="dxa"/>
        <w:tblLayout w:type="fixed"/>
        <w:tblLook w:val="04A0" w:firstRow="1" w:lastRow="0" w:firstColumn="1" w:lastColumn="0" w:noHBand="0" w:noVBand="1"/>
      </w:tblPr>
      <w:tblGrid>
        <w:gridCol w:w="1282"/>
        <w:gridCol w:w="1191"/>
        <w:gridCol w:w="704"/>
        <w:gridCol w:w="639"/>
        <w:gridCol w:w="815"/>
        <w:gridCol w:w="816"/>
        <w:gridCol w:w="816"/>
        <w:gridCol w:w="816"/>
        <w:gridCol w:w="816"/>
        <w:gridCol w:w="816"/>
        <w:gridCol w:w="816"/>
        <w:gridCol w:w="617"/>
        <w:gridCol w:w="199"/>
      </w:tblGrid>
      <w:tr w:rsidR="003138BD" w:rsidRPr="003138BD" w14:paraId="7B457C2B" w14:textId="77777777" w:rsidTr="00743F63">
        <w:trPr>
          <w:cantSplit/>
          <w:jc w:val="center"/>
        </w:trPr>
        <w:tc>
          <w:tcPr>
            <w:tcW w:w="1282" w:type="dxa"/>
            <w:vMerge w:val="restart"/>
          </w:tcPr>
          <w:p w14:paraId="3AC5AAC4" w14:textId="77777777" w:rsidR="003138BD" w:rsidRPr="003138BD" w:rsidRDefault="003138BD" w:rsidP="00743F63">
            <w:pPr>
              <w:pStyle w:val="NoSpacing"/>
              <w:keepNext/>
              <w:keepLines/>
              <w:spacing w:before="0" w:after="0"/>
              <w:ind w:left="-109" w:firstLine="2"/>
              <w:jc w:val="center"/>
              <w:rPr>
                <w:rFonts w:ascii="Gotham Book" w:hAnsi="Gotham Book" w:cstheme="minorHAnsi"/>
                <w:b/>
                <w:bCs/>
                <w:sz w:val="20"/>
                <w:szCs w:val="20"/>
              </w:rPr>
            </w:pPr>
            <w:r w:rsidRPr="003138BD">
              <w:rPr>
                <w:rFonts w:ascii="Gotham Book" w:hAnsi="Gotham Book" w:cstheme="minorHAnsi"/>
                <w:b/>
                <w:bCs/>
                <w:sz w:val="20"/>
                <w:szCs w:val="20"/>
              </w:rPr>
              <w:t>Population group</w:t>
            </w:r>
          </w:p>
        </w:tc>
        <w:tc>
          <w:tcPr>
            <w:tcW w:w="1191" w:type="dxa"/>
            <w:vMerge w:val="restart"/>
          </w:tcPr>
          <w:p w14:paraId="4C34FEA3" w14:textId="77777777" w:rsidR="003138BD" w:rsidRPr="003138BD" w:rsidRDefault="003138BD" w:rsidP="00743F63">
            <w:pPr>
              <w:pStyle w:val="NoSpacing"/>
              <w:keepNext/>
              <w:keepLines/>
              <w:spacing w:before="0" w:after="0"/>
              <w:ind w:left="-108" w:right="-184"/>
              <w:jc w:val="center"/>
              <w:rPr>
                <w:rFonts w:ascii="Gotham Book" w:hAnsi="Gotham Book" w:cstheme="minorHAnsi"/>
                <w:b/>
                <w:bCs/>
                <w:sz w:val="20"/>
                <w:szCs w:val="20"/>
              </w:rPr>
            </w:pPr>
            <w:r w:rsidRPr="003138BD">
              <w:rPr>
                <w:rFonts w:ascii="Gotham Book" w:hAnsi="Gotham Book" w:cstheme="minorHAnsi"/>
                <w:b/>
                <w:bCs/>
                <w:sz w:val="20"/>
                <w:szCs w:val="20"/>
              </w:rPr>
              <w:t>Age range (years)</w:t>
            </w:r>
          </w:p>
        </w:tc>
        <w:tc>
          <w:tcPr>
            <w:tcW w:w="1343" w:type="dxa"/>
            <w:gridSpan w:val="2"/>
          </w:tcPr>
          <w:p w14:paraId="2819A076"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US-Canada</w:t>
            </w:r>
          </w:p>
          <w:p w14:paraId="7A2DA242"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(IOM 2001)</w:t>
            </w:r>
          </w:p>
        </w:tc>
        <w:tc>
          <w:tcPr>
            <w:tcW w:w="1631" w:type="dxa"/>
            <w:gridSpan w:val="2"/>
          </w:tcPr>
          <w:p w14:paraId="43B6C48C"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UK</w:t>
            </w:r>
          </w:p>
          <w:p w14:paraId="559F1164"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gramStart"/>
            <w:r w:rsidRPr="003138BD">
              <w:rPr>
                <w:rFonts w:ascii="Gotham Book" w:hAnsi="Gotham Book" w:cstheme="minorHAnsi"/>
                <w:b/>
                <w:bCs/>
                <w:sz w:val="20"/>
                <w:szCs w:val="20"/>
              </w:rPr>
              <w:t>1991)*</w:t>
            </w:r>
            <w:proofErr w:type="gramEnd"/>
          </w:p>
        </w:tc>
        <w:tc>
          <w:tcPr>
            <w:tcW w:w="1632" w:type="dxa"/>
            <w:gridSpan w:val="2"/>
          </w:tcPr>
          <w:p w14:paraId="526AFDB2"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Australia-NZ</w:t>
            </w:r>
          </w:p>
          <w:p w14:paraId="6D9383BB"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NHMRC (2006)</w:t>
            </w:r>
          </w:p>
        </w:tc>
        <w:tc>
          <w:tcPr>
            <w:tcW w:w="1632" w:type="dxa"/>
            <w:gridSpan w:val="2"/>
          </w:tcPr>
          <w:p w14:paraId="4F31969E"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WHO (</w:t>
            </w:r>
            <w:proofErr w:type="gramStart"/>
            <w:r w:rsidRPr="003138BD">
              <w:rPr>
                <w:rFonts w:ascii="Gotham Book" w:hAnsi="Gotham Book" w:cstheme="minorHAnsi"/>
                <w:b/>
                <w:bCs/>
                <w:sz w:val="20"/>
                <w:szCs w:val="20"/>
              </w:rPr>
              <w:t>2007)*</w:t>
            </w:r>
            <w:proofErr w:type="gramEnd"/>
          </w:p>
        </w:tc>
        <w:tc>
          <w:tcPr>
            <w:tcW w:w="1632" w:type="dxa"/>
            <w:gridSpan w:val="3"/>
          </w:tcPr>
          <w:p w14:paraId="3C6C04A3"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Germany-Austria-Switzerland</w:t>
            </w:r>
          </w:p>
          <w:p w14:paraId="16FAC7DF"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D-A-CH</w:t>
            </w:r>
          </w:p>
          <w:p w14:paraId="2DD263A5"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gramStart"/>
            <w:r w:rsidRPr="003138BD">
              <w:rPr>
                <w:rFonts w:ascii="Gotham Book" w:hAnsi="Gotham Book" w:cstheme="minorHAnsi"/>
                <w:b/>
                <w:bCs/>
                <w:sz w:val="20"/>
                <w:szCs w:val="20"/>
              </w:rPr>
              <w:t>2013)*</w:t>
            </w:r>
            <w:proofErr w:type="gramEnd"/>
          </w:p>
        </w:tc>
      </w:tr>
      <w:tr w:rsidR="003138BD" w:rsidRPr="003138BD" w14:paraId="524ADCDC" w14:textId="77777777" w:rsidTr="00743F63">
        <w:trPr>
          <w:jc w:val="center"/>
        </w:trPr>
        <w:tc>
          <w:tcPr>
            <w:tcW w:w="1282" w:type="dxa"/>
            <w:vMerge/>
          </w:tcPr>
          <w:p w14:paraId="33B9658C" w14:textId="77777777" w:rsidR="003138BD" w:rsidRPr="003138BD" w:rsidRDefault="003138BD" w:rsidP="00743F63">
            <w:pPr>
              <w:pStyle w:val="NoSpacing"/>
              <w:keepNext/>
              <w:keepLines/>
              <w:spacing w:before="0" w:after="0"/>
              <w:ind w:left="-109" w:firstLine="2"/>
              <w:jc w:val="center"/>
              <w:rPr>
                <w:rFonts w:ascii="Gotham Book" w:hAnsi="Gotham Book" w:cstheme="minorHAnsi"/>
                <w:b/>
                <w:bCs/>
                <w:sz w:val="20"/>
                <w:szCs w:val="20"/>
              </w:rPr>
            </w:pPr>
          </w:p>
        </w:tc>
        <w:tc>
          <w:tcPr>
            <w:tcW w:w="1191" w:type="dxa"/>
            <w:vMerge/>
          </w:tcPr>
          <w:p w14:paraId="6A79834C" w14:textId="77777777" w:rsidR="003138BD" w:rsidRPr="003138BD" w:rsidRDefault="003138BD" w:rsidP="00743F63">
            <w:pPr>
              <w:pStyle w:val="NoSpacing"/>
              <w:keepNext/>
              <w:keepLines/>
              <w:spacing w:before="0" w:after="0"/>
              <w:ind w:left="-108" w:right="-184"/>
              <w:jc w:val="center"/>
              <w:rPr>
                <w:rFonts w:ascii="Gotham Book" w:hAnsi="Gotham Book" w:cstheme="minorHAnsi"/>
                <w:b/>
                <w:bCs/>
                <w:sz w:val="20"/>
                <w:szCs w:val="20"/>
              </w:rPr>
            </w:pPr>
          </w:p>
        </w:tc>
        <w:tc>
          <w:tcPr>
            <w:tcW w:w="704" w:type="dxa"/>
          </w:tcPr>
          <w:p w14:paraId="52AEF9D6"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EAR</w:t>
            </w:r>
          </w:p>
          <w:p w14:paraId="1DB370EB"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639" w:type="dxa"/>
          </w:tcPr>
          <w:p w14:paraId="07FFA99D"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RDI</w:t>
            </w:r>
          </w:p>
          <w:p w14:paraId="761A8F06"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815" w:type="dxa"/>
          </w:tcPr>
          <w:p w14:paraId="73EDD2B6"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EAR</w:t>
            </w:r>
          </w:p>
          <w:p w14:paraId="05B981F0"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816" w:type="dxa"/>
          </w:tcPr>
          <w:p w14:paraId="38BA845E"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RDI</w:t>
            </w:r>
          </w:p>
          <w:p w14:paraId="6674DC1E"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816" w:type="dxa"/>
          </w:tcPr>
          <w:p w14:paraId="2C2D602A"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EAR</w:t>
            </w:r>
          </w:p>
          <w:p w14:paraId="63CEE8FF"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816" w:type="dxa"/>
          </w:tcPr>
          <w:p w14:paraId="13CD7241"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RDI</w:t>
            </w:r>
          </w:p>
          <w:p w14:paraId="4BA4E581"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816" w:type="dxa"/>
          </w:tcPr>
          <w:p w14:paraId="1005610E"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EAR</w:t>
            </w:r>
          </w:p>
          <w:p w14:paraId="39690BBC"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816" w:type="dxa"/>
          </w:tcPr>
          <w:p w14:paraId="0DF4073D"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RDI</w:t>
            </w:r>
          </w:p>
          <w:p w14:paraId="65C65DC3"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816" w:type="dxa"/>
          </w:tcPr>
          <w:p w14:paraId="0608014C"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EAR</w:t>
            </w:r>
          </w:p>
          <w:p w14:paraId="7C2672F5"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816" w:type="dxa"/>
            <w:gridSpan w:val="2"/>
          </w:tcPr>
          <w:p w14:paraId="6A15239A"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RDI</w:t>
            </w:r>
          </w:p>
          <w:p w14:paraId="4803BBDD" w14:textId="77777777" w:rsidR="003138BD" w:rsidRPr="003138BD" w:rsidRDefault="003138BD" w:rsidP="00743F63">
            <w:pPr>
              <w:pStyle w:val="NoSpacing"/>
              <w:keepNext/>
              <w:keepLines/>
              <w:spacing w:before="0" w:after="0"/>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r>
      <w:tr w:rsidR="003138BD" w:rsidRPr="003138BD" w14:paraId="6DFBD227" w14:textId="77777777" w:rsidTr="00743F63">
        <w:trPr>
          <w:jc w:val="center"/>
        </w:trPr>
        <w:tc>
          <w:tcPr>
            <w:tcW w:w="1282" w:type="dxa"/>
          </w:tcPr>
          <w:p w14:paraId="1D07BA04" w14:textId="77777777" w:rsidR="003138BD" w:rsidRPr="003138BD" w:rsidRDefault="003138BD" w:rsidP="00743F63">
            <w:pPr>
              <w:pStyle w:val="NoSpacing"/>
              <w:keepNext/>
              <w:keepLines/>
              <w:spacing w:before="0" w:after="0"/>
              <w:rPr>
                <w:rFonts w:ascii="Gotham Book" w:hAnsi="Gotham Book" w:cstheme="minorHAnsi"/>
                <w:sz w:val="20"/>
                <w:szCs w:val="20"/>
              </w:rPr>
            </w:pPr>
            <w:r w:rsidRPr="003138BD">
              <w:rPr>
                <w:rFonts w:ascii="Gotham Book" w:hAnsi="Gotham Book" w:cstheme="minorHAnsi"/>
                <w:sz w:val="20"/>
                <w:szCs w:val="20"/>
              </w:rPr>
              <w:t>Adults</w:t>
            </w:r>
          </w:p>
        </w:tc>
        <w:tc>
          <w:tcPr>
            <w:tcW w:w="1191" w:type="dxa"/>
          </w:tcPr>
          <w:p w14:paraId="4C77F9FA"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19+</w:t>
            </w:r>
          </w:p>
        </w:tc>
        <w:tc>
          <w:tcPr>
            <w:tcW w:w="704" w:type="dxa"/>
          </w:tcPr>
          <w:p w14:paraId="31BDD373"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95</w:t>
            </w:r>
          </w:p>
        </w:tc>
        <w:tc>
          <w:tcPr>
            <w:tcW w:w="639" w:type="dxa"/>
          </w:tcPr>
          <w:p w14:paraId="5A659E45"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150</w:t>
            </w:r>
          </w:p>
        </w:tc>
        <w:tc>
          <w:tcPr>
            <w:tcW w:w="815" w:type="dxa"/>
          </w:tcPr>
          <w:p w14:paraId="07759F73"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NS</w:t>
            </w:r>
          </w:p>
        </w:tc>
        <w:tc>
          <w:tcPr>
            <w:tcW w:w="816" w:type="dxa"/>
          </w:tcPr>
          <w:p w14:paraId="4672C536"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140</w:t>
            </w:r>
          </w:p>
        </w:tc>
        <w:tc>
          <w:tcPr>
            <w:tcW w:w="816" w:type="dxa"/>
          </w:tcPr>
          <w:p w14:paraId="3C047891"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100</w:t>
            </w:r>
          </w:p>
        </w:tc>
        <w:tc>
          <w:tcPr>
            <w:tcW w:w="816" w:type="dxa"/>
          </w:tcPr>
          <w:p w14:paraId="12922540"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150</w:t>
            </w:r>
          </w:p>
        </w:tc>
        <w:tc>
          <w:tcPr>
            <w:tcW w:w="816" w:type="dxa"/>
          </w:tcPr>
          <w:p w14:paraId="0BABC22C"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tcPr>
          <w:p w14:paraId="5744D51E"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150</w:t>
            </w:r>
          </w:p>
        </w:tc>
        <w:tc>
          <w:tcPr>
            <w:tcW w:w="816" w:type="dxa"/>
          </w:tcPr>
          <w:p w14:paraId="06B0D684"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gridSpan w:val="2"/>
          </w:tcPr>
          <w:p w14:paraId="492227AC"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180</w:t>
            </w:r>
            <w:r w:rsidRPr="003138BD">
              <w:rPr>
                <w:rFonts w:ascii="Gotham Book" w:hAnsi="Gotham Book" w:cstheme="minorHAnsi"/>
                <w:sz w:val="20"/>
                <w:szCs w:val="20"/>
                <w:vertAlign w:val="superscript"/>
              </w:rPr>
              <w:t>1</w:t>
            </w:r>
          </w:p>
          <w:p w14:paraId="3E58C149" w14:textId="77777777" w:rsidR="003138BD" w:rsidRPr="003138BD" w:rsidRDefault="003138BD" w:rsidP="00743F63">
            <w:pPr>
              <w:pStyle w:val="NoSpacing"/>
              <w:keepNext/>
              <w:keepLines/>
              <w:spacing w:before="0" w:after="0"/>
              <w:jc w:val="center"/>
              <w:rPr>
                <w:rFonts w:ascii="Gotham Book" w:hAnsi="Gotham Book" w:cstheme="minorHAnsi"/>
                <w:sz w:val="20"/>
                <w:szCs w:val="20"/>
              </w:rPr>
            </w:pPr>
            <w:r w:rsidRPr="003138BD">
              <w:rPr>
                <w:rFonts w:ascii="Gotham Book" w:hAnsi="Gotham Book" w:cstheme="minorHAnsi"/>
                <w:sz w:val="20"/>
                <w:szCs w:val="20"/>
              </w:rPr>
              <w:t>200</w:t>
            </w:r>
            <w:r w:rsidRPr="003138BD">
              <w:rPr>
                <w:rFonts w:ascii="Gotham Book" w:hAnsi="Gotham Book" w:cstheme="minorHAnsi"/>
                <w:sz w:val="20"/>
                <w:szCs w:val="20"/>
                <w:vertAlign w:val="superscript"/>
              </w:rPr>
              <w:t>2</w:t>
            </w:r>
          </w:p>
        </w:tc>
      </w:tr>
      <w:tr w:rsidR="003138BD" w:rsidRPr="003138BD" w14:paraId="18136F2B" w14:textId="77777777" w:rsidTr="00743F63">
        <w:trPr>
          <w:jc w:val="center"/>
        </w:trPr>
        <w:tc>
          <w:tcPr>
            <w:tcW w:w="1282" w:type="dxa"/>
          </w:tcPr>
          <w:p w14:paraId="70BA0AB1" w14:textId="77777777" w:rsidR="003138BD" w:rsidRPr="003138BD" w:rsidRDefault="003138BD" w:rsidP="00743F63">
            <w:pPr>
              <w:pStyle w:val="NoSpacing"/>
              <w:spacing w:before="0" w:after="0"/>
              <w:rPr>
                <w:rFonts w:ascii="Gotham Book" w:hAnsi="Gotham Book" w:cstheme="minorHAnsi"/>
                <w:sz w:val="20"/>
                <w:szCs w:val="20"/>
              </w:rPr>
            </w:pPr>
            <w:r w:rsidRPr="003138BD">
              <w:rPr>
                <w:rFonts w:ascii="Gotham Book" w:hAnsi="Gotham Book" w:cstheme="minorHAnsi"/>
                <w:sz w:val="20"/>
                <w:szCs w:val="20"/>
              </w:rPr>
              <w:t>Pregnancy</w:t>
            </w:r>
          </w:p>
        </w:tc>
        <w:tc>
          <w:tcPr>
            <w:tcW w:w="1191" w:type="dxa"/>
          </w:tcPr>
          <w:p w14:paraId="2C391121"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14-50</w:t>
            </w:r>
          </w:p>
        </w:tc>
        <w:tc>
          <w:tcPr>
            <w:tcW w:w="704" w:type="dxa"/>
          </w:tcPr>
          <w:p w14:paraId="2452D6F6"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160</w:t>
            </w:r>
          </w:p>
        </w:tc>
        <w:tc>
          <w:tcPr>
            <w:tcW w:w="639" w:type="dxa"/>
          </w:tcPr>
          <w:p w14:paraId="190D6925"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220</w:t>
            </w:r>
          </w:p>
        </w:tc>
        <w:tc>
          <w:tcPr>
            <w:tcW w:w="815" w:type="dxa"/>
          </w:tcPr>
          <w:p w14:paraId="328778C0"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NS</w:t>
            </w:r>
          </w:p>
        </w:tc>
        <w:tc>
          <w:tcPr>
            <w:tcW w:w="816" w:type="dxa"/>
          </w:tcPr>
          <w:p w14:paraId="12301C18"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140</w:t>
            </w:r>
          </w:p>
        </w:tc>
        <w:tc>
          <w:tcPr>
            <w:tcW w:w="816" w:type="dxa"/>
          </w:tcPr>
          <w:p w14:paraId="5AB27CFD"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160</w:t>
            </w:r>
          </w:p>
        </w:tc>
        <w:tc>
          <w:tcPr>
            <w:tcW w:w="816" w:type="dxa"/>
          </w:tcPr>
          <w:p w14:paraId="0C71DF90"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220</w:t>
            </w:r>
          </w:p>
        </w:tc>
        <w:tc>
          <w:tcPr>
            <w:tcW w:w="816" w:type="dxa"/>
          </w:tcPr>
          <w:p w14:paraId="079A4F23"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tcPr>
          <w:p w14:paraId="45DAB18E"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250^</w:t>
            </w:r>
          </w:p>
        </w:tc>
        <w:tc>
          <w:tcPr>
            <w:tcW w:w="816" w:type="dxa"/>
          </w:tcPr>
          <w:p w14:paraId="71DA6522"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gridSpan w:val="2"/>
          </w:tcPr>
          <w:p w14:paraId="6266AD4E"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230</w:t>
            </w:r>
          </w:p>
        </w:tc>
      </w:tr>
      <w:tr w:rsidR="003138BD" w:rsidRPr="003138BD" w14:paraId="7F70613B" w14:textId="77777777" w:rsidTr="00743F63">
        <w:trPr>
          <w:jc w:val="center"/>
        </w:trPr>
        <w:tc>
          <w:tcPr>
            <w:tcW w:w="1282" w:type="dxa"/>
            <w:tcBorders>
              <w:bottom w:val="single" w:sz="4" w:space="0" w:color="auto"/>
            </w:tcBorders>
          </w:tcPr>
          <w:p w14:paraId="3C9C7254" w14:textId="77777777" w:rsidR="003138BD" w:rsidRPr="003138BD" w:rsidRDefault="003138BD" w:rsidP="00743F63">
            <w:pPr>
              <w:pStyle w:val="NoSpacing"/>
              <w:spacing w:before="0" w:after="0"/>
              <w:rPr>
                <w:rFonts w:ascii="Gotham Book" w:hAnsi="Gotham Book" w:cstheme="minorHAnsi"/>
                <w:sz w:val="20"/>
                <w:szCs w:val="20"/>
              </w:rPr>
            </w:pPr>
            <w:r w:rsidRPr="003138BD">
              <w:rPr>
                <w:rFonts w:ascii="Gotham Book" w:hAnsi="Gotham Book" w:cstheme="minorHAnsi"/>
                <w:sz w:val="20"/>
                <w:szCs w:val="20"/>
              </w:rPr>
              <w:t>Lactation</w:t>
            </w:r>
          </w:p>
        </w:tc>
        <w:tc>
          <w:tcPr>
            <w:tcW w:w="1191" w:type="dxa"/>
            <w:tcBorders>
              <w:bottom w:val="single" w:sz="4" w:space="0" w:color="auto"/>
            </w:tcBorders>
          </w:tcPr>
          <w:p w14:paraId="58DAD2B6"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14-50</w:t>
            </w:r>
          </w:p>
        </w:tc>
        <w:tc>
          <w:tcPr>
            <w:tcW w:w="704" w:type="dxa"/>
            <w:tcBorders>
              <w:bottom w:val="single" w:sz="4" w:space="0" w:color="auto"/>
            </w:tcBorders>
          </w:tcPr>
          <w:p w14:paraId="5DD273EC"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209</w:t>
            </w:r>
          </w:p>
        </w:tc>
        <w:tc>
          <w:tcPr>
            <w:tcW w:w="639" w:type="dxa"/>
            <w:tcBorders>
              <w:bottom w:val="single" w:sz="4" w:space="0" w:color="auto"/>
            </w:tcBorders>
          </w:tcPr>
          <w:p w14:paraId="6DB5FC79"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290</w:t>
            </w:r>
          </w:p>
        </w:tc>
        <w:tc>
          <w:tcPr>
            <w:tcW w:w="815" w:type="dxa"/>
            <w:tcBorders>
              <w:bottom w:val="single" w:sz="4" w:space="0" w:color="auto"/>
            </w:tcBorders>
          </w:tcPr>
          <w:p w14:paraId="79A3A2B1"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NS</w:t>
            </w:r>
          </w:p>
        </w:tc>
        <w:tc>
          <w:tcPr>
            <w:tcW w:w="816" w:type="dxa"/>
            <w:tcBorders>
              <w:bottom w:val="single" w:sz="4" w:space="0" w:color="auto"/>
            </w:tcBorders>
          </w:tcPr>
          <w:p w14:paraId="15A56082"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140</w:t>
            </w:r>
          </w:p>
        </w:tc>
        <w:tc>
          <w:tcPr>
            <w:tcW w:w="816" w:type="dxa"/>
            <w:tcBorders>
              <w:bottom w:val="single" w:sz="4" w:space="0" w:color="auto"/>
            </w:tcBorders>
          </w:tcPr>
          <w:p w14:paraId="0474069D"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190</w:t>
            </w:r>
          </w:p>
        </w:tc>
        <w:tc>
          <w:tcPr>
            <w:tcW w:w="816" w:type="dxa"/>
            <w:tcBorders>
              <w:bottom w:val="single" w:sz="4" w:space="0" w:color="auto"/>
            </w:tcBorders>
          </w:tcPr>
          <w:p w14:paraId="722E6F07"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270</w:t>
            </w:r>
          </w:p>
        </w:tc>
        <w:tc>
          <w:tcPr>
            <w:tcW w:w="816" w:type="dxa"/>
            <w:tcBorders>
              <w:bottom w:val="single" w:sz="4" w:space="0" w:color="auto"/>
            </w:tcBorders>
          </w:tcPr>
          <w:p w14:paraId="7A665002"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tcBorders>
              <w:bottom w:val="single" w:sz="4" w:space="0" w:color="auto"/>
            </w:tcBorders>
          </w:tcPr>
          <w:p w14:paraId="42184F4B"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250</w:t>
            </w:r>
          </w:p>
        </w:tc>
        <w:tc>
          <w:tcPr>
            <w:tcW w:w="816" w:type="dxa"/>
            <w:tcBorders>
              <w:bottom w:val="single" w:sz="4" w:space="0" w:color="auto"/>
            </w:tcBorders>
          </w:tcPr>
          <w:p w14:paraId="39A6BFBF"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gridSpan w:val="2"/>
            <w:tcBorders>
              <w:bottom w:val="single" w:sz="4" w:space="0" w:color="auto"/>
            </w:tcBorders>
          </w:tcPr>
          <w:p w14:paraId="4D16D183"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260</w:t>
            </w:r>
          </w:p>
        </w:tc>
      </w:tr>
      <w:tr w:rsidR="003138BD" w:rsidRPr="003138BD" w14:paraId="4F605065" w14:textId="77777777" w:rsidTr="00743F63">
        <w:trPr>
          <w:jc w:val="center"/>
        </w:trPr>
        <w:tc>
          <w:tcPr>
            <w:tcW w:w="1282" w:type="dxa"/>
            <w:vMerge w:val="restart"/>
          </w:tcPr>
          <w:p w14:paraId="154F220D" w14:textId="77777777" w:rsidR="003138BD" w:rsidRPr="003138BD" w:rsidRDefault="003138BD" w:rsidP="00743F63">
            <w:pPr>
              <w:pStyle w:val="NoSpacing"/>
              <w:spacing w:before="0" w:after="0"/>
              <w:rPr>
                <w:rFonts w:ascii="Gotham Book" w:hAnsi="Gotham Book" w:cstheme="minorHAnsi"/>
                <w:sz w:val="20"/>
                <w:szCs w:val="20"/>
              </w:rPr>
            </w:pPr>
            <w:r w:rsidRPr="003138BD">
              <w:rPr>
                <w:rFonts w:ascii="Gotham Book" w:hAnsi="Gotham Book" w:cstheme="minorHAnsi"/>
                <w:sz w:val="20"/>
                <w:szCs w:val="20"/>
              </w:rPr>
              <w:t>Children/</w:t>
            </w:r>
          </w:p>
          <w:p w14:paraId="17DA0BE4" w14:textId="77777777" w:rsidR="003138BD" w:rsidRPr="003138BD" w:rsidRDefault="003138BD" w:rsidP="00743F63">
            <w:pPr>
              <w:pStyle w:val="NoSpacing"/>
              <w:spacing w:before="0" w:after="0"/>
              <w:rPr>
                <w:rFonts w:ascii="Gotham Book" w:hAnsi="Gotham Book" w:cstheme="minorHAnsi"/>
                <w:sz w:val="20"/>
                <w:szCs w:val="20"/>
              </w:rPr>
            </w:pPr>
            <w:r w:rsidRPr="003138BD">
              <w:rPr>
                <w:rFonts w:ascii="Gotham Book" w:hAnsi="Gotham Book" w:cstheme="minorHAnsi"/>
                <w:sz w:val="20"/>
                <w:szCs w:val="20"/>
              </w:rPr>
              <w:t>adolescents</w:t>
            </w:r>
          </w:p>
        </w:tc>
        <w:tc>
          <w:tcPr>
            <w:tcW w:w="1191" w:type="dxa"/>
          </w:tcPr>
          <w:p w14:paraId="2306E207"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14-18</w:t>
            </w:r>
          </w:p>
        </w:tc>
        <w:tc>
          <w:tcPr>
            <w:tcW w:w="704" w:type="dxa"/>
          </w:tcPr>
          <w:p w14:paraId="5A19E2DC"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95</w:t>
            </w:r>
          </w:p>
        </w:tc>
        <w:tc>
          <w:tcPr>
            <w:tcW w:w="639" w:type="dxa"/>
          </w:tcPr>
          <w:p w14:paraId="2E20F43B"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150</w:t>
            </w:r>
          </w:p>
        </w:tc>
        <w:tc>
          <w:tcPr>
            <w:tcW w:w="815" w:type="dxa"/>
          </w:tcPr>
          <w:p w14:paraId="41463AE6"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NS</w:t>
            </w:r>
          </w:p>
        </w:tc>
        <w:tc>
          <w:tcPr>
            <w:tcW w:w="816" w:type="dxa"/>
          </w:tcPr>
          <w:p w14:paraId="3E4E5DA0"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130-140</w:t>
            </w:r>
          </w:p>
        </w:tc>
        <w:tc>
          <w:tcPr>
            <w:tcW w:w="816" w:type="dxa"/>
          </w:tcPr>
          <w:p w14:paraId="5F6A9552"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95</w:t>
            </w:r>
          </w:p>
        </w:tc>
        <w:tc>
          <w:tcPr>
            <w:tcW w:w="816" w:type="dxa"/>
          </w:tcPr>
          <w:p w14:paraId="16EF4E99"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150</w:t>
            </w:r>
          </w:p>
        </w:tc>
        <w:tc>
          <w:tcPr>
            <w:tcW w:w="816" w:type="dxa"/>
          </w:tcPr>
          <w:p w14:paraId="75A6F4F5"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tcPr>
          <w:p w14:paraId="21104FBF"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250</w:t>
            </w:r>
          </w:p>
        </w:tc>
        <w:tc>
          <w:tcPr>
            <w:tcW w:w="816" w:type="dxa"/>
          </w:tcPr>
          <w:p w14:paraId="09D005DE"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gridSpan w:val="2"/>
          </w:tcPr>
          <w:p w14:paraId="0C7DC0F6"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200</w:t>
            </w:r>
            <w:r w:rsidRPr="003138BD">
              <w:rPr>
                <w:rFonts w:ascii="Gotham Book" w:hAnsi="Gotham Book" w:cstheme="minorHAnsi"/>
                <w:sz w:val="20"/>
                <w:szCs w:val="20"/>
                <w:vertAlign w:val="superscript"/>
              </w:rPr>
              <w:t>3</w:t>
            </w:r>
          </w:p>
        </w:tc>
      </w:tr>
      <w:tr w:rsidR="003138BD" w:rsidRPr="003138BD" w14:paraId="41722A36" w14:textId="77777777" w:rsidTr="00743F63">
        <w:trPr>
          <w:jc w:val="center"/>
        </w:trPr>
        <w:tc>
          <w:tcPr>
            <w:tcW w:w="1282" w:type="dxa"/>
            <w:vMerge/>
          </w:tcPr>
          <w:p w14:paraId="3CF900EB" w14:textId="77777777" w:rsidR="003138BD" w:rsidRPr="003138BD" w:rsidRDefault="003138BD" w:rsidP="00743F63">
            <w:pPr>
              <w:pStyle w:val="NoSpacing"/>
              <w:spacing w:before="0" w:after="0"/>
              <w:rPr>
                <w:rFonts w:ascii="Gotham Book" w:hAnsi="Gotham Book" w:cstheme="minorHAnsi"/>
                <w:sz w:val="20"/>
                <w:szCs w:val="20"/>
              </w:rPr>
            </w:pPr>
          </w:p>
        </w:tc>
        <w:tc>
          <w:tcPr>
            <w:tcW w:w="1191" w:type="dxa"/>
          </w:tcPr>
          <w:p w14:paraId="37A50320"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9-13</w:t>
            </w:r>
          </w:p>
        </w:tc>
        <w:tc>
          <w:tcPr>
            <w:tcW w:w="704" w:type="dxa"/>
          </w:tcPr>
          <w:p w14:paraId="5075AE9A"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73</w:t>
            </w:r>
          </w:p>
        </w:tc>
        <w:tc>
          <w:tcPr>
            <w:tcW w:w="639" w:type="dxa"/>
          </w:tcPr>
          <w:p w14:paraId="4DB82AD4"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120</w:t>
            </w:r>
          </w:p>
        </w:tc>
        <w:tc>
          <w:tcPr>
            <w:tcW w:w="815" w:type="dxa"/>
          </w:tcPr>
          <w:p w14:paraId="2D4FDB89"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NS</w:t>
            </w:r>
          </w:p>
        </w:tc>
        <w:tc>
          <w:tcPr>
            <w:tcW w:w="816" w:type="dxa"/>
          </w:tcPr>
          <w:p w14:paraId="6BA5EC69"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110</w:t>
            </w:r>
            <w:r w:rsidRPr="003138BD">
              <w:rPr>
                <w:rFonts w:ascii="Gotham Book" w:hAnsi="Gotham Book" w:cstheme="minorHAnsi"/>
                <w:sz w:val="20"/>
                <w:szCs w:val="20"/>
                <w:vertAlign w:val="superscript"/>
              </w:rPr>
              <w:t>4</w:t>
            </w:r>
          </w:p>
        </w:tc>
        <w:tc>
          <w:tcPr>
            <w:tcW w:w="816" w:type="dxa"/>
          </w:tcPr>
          <w:p w14:paraId="576B6996"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75</w:t>
            </w:r>
          </w:p>
        </w:tc>
        <w:tc>
          <w:tcPr>
            <w:tcW w:w="816" w:type="dxa"/>
          </w:tcPr>
          <w:p w14:paraId="4EBE79A1"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120</w:t>
            </w:r>
          </w:p>
        </w:tc>
        <w:tc>
          <w:tcPr>
            <w:tcW w:w="816" w:type="dxa"/>
          </w:tcPr>
          <w:p w14:paraId="7C4D0308"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tcPr>
          <w:p w14:paraId="317A392D"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150</w:t>
            </w:r>
            <w:r w:rsidRPr="003138BD">
              <w:rPr>
                <w:rFonts w:ascii="Gotham Book" w:hAnsi="Gotham Book" w:cstheme="minorHAnsi"/>
                <w:sz w:val="20"/>
                <w:szCs w:val="20"/>
                <w:vertAlign w:val="superscript"/>
              </w:rPr>
              <w:t>5</w:t>
            </w:r>
          </w:p>
        </w:tc>
        <w:tc>
          <w:tcPr>
            <w:tcW w:w="816" w:type="dxa"/>
          </w:tcPr>
          <w:p w14:paraId="38F04326"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gridSpan w:val="2"/>
          </w:tcPr>
          <w:p w14:paraId="744CCD70"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180</w:t>
            </w:r>
            <w:r w:rsidRPr="003138BD">
              <w:rPr>
                <w:rFonts w:ascii="Gotham Book" w:hAnsi="Gotham Book" w:cstheme="minorHAnsi"/>
                <w:sz w:val="20"/>
                <w:szCs w:val="20"/>
                <w:vertAlign w:val="superscript"/>
              </w:rPr>
              <w:t>6</w:t>
            </w:r>
          </w:p>
        </w:tc>
      </w:tr>
      <w:tr w:rsidR="003138BD" w:rsidRPr="003138BD" w14:paraId="6FC72805" w14:textId="77777777" w:rsidTr="00743F63">
        <w:trPr>
          <w:trHeight w:val="63"/>
          <w:jc w:val="center"/>
        </w:trPr>
        <w:tc>
          <w:tcPr>
            <w:tcW w:w="1282" w:type="dxa"/>
            <w:vMerge/>
          </w:tcPr>
          <w:p w14:paraId="53CA4271" w14:textId="77777777" w:rsidR="003138BD" w:rsidRPr="003138BD" w:rsidRDefault="003138BD" w:rsidP="00743F63">
            <w:pPr>
              <w:pStyle w:val="NoSpacing"/>
              <w:spacing w:before="0" w:after="0"/>
              <w:rPr>
                <w:rFonts w:ascii="Gotham Book" w:hAnsi="Gotham Book" w:cstheme="minorHAnsi"/>
                <w:sz w:val="20"/>
                <w:szCs w:val="20"/>
              </w:rPr>
            </w:pPr>
          </w:p>
        </w:tc>
        <w:tc>
          <w:tcPr>
            <w:tcW w:w="1191" w:type="dxa"/>
          </w:tcPr>
          <w:p w14:paraId="1163C750"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4-8</w:t>
            </w:r>
          </w:p>
        </w:tc>
        <w:tc>
          <w:tcPr>
            <w:tcW w:w="704" w:type="dxa"/>
          </w:tcPr>
          <w:p w14:paraId="3BE20EDF"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65</w:t>
            </w:r>
          </w:p>
        </w:tc>
        <w:tc>
          <w:tcPr>
            <w:tcW w:w="639" w:type="dxa"/>
          </w:tcPr>
          <w:p w14:paraId="6A614D70"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90</w:t>
            </w:r>
          </w:p>
        </w:tc>
        <w:tc>
          <w:tcPr>
            <w:tcW w:w="815" w:type="dxa"/>
          </w:tcPr>
          <w:p w14:paraId="31E4A605"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NS</w:t>
            </w:r>
          </w:p>
        </w:tc>
        <w:tc>
          <w:tcPr>
            <w:tcW w:w="816" w:type="dxa"/>
          </w:tcPr>
          <w:p w14:paraId="2BC1C99C"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100</w:t>
            </w:r>
            <w:r w:rsidRPr="003138BD">
              <w:rPr>
                <w:rFonts w:ascii="Gotham Book" w:hAnsi="Gotham Book" w:cstheme="minorHAnsi"/>
                <w:sz w:val="20"/>
                <w:szCs w:val="20"/>
                <w:vertAlign w:val="superscript"/>
              </w:rPr>
              <w:t>7</w:t>
            </w:r>
          </w:p>
        </w:tc>
        <w:tc>
          <w:tcPr>
            <w:tcW w:w="816" w:type="dxa"/>
          </w:tcPr>
          <w:p w14:paraId="44603D90"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65</w:t>
            </w:r>
          </w:p>
        </w:tc>
        <w:tc>
          <w:tcPr>
            <w:tcW w:w="816" w:type="dxa"/>
          </w:tcPr>
          <w:p w14:paraId="3B2699A0"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90</w:t>
            </w:r>
          </w:p>
        </w:tc>
        <w:tc>
          <w:tcPr>
            <w:tcW w:w="816" w:type="dxa"/>
          </w:tcPr>
          <w:p w14:paraId="52E06092"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tcPr>
          <w:p w14:paraId="04E5ABE4"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120</w:t>
            </w:r>
            <w:r w:rsidRPr="003138BD">
              <w:rPr>
                <w:rFonts w:ascii="Gotham Book" w:hAnsi="Gotham Book" w:cstheme="minorHAnsi"/>
                <w:sz w:val="20"/>
                <w:szCs w:val="20"/>
                <w:vertAlign w:val="superscript"/>
              </w:rPr>
              <w:t>8</w:t>
            </w:r>
          </w:p>
        </w:tc>
        <w:tc>
          <w:tcPr>
            <w:tcW w:w="816" w:type="dxa"/>
          </w:tcPr>
          <w:p w14:paraId="79FFFE0D"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gridSpan w:val="2"/>
          </w:tcPr>
          <w:p w14:paraId="6CC229B6"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120-140</w:t>
            </w:r>
            <w:r w:rsidRPr="003138BD">
              <w:rPr>
                <w:rFonts w:ascii="Gotham Book" w:hAnsi="Gotham Book" w:cstheme="minorHAnsi"/>
                <w:sz w:val="20"/>
                <w:szCs w:val="20"/>
                <w:vertAlign w:val="superscript"/>
              </w:rPr>
              <w:t>9</w:t>
            </w:r>
          </w:p>
        </w:tc>
      </w:tr>
      <w:tr w:rsidR="003138BD" w:rsidRPr="003138BD" w14:paraId="77511DAE" w14:textId="77777777" w:rsidTr="00743F63">
        <w:trPr>
          <w:trHeight w:val="634"/>
          <w:jc w:val="center"/>
        </w:trPr>
        <w:tc>
          <w:tcPr>
            <w:tcW w:w="1282" w:type="dxa"/>
            <w:vMerge/>
            <w:tcBorders>
              <w:bottom w:val="single" w:sz="4" w:space="0" w:color="auto"/>
            </w:tcBorders>
          </w:tcPr>
          <w:p w14:paraId="4657403A" w14:textId="77777777" w:rsidR="003138BD" w:rsidRPr="003138BD" w:rsidRDefault="003138BD" w:rsidP="00743F63">
            <w:pPr>
              <w:pStyle w:val="NoSpacing"/>
              <w:spacing w:before="0" w:after="0"/>
              <w:rPr>
                <w:rFonts w:ascii="Gotham Book" w:hAnsi="Gotham Book" w:cstheme="minorHAnsi"/>
                <w:sz w:val="20"/>
                <w:szCs w:val="20"/>
              </w:rPr>
            </w:pPr>
          </w:p>
        </w:tc>
        <w:tc>
          <w:tcPr>
            <w:tcW w:w="1191" w:type="dxa"/>
            <w:tcBorders>
              <w:bottom w:val="single" w:sz="4" w:space="0" w:color="auto"/>
            </w:tcBorders>
          </w:tcPr>
          <w:p w14:paraId="1C47C704"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1-3</w:t>
            </w:r>
          </w:p>
        </w:tc>
        <w:tc>
          <w:tcPr>
            <w:tcW w:w="704" w:type="dxa"/>
            <w:tcBorders>
              <w:bottom w:val="single" w:sz="4" w:space="0" w:color="auto"/>
            </w:tcBorders>
          </w:tcPr>
          <w:p w14:paraId="08AAA50C"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65</w:t>
            </w:r>
          </w:p>
        </w:tc>
        <w:tc>
          <w:tcPr>
            <w:tcW w:w="639" w:type="dxa"/>
            <w:tcBorders>
              <w:bottom w:val="single" w:sz="4" w:space="0" w:color="auto"/>
            </w:tcBorders>
          </w:tcPr>
          <w:p w14:paraId="158A6081"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90</w:t>
            </w:r>
          </w:p>
        </w:tc>
        <w:tc>
          <w:tcPr>
            <w:tcW w:w="815" w:type="dxa"/>
            <w:tcBorders>
              <w:bottom w:val="single" w:sz="4" w:space="0" w:color="auto"/>
            </w:tcBorders>
          </w:tcPr>
          <w:p w14:paraId="78A4EF9B"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NS</w:t>
            </w:r>
          </w:p>
        </w:tc>
        <w:tc>
          <w:tcPr>
            <w:tcW w:w="816" w:type="dxa"/>
            <w:tcBorders>
              <w:bottom w:val="single" w:sz="4" w:space="0" w:color="auto"/>
            </w:tcBorders>
          </w:tcPr>
          <w:p w14:paraId="6A88F6BB"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70</w:t>
            </w:r>
          </w:p>
        </w:tc>
        <w:tc>
          <w:tcPr>
            <w:tcW w:w="816" w:type="dxa"/>
            <w:tcBorders>
              <w:bottom w:val="single" w:sz="4" w:space="0" w:color="auto"/>
            </w:tcBorders>
          </w:tcPr>
          <w:p w14:paraId="236E53A7"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65</w:t>
            </w:r>
          </w:p>
        </w:tc>
        <w:tc>
          <w:tcPr>
            <w:tcW w:w="816" w:type="dxa"/>
            <w:tcBorders>
              <w:bottom w:val="single" w:sz="4" w:space="0" w:color="auto"/>
            </w:tcBorders>
          </w:tcPr>
          <w:p w14:paraId="5A8C00D6"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90</w:t>
            </w:r>
          </w:p>
        </w:tc>
        <w:tc>
          <w:tcPr>
            <w:tcW w:w="816" w:type="dxa"/>
            <w:tcBorders>
              <w:bottom w:val="single" w:sz="4" w:space="0" w:color="auto"/>
            </w:tcBorders>
          </w:tcPr>
          <w:p w14:paraId="48090369"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tcBorders>
              <w:bottom w:val="single" w:sz="4" w:space="0" w:color="auto"/>
            </w:tcBorders>
          </w:tcPr>
          <w:p w14:paraId="1CD49BAD"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90</w:t>
            </w:r>
            <w:r w:rsidRPr="003138BD">
              <w:rPr>
                <w:rFonts w:ascii="Gotham Book" w:hAnsi="Gotham Book" w:cstheme="minorHAnsi"/>
                <w:sz w:val="20"/>
                <w:szCs w:val="20"/>
                <w:vertAlign w:val="superscript"/>
              </w:rPr>
              <w:t>10</w:t>
            </w:r>
          </w:p>
        </w:tc>
        <w:tc>
          <w:tcPr>
            <w:tcW w:w="816" w:type="dxa"/>
            <w:tcBorders>
              <w:bottom w:val="single" w:sz="4" w:space="0" w:color="auto"/>
            </w:tcBorders>
          </w:tcPr>
          <w:p w14:paraId="23650F18" w14:textId="77777777" w:rsidR="003138BD" w:rsidRPr="003138BD" w:rsidRDefault="003138BD" w:rsidP="00743F63">
            <w:pPr>
              <w:pStyle w:val="NoSpacing"/>
              <w:spacing w:before="0" w:after="0"/>
              <w:jc w:val="center"/>
              <w:rPr>
                <w:rFonts w:ascii="Gotham Book" w:hAnsi="Gotham Book" w:cstheme="minorHAnsi"/>
                <w:sz w:val="20"/>
                <w:szCs w:val="20"/>
              </w:rPr>
            </w:pPr>
            <w:r w:rsidRPr="003138BD">
              <w:rPr>
                <w:rFonts w:ascii="Gotham Book" w:hAnsi="Gotham Book" w:cstheme="minorHAnsi"/>
                <w:sz w:val="20"/>
                <w:szCs w:val="20"/>
              </w:rPr>
              <w:t>-</w:t>
            </w:r>
          </w:p>
        </w:tc>
        <w:tc>
          <w:tcPr>
            <w:tcW w:w="816" w:type="dxa"/>
            <w:gridSpan w:val="2"/>
            <w:tcBorders>
              <w:bottom w:val="single" w:sz="4" w:space="0" w:color="auto"/>
            </w:tcBorders>
          </w:tcPr>
          <w:p w14:paraId="7700DDFD" w14:textId="77777777" w:rsidR="003138BD" w:rsidRPr="003138BD" w:rsidRDefault="003138BD" w:rsidP="00743F63">
            <w:pPr>
              <w:pStyle w:val="NoSpacing"/>
              <w:keepNext/>
              <w:spacing w:before="0" w:after="0"/>
              <w:jc w:val="center"/>
              <w:rPr>
                <w:rFonts w:ascii="Gotham Book" w:hAnsi="Gotham Book" w:cstheme="minorHAnsi"/>
                <w:sz w:val="20"/>
                <w:szCs w:val="20"/>
              </w:rPr>
            </w:pPr>
            <w:r w:rsidRPr="003138BD">
              <w:rPr>
                <w:rFonts w:ascii="Gotham Book" w:hAnsi="Gotham Book" w:cstheme="minorHAnsi"/>
                <w:sz w:val="20"/>
                <w:szCs w:val="20"/>
              </w:rPr>
              <w:t>100</w:t>
            </w:r>
          </w:p>
        </w:tc>
      </w:tr>
      <w:tr w:rsidR="003138BD" w:rsidRPr="003138BD" w14:paraId="56A09303" w14:textId="77777777" w:rsidTr="00743F63">
        <w:trPr>
          <w:gridAfter w:val="1"/>
          <w:wAfter w:w="199" w:type="dxa"/>
          <w:trHeight w:val="634"/>
          <w:jc w:val="center"/>
        </w:trPr>
        <w:tc>
          <w:tcPr>
            <w:tcW w:w="10144" w:type="dxa"/>
            <w:gridSpan w:val="12"/>
            <w:tcBorders>
              <w:top w:val="single" w:sz="4" w:space="0" w:color="auto"/>
              <w:left w:val="nil"/>
              <w:bottom w:val="nil"/>
              <w:right w:val="nil"/>
            </w:tcBorders>
          </w:tcPr>
          <w:p w14:paraId="7DEC9644" w14:textId="77777777" w:rsidR="003138BD" w:rsidRPr="003138BD" w:rsidRDefault="003138BD" w:rsidP="00743F63">
            <w:pPr>
              <w:pStyle w:val="NoSpacing"/>
              <w:keepNext/>
              <w:spacing w:before="0" w:after="0"/>
              <w:rPr>
                <w:rFonts w:ascii="Gotham Book" w:hAnsi="Gotham Book" w:cstheme="minorHAnsi"/>
                <w:sz w:val="20"/>
                <w:szCs w:val="20"/>
              </w:rPr>
            </w:pPr>
            <w:r w:rsidRPr="003138BD">
              <w:rPr>
                <w:rFonts w:ascii="Gotham Book" w:hAnsi="Gotham Book" w:cstheme="minorHAnsi"/>
                <w:sz w:val="20"/>
                <w:szCs w:val="20"/>
              </w:rPr>
              <w:t xml:space="preserve">*Variation in age ranges across jurisdictions: </w:t>
            </w:r>
            <w:r w:rsidRPr="003138BD">
              <w:rPr>
                <w:rFonts w:ascii="Gotham Book" w:hAnsi="Gotham Book" w:cstheme="minorHAnsi"/>
                <w:sz w:val="20"/>
                <w:szCs w:val="20"/>
                <w:vertAlign w:val="superscript"/>
              </w:rPr>
              <w:t>1</w:t>
            </w:r>
            <w:r w:rsidRPr="003138BD">
              <w:rPr>
                <w:rFonts w:ascii="Gotham Book" w:hAnsi="Gotham Book" w:cstheme="minorHAnsi"/>
                <w:sz w:val="20"/>
                <w:szCs w:val="20"/>
              </w:rPr>
              <w:t xml:space="preserve"> 51+ years; </w:t>
            </w:r>
            <w:r w:rsidRPr="003138BD">
              <w:rPr>
                <w:rFonts w:ascii="Gotham Book" w:hAnsi="Gotham Book" w:cstheme="minorHAnsi"/>
                <w:sz w:val="20"/>
                <w:szCs w:val="20"/>
                <w:vertAlign w:val="superscript"/>
              </w:rPr>
              <w:t>2</w:t>
            </w:r>
            <w:r w:rsidRPr="003138BD">
              <w:rPr>
                <w:rFonts w:ascii="Gotham Book" w:hAnsi="Gotham Book" w:cstheme="minorHAnsi"/>
                <w:sz w:val="20"/>
                <w:szCs w:val="20"/>
              </w:rPr>
              <w:t xml:space="preserve"> 19-51 years; </w:t>
            </w:r>
            <w:r w:rsidRPr="003138BD">
              <w:rPr>
                <w:rFonts w:ascii="Gotham Book" w:hAnsi="Gotham Book" w:cstheme="minorHAnsi"/>
                <w:sz w:val="20"/>
                <w:szCs w:val="20"/>
                <w:vertAlign w:val="superscript"/>
              </w:rPr>
              <w:t>3</w:t>
            </w:r>
            <w:r w:rsidRPr="003138BD">
              <w:rPr>
                <w:rFonts w:ascii="Gotham Book" w:hAnsi="Gotham Book" w:cstheme="minorHAnsi"/>
                <w:sz w:val="20"/>
                <w:szCs w:val="20"/>
              </w:rPr>
              <w:t xml:space="preserve"> 13-17 years; </w:t>
            </w:r>
            <w:r w:rsidRPr="003138BD">
              <w:rPr>
                <w:rFonts w:ascii="Gotham Book" w:hAnsi="Gotham Book" w:cstheme="minorHAnsi"/>
                <w:sz w:val="20"/>
                <w:szCs w:val="20"/>
                <w:vertAlign w:val="superscript"/>
              </w:rPr>
              <w:t>4</w:t>
            </w:r>
            <w:r w:rsidRPr="003138BD">
              <w:rPr>
                <w:rFonts w:ascii="Gotham Book" w:hAnsi="Gotham Book" w:cstheme="minorHAnsi"/>
                <w:sz w:val="20"/>
                <w:szCs w:val="20"/>
              </w:rPr>
              <w:t xml:space="preserve"> 7-10 years; </w:t>
            </w:r>
            <w:r w:rsidRPr="003138BD">
              <w:rPr>
                <w:rFonts w:ascii="Gotham Book" w:hAnsi="Gotham Book" w:cstheme="minorHAnsi"/>
                <w:sz w:val="20"/>
                <w:szCs w:val="20"/>
                <w:vertAlign w:val="superscript"/>
              </w:rPr>
              <w:t>5</w:t>
            </w:r>
            <w:r w:rsidRPr="003138BD">
              <w:rPr>
                <w:rFonts w:ascii="Gotham Book" w:hAnsi="Gotham Book" w:cstheme="minorHAnsi"/>
                <w:sz w:val="20"/>
                <w:szCs w:val="20"/>
              </w:rPr>
              <w:t xml:space="preserve"> 13-18 years; </w:t>
            </w:r>
            <w:r w:rsidRPr="003138BD">
              <w:rPr>
                <w:rFonts w:ascii="Gotham Book" w:hAnsi="Gotham Book" w:cstheme="minorHAnsi"/>
                <w:sz w:val="20"/>
                <w:szCs w:val="20"/>
                <w:vertAlign w:val="superscript"/>
              </w:rPr>
              <w:t>6</w:t>
            </w:r>
            <w:r w:rsidRPr="003138BD">
              <w:rPr>
                <w:rFonts w:ascii="Gotham Book" w:hAnsi="Gotham Book" w:cstheme="minorHAnsi"/>
                <w:sz w:val="20"/>
                <w:szCs w:val="20"/>
              </w:rPr>
              <w:t xml:space="preserve"> 10-12 years; </w:t>
            </w:r>
            <w:r w:rsidRPr="003138BD">
              <w:rPr>
                <w:rFonts w:ascii="Gotham Book" w:hAnsi="Gotham Book" w:cstheme="minorHAnsi"/>
                <w:sz w:val="20"/>
                <w:szCs w:val="20"/>
                <w:vertAlign w:val="superscript"/>
              </w:rPr>
              <w:t xml:space="preserve">7 </w:t>
            </w:r>
            <w:r w:rsidRPr="003138BD">
              <w:rPr>
                <w:rFonts w:ascii="Gotham Book" w:hAnsi="Gotham Book" w:cstheme="minorHAnsi"/>
                <w:sz w:val="20"/>
                <w:szCs w:val="20"/>
              </w:rPr>
              <w:t xml:space="preserve">4-6 years; </w:t>
            </w:r>
            <w:r w:rsidRPr="003138BD">
              <w:rPr>
                <w:rFonts w:ascii="Gotham Book" w:hAnsi="Gotham Book" w:cstheme="minorHAnsi"/>
                <w:sz w:val="20"/>
                <w:szCs w:val="20"/>
                <w:vertAlign w:val="superscript"/>
              </w:rPr>
              <w:t xml:space="preserve">8 </w:t>
            </w:r>
            <w:r w:rsidRPr="003138BD">
              <w:rPr>
                <w:rFonts w:ascii="Gotham Book" w:hAnsi="Gotham Book" w:cstheme="minorHAnsi"/>
                <w:sz w:val="20"/>
                <w:szCs w:val="20"/>
              </w:rPr>
              <w:t xml:space="preserve">6-12 years; </w:t>
            </w:r>
            <w:r w:rsidRPr="003138BD">
              <w:rPr>
                <w:rFonts w:ascii="Gotham Book" w:hAnsi="Gotham Book" w:cstheme="minorHAnsi"/>
                <w:sz w:val="20"/>
                <w:szCs w:val="20"/>
                <w:vertAlign w:val="superscript"/>
              </w:rPr>
              <w:t xml:space="preserve">9 </w:t>
            </w:r>
            <w:r w:rsidRPr="003138BD">
              <w:rPr>
                <w:rFonts w:ascii="Gotham Book" w:hAnsi="Gotham Book" w:cstheme="minorHAnsi"/>
                <w:sz w:val="20"/>
                <w:szCs w:val="20"/>
              </w:rPr>
              <w:t xml:space="preserve">4-9 years; </w:t>
            </w:r>
            <w:r w:rsidRPr="003138BD">
              <w:rPr>
                <w:rFonts w:ascii="Gotham Book" w:hAnsi="Gotham Book" w:cstheme="minorHAnsi"/>
                <w:sz w:val="20"/>
                <w:szCs w:val="20"/>
                <w:vertAlign w:val="superscript"/>
              </w:rPr>
              <w:t xml:space="preserve">10 </w:t>
            </w:r>
            <w:r w:rsidRPr="003138BD">
              <w:rPr>
                <w:rFonts w:ascii="Gotham Book" w:hAnsi="Gotham Book" w:cstheme="minorHAnsi"/>
                <w:sz w:val="20"/>
                <w:szCs w:val="20"/>
              </w:rPr>
              <w:t>1-5 years</w:t>
            </w:r>
          </w:p>
          <w:p w14:paraId="784DAADB" w14:textId="77777777" w:rsidR="003138BD" w:rsidRPr="003138BD" w:rsidRDefault="003138BD" w:rsidP="00743F63">
            <w:pPr>
              <w:pStyle w:val="NoSpacing"/>
              <w:keepNext/>
              <w:spacing w:before="0" w:after="0"/>
              <w:rPr>
                <w:rFonts w:ascii="Gotham Book" w:hAnsi="Gotham Book" w:cstheme="minorHAnsi"/>
                <w:sz w:val="20"/>
                <w:szCs w:val="20"/>
              </w:rPr>
            </w:pPr>
            <w:r w:rsidRPr="003138BD">
              <w:rPr>
                <w:rFonts w:ascii="Gotham Book" w:hAnsi="Gotham Book" w:cstheme="minorHAnsi"/>
                <w:sz w:val="20"/>
                <w:szCs w:val="20"/>
              </w:rPr>
              <w:t>^</w:t>
            </w:r>
          </w:p>
        </w:tc>
      </w:tr>
    </w:tbl>
    <w:p w14:paraId="6934B2E1" w14:textId="77777777" w:rsidR="003138BD" w:rsidRPr="00AA752E" w:rsidRDefault="003138BD" w:rsidP="003138BD">
      <w:pPr>
        <w:pStyle w:val="Heading4"/>
      </w:pPr>
      <w:bookmarkStart w:id="49" w:name="_Toc202956837"/>
      <w:bookmarkStart w:id="50" w:name="_Toc210406360"/>
      <w:bookmarkStart w:id="51" w:name="_Toc212567859"/>
      <w:r>
        <w:t xml:space="preserve">Comparison with international </w:t>
      </w:r>
      <w:bookmarkEnd w:id="49"/>
      <w:r>
        <w:t>values</w:t>
      </w:r>
      <w:bookmarkEnd w:id="50"/>
      <w:bookmarkEnd w:id="51"/>
    </w:p>
    <w:p w14:paraId="25BF44F2" w14:textId="77777777" w:rsidR="003138BD" w:rsidRDefault="003138BD" w:rsidP="003138BD">
      <w:r w:rsidRPr="00903320">
        <w:t>In contrast</w:t>
      </w:r>
      <w:r>
        <w:t xml:space="preserve"> to the approach adopted by the US IOM (2001) and 2006 NRVs (NHMRC, 2006)</w:t>
      </w:r>
      <w:r w:rsidRPr="00903320">
        <w:t xml:space="preserve">, the </w:t>
      </w:r>
      <w:r>
        <w:t xml:space="preserve">2014 </w:t>
      </w:r>
      <w:r w:rsidRPr="00903320">
        <w:t xml:space="preserve">European Food Safety Authority (EFSA) </w:t>
      </w:r>
      <w:r>
        <w:t xml:space="preserve">review of nutrient requirements </w:t>
      </w:r>
      <w:r w:rsidRPr="00903320">
        <w:t xml:space="preserve">determined that there was insufficient evidence to derive an </w:t>
      </w:r>
      <w:r>
        <w:t>EAR and associated RDI</w:t>
      </w:r>
      <w:r w:rsidRPr="001B32D4">
        <w:rPr>
          <w:vertAlign w:val="superscript"/>
        </w:rPr>
        <w:footnoteReference w:id="3"/>
      </w:r>
      <w:r>
        <w:t>. This decision reflected concerns about:</w:t>
      </w:r>
    </w:p>
    <w:p w14:paraId="35C4BE46" w14:textId="77777777" w:rsidR="003138BD" w:rsidRDefault="003138BD" w:rsidP="003138BD">
      <w:pPr>
        <w:pStyle w:val="ListParagraph"/>
        <w:numPr>
          <w:ilvl w:val="0"/>
          <w:numId w:val="26"/>
        </w:numPr>
        <w:spacing w:before="0" w:after="160" w:line="259" w:lineRule="auto"/>
        <w:contextualSpacing/>
      </w:pPr>
      <w:r>
        <w:t>the generalisability of studies on thyroid iodine accumulation to the European context, in view of the high UIE reported in those studies (410 and 280 µg/day respectively)</w:t>
      </w:r>
    </w:p>
    <w:p w14:paraId="57C44C69" w14:textId="77777777" w:rsidR="003138BD" w:rsidRDefault="003138BD" w:rsidP="003138BD">
      <w:pPr>
        <w:pStyle w:val="ListParagraph"/>
        <w:numPr>
          <w:ilvl w:val="0"/>
          <w:numId w:val="26"/>
        </w:numPr>
        <w:spacing w:before="0" w:after="160" w:line="259" w:lineRule="auto"/>
        <w:contextualSpacing/>
      </w:pPr>
      <w:r>
        <w:t xml:space="preserve">the accuracy of balance studies for quantifying intake and losses, including that observed requirements under ‘balance’ conditions may reflect adaptive changes rather than a true ‘steady state’, if studies are of inadequate duration; and </w:t>
      </w:r>
    </w:p>
    <w:p w14:paraId="20B42ED7" w14:textId="77777777" w:rsidR="003138BD" w:rsidRDefault="003138BD" w:rsidP="003138BD">
      <w:pPr>
        <w:pStyle w:val="ListParagraph"/>
        <w:numPr>
          <w:ilvl w:val="0"/>
          <w:numId w:val="26"/>
        </w:numPr>
        <w:spacing w:before="0" w:after="160" w:line="259" w:lineRule="auto"/>
        <w:contextualSpacing/>
      </w:pPr>
      <w:r>
        <w:t xml:space="preserve">that observed ‘balance’ may reflect requirements that only apply in a narrow range of contexts. </w:t>
      </w:r>
    </w:p>
    <w:p w14:paraId="3B75A7A7" w14:textId="77777777" w:rsidR="003138BD" w:rsidRPr="00903320" w:rsidRDefault="003138BD" w:rsidP="003138BD">
      <w:pPr>
        <w:rPr>
          <w:rFonts w:eastAsia="Times New Roman"/>
          <w:i/>
          <w:szCs w:val="20"/>
        </w:rPr>
      </w:pPr>
      <w:r>
        <w:t xml:space="preserve">Instead, EFSA established </w:t>
      </w:r>
      <w:r w:rsidRPr="00903320">
        <w:t>an Adequate Intake (AI) for iodine</w:t>
      </w:r>
      <w:r>
        <w:t xml:space="preserve">, with recommendations based on a large European study in school-aged children that reported low goitre prevalence (&lt;5%) with urinary iodine concentrations above 100 µg/L (Delange et al 1997; EFSA, 2014). </w:t>
      </w:r>
    </w:p>
    <w:p w14:paraId="2BAD7854" w14:textId="77777777" w:rsidR="003138BD" w:rsidRPr="00F53E43" w:rsidRDefault="003138BD" w:rsidP="003138BD">
      <w:r>
        <w:lastRenderedPageBreak/>
        <w:t>T</w:t>
      </w:r>
      <w:r w:rsidRPr="00F53E43">
        <w:t>he 2023 Nordic Nutrition Recommendations (NNR) also replac</w:t>
      </w:r>
      <w:r>
        <w:t>ed</w:t>
      </w:r>
      <w:r w:rsidRPr="00F53E43">
        <w:t xml:space="preserve"> the previous 2012 EAR</w:t>
      </w:r>
      <w:r>
        <w:t>-</w:t>
      </w:r>
      <w:r w:rsidRPr="00F53E43">
        <w:t>equivalent with a provisional AR</w:t>
      </w:r>
      <w:r>
        <w:rPr>
          <w:rStyle w:val="FootnoteReference"/>
        </w:rPr>
        <w:footnoteReference w:id="4"/>
      </w:r>
      <w:r w:rsidRPr="00F53E43">
        <w:t xml:space="preserve"> and AI instead</w:t>
      </w:r>
      <w:r>
        <w:t>, with recommendations based on goitre prevalence per the EFSA 2014 recommendations (</w:t>
      </w:r>
      <w:proofErr w:type="spellStart"/>
      <w:r>
        <w:t>Blomhoff</w:t>
      </w:r>
      <w:proofErr w:type="spellEnd"/>
      <w:r>
        <w:t xml:space="preserve"> et al. 2023)</w:t>
      </w:r>
      <w:r w:rsidRPr="00F53E43">
        <w:t>.</w:t>
      </w:r>
    </w:p>
    <w:p w14:paraId="38EDED02" w14:textId="77777777" w:rsidR="003138BD" w:rsidRPr="00903320" w:rsidRDefault="003138BD" w:rsidP="003138BD">
      <w:r w:rsidRPr="00F53E43">
        <w:t xml:space="preserve">Despite differences in both the type of nutritional adequacy NRVs developed (EAR + RDI vs AI), and the underpinning evidence used to derive these values (balance studies vs thyroid volume/goitre prevalence), there is substantial agreement </w:t>
      </w:r>
      <w:r>
        <w:t xml:space="preserve">between the 2006 NRVs and subsequent AI values </w:t>
      </w:r>
      <w:r w:rsidRPr="00F53E43">
        <w:t>set by EFSA (2014)</w:t>
      </w:r>
      <w:r>
        <w:t xml:space="preserve"> and NNR (2023)</w:t>
      </w:r>
      <w:r w:rsidRPr="00F53E43">
        <w:t>, as shown in</w:t>
      </w:r>
      <w:r>
        <w:t xml:space="preserve"> </w:t>
      </w:r>
      <w:r>
        <w:fldChar w:fldCharType="begin"/>
      </w:r>
      <w:r>
        <w:instrText xml:space="preserve"> REF _Ref173248184 \h </w:instrText>
      </w:r>
      <w:r>
        <w:fldChar w:fldCharType="separate"/>
      </w:r>
      <w:r>
        <w:t xml:space="preserve">Table </w:t>
      </w:r>
      <w:r>
        <w:rPr>
          <w:noProof/>
        </w:rPr>
        <w:t>1</w:t>
      </w:r>
      <w:r>
        <w:fldChar w:fldCharType="end"/>
      </w:r>
      <w:r>
        <w:t xml:space="preserve"> and </w:t>
      </w:r>
      <w:r>
        <w:fldChar w:fldCharType="begin"/>
      </w:r>
      <w:r>
        <w:instrText xml:space="preserve"> REF _Ref173248186 \h </w:instrText>
      </w:r>
      <w:r>
        <w:fldChar w:fldCharType="separate"/>
      </w:r>
      <w:r>
        <w:t xml:space="preserve">Table </w:t>
      </w:r>
      <w:r>
        <w:rPr>
          <w:noProof/>
        </w:rPr>
        <w:t>2</w:t>
      </w:r>
      <w:r>
        <w:fldChar w:fldCharType="end"/>
      </w:r>
      <w:r>
        <w:t>.</w:t>
      </w:r>
    </w:p>
    <w:p w14:paraId="1AAA2BF0" w14:textId="6BFBF99C" w:rsidR="003138BD" w:rsidRDefault="003138BD" w:rsidP="003138BD">
      <w:pPr>
        <w:pStyle w:val="TableTitle"/>
      </w:pPr>
      <w:r w:rsidRPr="00BE146C">
        <w:t>Adequate intake or equivalent</w:t>
      </w:r>
      <w:r>
        <w:t>, by population and jurisdiction</w:t>
      </w:r>
    </w:p>
    <w:tbl>
      <w:tblPr>
        <w:tblStyle w:val="TableGrid"/>
        <w:tblW w:w="0" w:type="auto"/>
        <w:tblInd w:w="-5" w:type="dxa"/>
        <w:tblLook w:val="04A0" w:firstRow="1" w:lastRow="0" w:firstColumn="1" w:lastColumn="0" w:noHBand="0" w:noVBand="1"/>
      </w:tblPr>
      <w:tblGrid>
        <w:gridCol w:w="1401"/>
        <w:gridCol w:w="1439"/>
        <w:gridCol w:w="1243"/>
        <w:gridCol w:w="2726"/>
        <w:gridCol w:w="1843"/>
      </w:tblGrid>
      <w:tr w:rsidR="003138BD" w:rsidRPr="003138BD" w14:paraId="353164F0" w14:textId="77777777" w:rsidTr="00A41B1C">
        <w:trPr>
          <w:trHeight w:val="487"/>
        </w:trPr>
        <w:tc>
          <w:tcPr>
            <w:tcW w:w="1401" w:type="dxa"/>
            <w:vMerge w:val="restart"/>
          </w:tcPr>
          <w:p w14:paraId="0D64513C" w14:textId="77777777" w:rsidR="003138BD" w:rsidRPr="003138BD" w:rsidRDefault="003138BD">
            <w:pPr>
              <w:pStyle w:val="NoSpacing"/>
              <w:keepNext/>
              <w:ind w:left="-109" w:firstLine="2"/>
              <w:jc w:val="center"/>
              <w:rPr>
                <w:rFonts w:ascii="Gotham Book" w:hAnsi="Gotham Book" w:cstheme="minorHAnsi"/>
                <w:b/>
                <w:bCs/>
                <w:sz w:val="20"/>
                <w:szCs w:val="20"/>
              </w:rPr>
            </w:pPr>
            <w:r w:rsidRPr="003138BD">
              <w:rPr>
                <w:rFonts w:ascii="Gotham Book" w:hAnsi="Gotham Book" w:cstheme="minorHAnsi"/>
                <w:b/>
                <w:bCs/>
                <w:sz w:val="20"/>
                <w:szCs w:val="20"/>
              </w:rPr>
              <w:t>Population group</w:t>
            </w:r>
          </w:p>
        </w:tc>
        <w:tc>
          <w:tcPr>
            <w:tcW w:w="1439" w:type="dxa"/>
            <w:vMerge w:val="restart"/>
          </w:tcPr>
          <w:p w14:paraId="5C8D235E" w14:textId="77777777" w:rsidR="003138BD" w:rsidRPr="003138BD" w:rsidRDefault="003138BD">
            <w:pPr>
              <w:pStyle w:val="NoSpacing"/>
              <w:keepNext/>
              <w:ind w:left="-108" w:right="-184"/>
              <w:jc w:val="center"/>
              <w:rPr>
                <w:rFonts w:ascii="Gotham Book" w:hAnsi="Gotham Book" w:cstheme="minorHAnsi"/>
                <w:b/>
                <w:bCs/>
                <w:sz w:val="20"/>
                <w:szCs w:val="20"/>
              </w:rPr>
            </w:pPr>
            <w:r w:rsidRPr="003138BD">
              <w:rPr>
                <w:rFonts w:ascii="Gotham Book" w:hAnsi="Gotham Book" w:cstheme="minorHAnsi"/>
                <w:b/>
                <w:bCs/>
                <w:sz w:val="20"/>
                <w:szCs w:val="20"/>
              </w:rPr>
              <w:t>Age range (years)</w:t>
            </w:r>
          </w:p>
        </w:tc>
        <w:tc>
          <w:tcPr>
            <w:tcW w:w="3969" w:type="dxa"/>
            <w:gridSpan w:val="2"/>
          </w:tcPr>
          <w:p w14:paraId="2D92AC4F" w14:textId="77777777" w:rsidR="003138BD" w:rsidRPr="003138BD" w:rsidRDefault="003138BD">
            <w:pPr>
              <w:pStyle w:val="NoSpacing"/>
              <w:keepNext/>
              <w:ind w:left="-108" w:right="-184"/>
              <w:jc w:val="center"/>
              <w:rPr>
                <w:rFonts w:ascii="Gotham Book" w:hAnsi="Gotham Book" w:cstheme="minorHAnsi"/>
                <w:b/>
                <w:bCs/>
                <w:sz w:val="20"/>
                <w:szCs w:val="20"/>
              </w:rPr>
            </w:pPr>
            <w:r w:rsidRPr="003138BD">
              <w:rPr>
                <w:rFonts w:ascii="Gotham Book" w:hAnsi="Gotham Book" w:cstheme="minorHAnsi"/>
                <w:b/>
                <w:bCs/>
                <w:sz w:val="20"/>
                <w:szCs w:val="20"/>
              </w:rPr>
              <w:t>Nordic Nutrition Recommendations (NNR 2023)</w:t>
            </w:r>
          </w:p>
        </w:tc>
        <w:tc>
          <w:tcPr>
            <w:tcW w:w="1843" w:type="dxa"/>
          </w:tcPr>
          <w:p w14:paraId="6EE92066" w14:textId="77777777" w:rsidR="003138BD" w:rsidRPr="003138BD" w:rsidRDefault="003138BD">
            <w:pPr>
              <w:pStyle w:val="NoSpacing"/>
              <w:keepNext/>
              <w:ind w:left="-108" w:right="-184"/>
              <w:jc w:val="center"/>
              <w:rPr>
                <w:rFonts w:ascii="Gotham Book" w:hAnsi="Gotham Book" w:cstheme="minorHAnsi"/>
                <w:b/>
                <w:bCs/>
                <w:sz w:val="20"/>
                <w:szCs w:val="20"/>
              </w:rPr>
            </w:pPr>
            <w:r w:rsidRPr="003138BD">
              <w:rPr>
                <w:rFonts w:ascii="Gotham Book" w:hAnsi="Gotham Book" w:cstheme="minorHAnsi"/>
                <w:b/>
                <w:bCs/>
                <w:sz w:val="20"/>
                <w:szCs w:val="20"/>
              </w:rPr>
              <w:t xml:space="preserve">European Commission </w:t>
            </w:r>
          </w:p>
          <w:p w14:paraId="008CD0C2" w14:textId="77777777" w:rsidR="003138BD" w:rsidRPr="003138BD" w:rsidRDefault="003138BD">
            <w:pPr>
              <w:pStyle w:val="NoSpacing"/>
              <w:keepNext/>
              <w:ind w:left="-108" w:right="-184"/>
              <w:jc w:val="center"/>
              <w:rPr>
                <w:rFonts w:ascii="Gotham Book" w:hAnsi="Gotham Book" w:cstheme="minorHAnsi"/>
                <w:b/>
                <w:bCs/>
                <w:sz w:val="20"/>
                <w:szCs w:val="20"/>
              </w:rPr>
            </w:pPr>
            <w:r w:rsidRPr="003138BD">
              <w:rPr>
                <w:rFonts w:ascii="Gotham Book" w:hAnsi="Gotham Book" w:cstheme="minorHAnsi"/>
                <w:b/>
                <w:bCs/>
                <w:sz w:val="20"/>
                <w:szCs w:val="20"/>
              </w:rPr>
              <w:t>(EFSA 2014)</w:t>
            </w:r>
          </w:p>
        </w:tc>
      </w:tr>
      <w:tr w:rsidR="003138BD" w:rsidRPr="003138BD" w14:paraId="0F6328DE" w14:textId="77777777" w:rsidTr="00A41B1C">
        <w:tc>
          <w:tcPr>
            <w:tcW w:w="1401" w:type="dxa"/>
            <w:vMerge/>
          </w:tcPr>
          <w:p w14:paraId="42FA2973" w14:textId="77777777" w:rsidR="003138BD" w:rsidRPr="003138BD" w:rsidRDefault="003138BD">
            <w:pPr>
              <w:pStyle w:val="NoSpacing"/>
              <w:keepNext/>
              <w:rPr>
                <w:rFonts w:ascii="Gotham Book" w:hAnsi="Gotham Book" w:cstheme="minorHAnsi"/>
                <w:sz w:val="20"/>
                <w:szCs w:val="20"/>
              </w:rPr>
            </w:pPr>
          </w:p>
        </w:tc>
        <w:tc>
          <w:tcPr>
            <w:tcW w:w="1439" w:type="dxa"/>
            <w:vMerge/>
          </w:tcPr>
          <w:p w14:paraId="1214F317" w14:textId="77777777" w:rsidR="003138BD" w:rsidRPr="003138BD" w:rsidRDefault="003138BD">
            <w:pPr>
              <w:pStyle w:val="NoSpacing"/>
              <w:keepNext/>
              <w:jc w:val="center"/>
              <w:rPr>
                <w:rFonts w:ascii="Gotham Book" w:hAnsi="Gotham Book" w:cstheme="minorHAnsi"/>
                <w:sz w:val="20"/>
                <w:szCs w:val="20"/>
              </w:rPr>
            </w:pPr>
          </w:p>
        </w:tc>
        <w:tc>
          <w:tcPr>
            <w:tcW w:w="1243" w:type="dxa"/>
          </w:tcPr>
          <w:p w14:paraId="48BE6E1B" w14:textId="77777777" w:rsidR="003138BD" w:rsidRPr="003138BD" w:rsidRDefault="003138BD">
            <w:pPr>
              <w:pStyle w:val="NoSpacing"/>
              <w:keepNext/>
              <w:jc w:val="center"/>
              <w:rPr>
                <w:rFonts w:ascii="Gotham Book" w:hAnsi="Gotham Book" w:cstheme="minorHAnsi"/>
                <w:b/>
                <w:bCs/>
                <w:sz w:val="20"/>
                <w:szCs w:val="20"/>
              </w:rPr>
            </w:pPr>
            <w:r w:rsidRPr="003138BD">
              <w:rPr>
                <w:rFonts w:ascii="Gotham Book" w:hAnsi="Gotham Book" w:cstheme="minorHAnsi"/>
                <w:b/>
                <w:bCs/>
                <w:sz w:val="20"/>
                <w:szCs w:val="20"/>
              </w:rPr>
              <w:t>AI (</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2726" w:type="dxa"/>
          </w:tcPr>
          <w:p w14:paraId="4C92D6DA" w14:textId="77777777" w:rsidR="003138BD" w:rsidRPr="003138BD" w:rsidRDefault="003138BD">
            <w:pPr>
              <w:pStyle w:val="NoSpacing"/>
              <w:keepNext/>
              <w:jc w:val="center"/>
              <w:rPr>
                <w:rFonts w:ascii="Gotham Book" w:hAnsi="Gotham Book" w:cstheme="minorHAnsi"/>
                <w:b/>
                <w:bCs/>
                <w:sz w:val="20"/>
                <w:szCs w:val="20"/>
              </w:rPr>
            </w:pPr>
            <w:r w:rsidRPr="003138BD">
              <w:rPr>
                <w:rFonts w:ascii="Gotham Book" w:hAnsi="Gotham Book" w:cstheme="minorHAnsi"/>
                <w:b/>
                <w:bCs/>
                <w:sz w:val="20"/>
                <w:szCs w:val="20"/>
              </w:rPr>
              <w:t>Provisional AR (</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c>
          <w:tcPr>
            <w:tcW w:w="1843" w:type="dxa"/>
          </w:tcPr>
          <w:p w14:paraId="38494941" w14:textId="77777777" w:rsidR="003138BD" w:rsidRPr="003138BD" w:rsidRDefault="003138BD">
            <w:pPr>
              <w:pStyle w:val="NoSpacing"/>
              <w:keepNext/>
              <w:jc w:val="center"/>
              <w:rPr>
                <w:rFonts w:ascii="Gotham Book" w:hAnsi="Gotham Book" w:cstheme="minorHAnsi"/>
                <w:b/>
                <w:bCs/>
                <w:sz w:val="20"/>
                <w:szCs w:val="20"/>
              </w:rPr>
            </w:pPr>
            <w:r w:rsidRPr="003138BD">
              <w:rPr>
                <w:rFonts w:ascii="Gotham Book" w:hAnsi="Gotham Book" w:cstheme="minorHAnsi"/>
                <w:b/>
                <w:bCs/>
                <w:sz w:val="20"/>
                <w:szCs w:val="20"/>
              </w:rPr>
              <w:t>AI</w:t>
            </w:r>
          </w:p>
          <w:p w14:paraId="6E8C1734" w14:textId="77777777" w:rsidR="003138BD" w:rsidRPr="003138BD" w:rsidRDefault="003138BD">
            <w:pPr>
              <w:pStyle w:val="NoSpacing"/>
              <w:keepNext/>
              <w:jc w:val="center"/>
              <w:rPr>
                <w:rFonts w:ascii="Gotham Book" w:hAnsi="Gotham Book" w:cstheme="minorHAnsi"/>
                <w:b/>
                <w:bCs/>
                <w:sz w:val="20"/>
                <w:szCs w:val="20"/>
              </w:rPr>
            </w:pPr>
            <w:r w:rsidRPr="003138BD">
              <w:rPr>
                <w:rFonts w:ascii="Gotham Book" w:hAnsi="Gotham Book" w:cstheme="minorHAnsi"/>
                <w:b/>
                <w:bCs/>
                <w:sz w:val="20"/>
                <w:szCs w:val="20"/>
              </w:rPr>
              <w:t>(</w:t>
            </w:r>
            <w:proofErr w:type="spellStart"/>
            <w:r w:rsidRPr="003138BD">
              <w:rPr>
                <w:rFonts w:ascii="Gotham Book" w:hAnsi="Gotham Book" w:cstheme="minorHAnsi"/>
                <w:b/>
                <w:bCs/>
                <w:sz w:val="20"/>
                <w:szCs w:val="20"/>
              </w:rPr>
              <w:t>μg</w:t>
            </w:r>
            <w:proofErr w:type="spellEnd"/>
            <w:r w:rsidRPr="003138BD">
              <w:rPr>
                <w:rFonts w:ascii="Gotham Book" w:hAnsi="Gotham Book" w:cstheme="minorHAnsi"/>
                <w:b/>
                <w:bCs/>
                <w:sz w:val="20"/>
                <w:szCs w:val="20"/>
              </w:rPr>
              <w:t>/d)</w:t>
            </w:r>
          </w:p>
        </w:tc>
      </w:tr>
      <w:tr w:rsidR="003138BD" w:rsidRPr="003138BD" w14:paraId="5E337032" w14:textId="77777777" w:rsidTr="00A41B1C">
        <w:tc>
          <w:tcPr>
            <w:tcW w:w="1401" w:type="dxa"/>
          </w:tcPr>
          <w:p w14:paraId="6A23939A" w14:textId="77777777" w:rsidR="003138BD" w:rsidRPr="003138BD" w:rsidRDefault="003138BD">
            <w:pPr>
              <w:pStyle w:val="NoSpacing"/>
              <w:rPr>
                <w:rFonts w:ascii="Gotham Book" w:hAnsi="Gotham Book" w:cstheme="minorHAnsi"/>
                <w:sz w:val="20"/>
                <w:szCs w:val="20"/>
              </w:rPr>
            </w:pPr>
            <w:r w:rsidRPr="003138BD">
              <w:rPr>
                <w:rFonts w:ascii="Gotham Book" w:hAnsi="Gotham Book" w:cstheme="minorHAnsi"/>
                <w:sz w:val="20"/>
                <w:szCs w:val="20"/>
              </w:rPr>
              <w:t>Adults</w:t>
            </w:r>
          </w:p>
        </w:tc>
        <w:tc>
          <w:tcPr>
            <w:tcW w:w="1439" w:type="dxa"/>
          </w:tcPr>
          <w:p w14:paraId="71E27BAB"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18+</w:t>
            </w:r>
          </w:p>
        </w:tc>
        <w:tc>
          <w:tcPr>
            <w:tcW w:w="1243" w:type="dxa"/>
          </w:tcPr>
          <w:p w14:paraId="18AF5193"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150</w:t>
            </w:r>
          </w:p>
        </w:tc>
        <w:tc>
          <w:tcPr>
            <w:tcW w:w="2726" w:type="dxa"/>
          </w:tcPr>
          <w:p w14:paraId="18D93106"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120</w:t>
            </w:r>
          </w:p>
        </w:tc>
        <w:tc>
          <w:tcPr>
            <w:tcW w:w="1843" w:type="dxa"/>
          </w:tcPr>
          <w:p w14:paraId="5F3A64A1"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150</w:t>
            </w:r>
          </w:p>
        </w:tc>
      </w:tr>
      <w:tr w:rsidR="003138BD" w:rsidRPr="003138BD" w14:paraId="7253EE5B" w14:textId="77777777" w:rsidTr="00A41B1C">
        <w:tc>
          <w:tcPr>
            <w:tcW w:w="1401" w:type="dxa"/>
          </w:tcPr>
          <w:p w14:paraId="766403BB" w14:textId="77777777" w:rsidR="003138BD" w:rsidRPr="003138BD" w:rsidRDefault="003138BD">
            <w:pPr>
              <w:pStyle w:val="NoSpacing"/>
              <w:rPr>
                <w:rFonts w:ascii="Gotham Book" w:hAnsi="Gotham Book" w:cstheme="minorHAnsi"/>
                <w:sz w:val="20"/>
                <w:szCs w:val="20"/>
              </w:rPr>
            </w:pPr>
            <w:r w:rsidRPr="003138BD">
              <w:rPr>
                <w:rFonts w:ascii="Gotham Book" w:hAnsi="Gotham Book" w:cstheme="minorHAnsi"/>
                <w:sz w:val="20"/>
                <w:szCs w:val="20"/>
              </w:rPr>
              <w:t>Pregnancy</w:t>
            </w:r>
          </w:p>
        </w:tc>
        <w:tc>
          <w:tcPr>
            <w:tcW w:w="1439" w:type="dxa"/>
          </w:tcPr>
          <w:p w14:paraId="75F00767"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NS</w:t>
            </w:r>
          </w:p>
        </w:tc>
        <w:tc>
          <w:tcPr>
            <w:tcW w:w="1243" w:type="dxa"/>
          </w:tcPr>
          <w:p w14:paraId="1458FEF8"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200</w:t>
            </w:r>
          </w:p>
        </w:tc>
        <w:tc>
          <w:tcPr>
            <w:tcW w:w="2726" w:type="dxa"/>
          </w:tcPr>
          <w:p w14:paraId="353A3002"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160</w:t>
            </w:r>
          </w:p>
        </w:tc>
        <w:tc>
          <w:tcPr>
            <w:tcW w:w="1843" w:type="dxa"/>
          </w:tcPr>
          <w:p w14:paraId="1450943F"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200</w:t>
            </w:r>
          </w:p>
        </w:tc>
      </w:tr>
      <w:tr w:rsidR="003138BD" w:rsidRPr="003138BD" w14:paraId="5ADF046C" w14:textId="77777777" w:rsidTr="00A41B1C">
        <w:tc>
          <w:tcPr>
            <w:tcW w:w="1401" w:type="dxa"/>
          </w:tcPr>
          <w:p w14:paraId="18EBFF1D" w14:textId="77777777" w:rsidR="003138BD" w:rsidRPr="003138BD" w:rsidRDefault="003138BD">
            <w:pPr>
              <w:pStyle w:val="NoSpacing"/>
              <w:rPr>
                <w:rFonts w:ascii="Gotham Book" w:hAnsi="Gotham Book" w:cstheme="minorHAnsi"/>
                <w:sz w:val="20"/>
                <w:szCs w:val="20"/>
              </w:rPr>
            </w:pPr>
            <w:r w:rsidRPr="003138BD">
              <w:rPr>
                <w:rFonts w:ascii="Gotham Book" w:hAnsi="Gotham Book" w:cstheme="minorHAnsi"/>
                <w:sz w:val="20"/>
                <w:szCs w:val="20"/>
              </w:rPr>
              <w:t>Lactation</w:t>
            </w:r>
          </w:p>
        </w:tc>
        <w:tc>
          <w:tcPr>
            <w:tcW w:w="1439" w:type="dxa"/>
          </w:tcPr>
          <w:p w14:paraId="30A6BE4C"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NS</w:t>
            </w:r>
          </w:p>
        </w:tc>
        <w:tc>
          <w:tcPr>
            <w:tcW w:w="1243" w:type="dxa"/>
          </w:tcPr>
          <w:p w14:paraId="07DF3D62"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200</w:t>
            </w:r>
          </w:p>
        </w:tc>
        <w:tc>
          <w:tcPr>
            <w:tcW w:w="2726" w:type="dxa"/>
          </w:tcPr>
          <w:p w14:paraId="1A428EED"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160</w:t>
            </w:r>
          </w:p>
        </w:tc>
        <w:tc>
          <w:tcPr>
            <w:tcW w:w="1843" w:type="dxa"/>
          </w:tcPr>
          <w:p w14:paraId="0671E807"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200</w:t>
            </w:r>
          </w:p>
        </w:tc>
      </w:tr>
      <w:tr w:rsidR="003138BD" w:rsidRPr="003138BD" w14:paraId="5E44F495" w14:textId="77777777" w:rsidTr="00A41B1C">
        <w:tc>
          <w:tcPr>
            <w:tcW w:w="1401" w:type="dxa"/>
            <w:vMerge w:val="restart"/>
          </w:tcPr>
          <w:p w14:paraId="38B97FB2" w14:textId="77777777" w:rsidR="003138BD" w:rsidRPr="003138BD" w:rsidRDefault="003138BD">
            <w:pPr>
              <w:pStyle w:val="NoSpacing"/>
              <w:rPr>
                <w:rFonts w:ascii="Gotham Book" w:hAnsi="Gotham Book" w:cstheme="minorHAnsi"/>
                <w:sz w:val="20"/>
                <w:szCs w:val="20"/>
              </w:rPr>
            </w:pPr>
            <w:r w:rsidRPr="003138BD">
              <w:rPr>
                <w:rFonts w:ascii="Gotham Book" w:hAnsi="Gotham Book" w:cstheme="minorHAnsi"/>
                <w:sz w:val="20"/>
                <w:szCs w:val="20"/>
              </w:rPr>
              <w:t>Children/</w:t>
            </w:r>
          </w:p>
          <w:p w14:paraId="3F64AF0C" w14:textId="77777777" w:rsidR="003138BD" w:rsidRPr="003138BD" w:rsidRDefault="003138BD">
            <w:pPr>
              <w:pStyle w:val="NoSpacing"/>
              <w:rPr>
                <w:rFonts w:ascii="Gotham Book" w:hAnsi="Gotham Book" w:cstheme="minorHAnsi"/>
                <w:sz w:val="20"/>
                <w:szCs w:val="20"/>
              </w:rPr>
            </w:pPr>
            <w:r w:rsidRPr="003138BD">
              <w:rPr>
                <w:rFonts w:ascii="Gotham Book" w:hAnsi="Gotham Book" w:cstheme="minorHAnsi"/>
                <w:sz w:val="20"/>
                <w:szCs w:val="20"/>
              </w:rPr>
              <w:t>adolescents</w:t>
            </w:r>
          </w:p>
        </w:tc>
        <w:tc>
          <w:tcPr>
            <w:tcW w:w="1439" w:type="dxa"/>
          </w:tcPr>
          <w:p w14:paraId="149C41F8"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15-17</w:t>
            </w:r>
          </w:p>
        </w:tc>
        <w:tc>
          <w:tcPr>
            <w:tcW w:w="1243" w:type="dxa"/>
          </w:tcPr>
          <w:p w14:paraId="499B7C11"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120 (F) 140 (M)</w:t>
            </w:r>
          </w:p>
        </w:tc>
        <w:tc>
          <w:tcPr>
            <w:tcW w:w="2726" w:type="dxa"/>
          </w:tcPr>
          <w:p w14:paraId="6CF3821F"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100 (F) 110 (M)</w:t>
            </w:r>
          </w:p>
        </w:tc>
        <w:tc>
          <w:tcPr>
            <w:tcW w:w="1843" w:type="dxa"/>
          </w:tcPr>
          <w:p w14:paraId="54D3D952"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130</w:t>
            </w:r>
          </w:p>
        </w:tc>
      </w:tr>
      <w:tr w:rsidR="003138BD" w:rsidRPr="003138BD" w14:paraId="6BD697A0" w14:textId="77777777" w:rsidTr="00A41B1C">
        <w:tc>
          <w:tcPr>
            <w:tcW w:w="1401" w:type="dxa"/>
            <w:vMerge/>
          </w:tcPr>
          <w:p w14:paraId="1667D126" w14:textId="77777777" w:rsidR="003138BD" w:rsidRPr="003138BD" w:rsidRDefault="003138BD">
            <w:pPr>
              <w:pStyle w:val="NoSpacing"/>
              <w:rPr>
                <w:rFonts w:ascii="Gotham Book" w:hAnsi="Gotham Book" w:cstheme="minorHAnsi"/>
                <w:sz w:val="20"/>
                <w:szCs w:val="20"/>
              </w:rPr>
            </w:pPr>
          </w:p>
        </w:tc>
        <w:tc>
          <w:tcPr>
            <w:tcW w:w="1439" w:type="dxa"/>
          </w:tcPr>
          <w:p w14:paraId="27CF4A31"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11-14</w:t>
            </w:r>
          </w:p>
        </w:tc>
        <w:tc>
          <w:tcPr>
            <w:tcW w:w="1243" w:type="dxa"/>
          </w:tcPr>
          <w:p w14:paraId="565DF3CB"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120 (F) 130 (M)</w:t>
            </w:r>
          </w:p>
        </w:tc>
        <w:tc>
          <w:tcPr>
            <w:tcW w:w="2726" w:type="dxa"/>
          </w:tcPr>
          <w:p w14:paraId="6D5EA336"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100</w:t>
            </w:r>
          </w:p>
        </w:tc>
        <w:tc>
          <w:tcPr>
            <w:tcW w:w="1843" w:type="dxa"/>
          </w:tcPr>
          <w:p w14:paraId="62A8411B"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120</w:t>
            </w:r>
          </w:p>
        </w:tc>
      </w:tr>
      <w:tr w:rsidR="003138BD" w:rsidRPr="003138BD" w14:paraId="521E8471" w14:textId="77777777" w:rsidTr="00A41B1C">
        <w:trPr>
          <w:trHeight w:val="63"/>
        </w:trPr>
        <w:tc>
          <w:tcPr>
            <w:tcW w:w="1401" w:type="dxa"/>
            <w:vMerge/>
          </w:tcPr>
          <w:p w14:paraId="2283C7C4" w14:textId="77777777" w:rsidR="003138BD" w:rsidRPr="003138BD" w:rsidRDefault="003138BD">
            <w:pPr>
              <w:pStyle w:val="NoSpacing"/>
              <w:rPr>
                <w:rFonts w:ascii="Gotham Book" w:hAnsi="Gotham Book" w:cstheme="minorHAnsi"/>
                <w:sz w:val="20"/>
                <w:szCs w:val="20"/>
              </w:rPr>
            </w:pPr>
          </w:p>
        </w:tc>
        <w:tc>
          <w:tcPr>
            <w:tcW w:w="1439" w:type="dxa"/>
          </w:tcPr>
          <w:p w14:paraId="349380BF"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7-10</w:t>
            </w:r>
          </w:p>
        </w:tc>
        <w:tc>
          <w:tcPr>
            <w:tcW w:w="1243" w:type="dxa"/>
          </w:tcPr>
          <w:p w14:paraId="19BEF15C"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100</w:t>
            </w:r>
          </w:p>
        </w:tc>
        <w:tc>
          <w:tcPr>
            <w:tcW w:w="2726" w:type="dxa"/>
          </w:tcPr>
          <w:p w14:paraId="4D3E2552"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80</w:t>
            </w:r>
          </w:p>
        </w:tc>
        <w:tc>
          <w:tcPr>
            <w:tcW w:w="1843" w:type="dxa"/>
          </w:tcPr>
          <w:p w14:paraId="642A9EE4"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90</w:t>
            </w:r>
          </w:p>
        </w:tc>
      </w:tr>
      <w:tr w:rsidR="003138BD" w:rsidRPr="003138BD" w14:paraId="7D7BE848" w14:textId="77777777" w:rsidTr="00A41B1C">
        <w:trPr>
          <w:trHeight w:val="167"/>
        </w:trPr>
        <w:tc>
          <w:tcPr>
            <w:tcW w:w="1401" w:type="dxa"/>
            <w:vMerge/>
          </w:tcPr>
          <w:p w14:paraId="77CBC74D" w14:textId="77777777" w:rsidR="003138BD" w:rsidRPr="003138BD" w:rsidRDefault="003138BD">
            <w:pPr>
              <w:pStyle w:val="NoSpacing"/>
              <w:rPr>
                <w:rFonts w:ascii="Gotham Book" w:hAnsi="Gotham Book" w:cstheme="minorHAnsi"/>
                <w:sz w:val="20"/>
                <w:szCs w:val="20"/>
              </w:rPr>
            </w:pPr>
          </w:p>
        </w:tc>
        <w:tc>
          <w:tcPr>
            <w:tcW w:w="1439" w:type="dxa"/>
          </w:tcPr>
          <w:p w14:paraId="5FA9D686"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4-6</w:t>
            </w:r>
          </w:p>
        </w:tc>
        <w:tc>
          <w:tcPr>
            <w:tcW w:w="1243" w:type="dxa"/>
          </w:tcPr>
          <w:p w14:paraId="1197AEC5"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100</w:t>
            </w:r>
          </w:p>
        </w:tc>
        <w:tc>
          <w:tcPr>
            <w:tcW w:w="2726" w:type="dxa"/>
          </w:tcPr>
          <w:p w14:paraId="0318781D"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80</w:t>
            </w:r>
          </w:p>
        </w:tc>
        <w:tc>
          <w:tcPr>
            <w:tcW w:w="1843" w:type="dxa"/>
          </w:tcPr>
          <w:p w14:paraId="5CC49B05"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90</w:t>
            </w:r>
          </w:p>
        </w:tc>
      </w:tr>
      <w:tr w:rsidR="003138BD" w:rsidRPr="003138BD" w14:paraId="4477BC28" w14:textId="77777777" w:rsidTr="00A41B1C">
        <w:trPr>
          <w:trHeight w:val="47"/>
        </w:trPr>
        <w:tc>
          <w:tcPr>
            <w:tcW w:w="1401" w:type="dxa"/>
            <w:vMerge/>
          </w:tcPr>
          <w:p w14:paraId="158AFE5B" w14:textId="77777777" w:rsidR="003138BD" w:rsidRPr="003138BD" w:rsidRDefault="003138BD">
            <w:pPr>
              <w:pStyle w:val="NoSpacing"/>
              <w:rPr>
                <w:rFonts w:ascii="Gotham Book" w:hAnsi="Gotham Book" w:cstheme="minorHAnsi"/>
                <w:sz w:val="20"/>
                <w:szCs w:val="20"/>
              </w:rPr>
            </w:pPr>
          </w:p>
        </w:tc>
        <w:tc>
          <w:tcPr>
            <w:tcW w:w="1439" w:type="dxa"/>
          </w:tcPr>
          <w:p w14:paraId="104CA7A1"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1-3</w:t>
            </w:r>
          </w:p>
        </w:tc>
        <w:tc>
          <w:tcPr>
            <w:tcW w:w="1243" w:type="dxa"/>
          </w:tcPr>
          <w:p w14:paraId="67C7724D"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100</w:t>
            </w:r>
          </w:p>
        </w:tc>
        <w:tc>
          <w:tcPr>
            <w:tcW w:w="2726" w:type="dxa"/>
          </w:tcPr>
          <w:p w14:paraId="6978D142"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80</w:t>
            </w:r>
          </w:p>
        </w:tc>
        <w:tc>
          <w:tcPr>
            <w:tcW w:w="1843" w:type="dxa"/>
          </w:tcPr>
          <w:p w14:paraId="5B00B049" w14:textId="77777777" w:rsidR="003138BD" w:rsidRPr="003138BD" w:rsidRDefault="003138BD">
            <w:pPr>
              <w:pStyle w:val="NoSpacing"/>
              <w:jc w:val="center"/>
              <w:rPr>
                <w:rFonts w:ascii="Gotham Book" w:hAnsi="Gotham Book" w:cstheme="minorHAnsi"/>
                <w:sz w:val="20"/>
                <w:szCs w:val="20"/>
              </w:rPr>
            </w:pPr>
            <w:r w:rsidRPr="003138BD">
              <w:rPr>
                <w:rFonts w:ascii="Gotham Book" w:hAnsi="Gotham Book" w:cstheme="minorHAnsi"/>
                <w:sz w:val="20"/>
                <w:szCs w:val="20"/>
              </w:rPr>
              <w:t>90</w:t>
            </w:r>
          </w:p>
        </w:tc>
      </w:tr>
    </w:tbl>
    <w:p w14:paraId="407A29FD" w14:textId="77777777" w:rsidR="003138BD" w:rsidRDefault="003138BD" w:rsidP="003138BD">
      <w:pPr>
        <w:pStyle w:val="Heading3"/>
      </w:pPr>
      <w:bookmarkStart w:id="52" w:name="_Toc202956838"/>
      <w:bookmarkStart w:id="53" w:name="_Toc210406361"/>
      <w:bookmarkStart w:id="54" w:name="_Toc212567860"/>
      <w:r>
        <w:t>Upper Levels</w:t>
      </w:r>
      <w:bookmarkEnd w:id="52"/>
      <w:bookmarkEnd w:id="53"/>
      <w:bookmarkEnd w:id="54"/>
      <w:r>
        <w:t xml:space="preserve"> </w:t>
      </w:r>
    </w:p>
    <w:p w14:paraId="29A9B87C" w14:textId="77777777" w:rsidR="003138BD" w:rsidRDefault="003138BD" w:rsidP="003138BD">
      <w:pPr>
        <w:pStyle w:val="Heading4"/>
      </w:pPr>
      <w:bookmarkStart w:id="55" w:name="_Toc210406362"/>
      <w:bookmarkStart w:id="56" w:name="_Toc212567861"/>
      <w:r>
        <w:t>Basis for current recommendations</w:t>
      </w:r>
      <w:bookmarkEnd w:id="55"/>
      <w:bookmarkEnd w:id="56"/>
    </w:p>
    <w:p w14:paraId="6F174443" w14:textId="77777777" w:rsidR="003138BD" w:rsidRPr="0010397F" w:rsidRDefault="003138BD" w:rsidP="003138BD">
      <w:pPr>
        <w:spacing w:after="120" w:line="180" w:lineRule="atLeast"/>
        <w:rPr>
          <w:rFonts w:eastAsia="Times New Roman"/>
        </w:rPr>
      </w:pPr>
      <w:r>
        <w:t>T</w:t>
      </w:r>
      <w:r w:rsidRPr="0010397F">
        <w:t>he 2006 NRVs also specify Upper L</w:t>
      </w:r>
      <w:r>
        <w:t>evels</w:t>
      </w:r>
      <w:r w:rsidRPr="0010397F">
        <w:t xml:space="preserve"> </w:t>
      </w:r>
      <w:r>
        <w:t xml:space="preserve">(UL) </w:t>
      </w:r>
      <w:r w:rsidRPr="0010397F">
        <w:t>for</w:t>
      </w:r>
      <w:r>
        <w:t xml:space="preserve"> iodine for</w:t>
      </w:r>
      <w:r w:rsidRPr="0010397F">
        <w:t xml:space="preserve"> each </w:t>
      </w:r>
      <w:r w:rsidRPr="00815396">
        <w:t>population group.</w:t>
      </w:r>
      <w:r w:rsidRPr="009448DE">
        <w:rPr>
          <w:rFonts w:eastAsia="Times New Roman"/>
        </w:rPr>
        <w:t xml:space="preserve"> </w:t>
      </w:r>
      <w:r>
        <w:rPr>
          <w:rFonts w:eastAsia="Times New Roman"/>
        </w:rPr>
        <w:t xml:space="preserve">The UL in adults was derived from </w:t>
      </w:r>
      <w:r w:rsidRPr="0010397F">
        <w:rPr>
          <w:rFonts w:eastAsia="Times New Roman"/>
        </w:rPr>
        <w:t xml:space="preserve">data </w:t>
      </w:r>
      <w:r>
        <w:rPr>
          <w:rFonts w:eastAsia="Times New Roman"/>
        </w:rPr>
        <w:t xml:space="preserve">for </w:t>
      </w:r>
      <w:r w:rsidRPr="0010397F">
        <w:rPr>
          <w:rFonts w:eastAsia="Times New Roman"/>
        </w:rPr>
        <w:t xml:space="preserve">challenged thyroid function (measured as elevated TSH concentrations). </w:t>
      </w:r>
      <w:r>
        <w:rPr>
          <w:rFonts w:eastAsia="Times New Roman"/>
        </w:rPr>
        <w:t>A</w:t>
      </w:r>
      <w:r w:rsidRPr="0010397F">
        <w:rPr>
          <w:rFonts w:eastAsia="Times New Roman"/>
        </w:rPr>
        <w:t xml:space="preserve"> LOAEL of 1700</w:t>
      </w:r>
      <w:r>
        <w:rPr>
          <w:rFonts w:eastAsia="Times New Roman"/>
        </w:rPr>
        <w:t xml:space="preserve"> </w:t>
      </w:r>
      <w:proofErr w:type="spellStart"/>
      <w:r>
        <w:rPr>
          <w:rFonts w:eastAsia="Times New Roman"/>
        </w:rPr>
        <w:t>μg</w:t>
      </w:r>
      <w:proofErr w:type="spellEnd"/>
      <w:r>
        <w:rPr>
          <w:rFonts w:eastAsia="Times New Roman"/>
        </w:rPr>
        <w:t>/day was set</w:t>
      </w:r>
      <w:r w:rsidRPr="0010397F">
        <w:rPr>
          <w:rFonts w:eastAsia="Times New Roman"/>
        </w:rPr>
        <w:t>, based on two studies of supplemental iodine which showed increased TSH</w:t>
      </w:r>
      <w:r>
        <w:rPr>
          <w:rFonts w:eastAsia="Times New Roman"/>
        </w:rPr>
        <w:t xml:space="preserve"> (over baseline)</w:t>
      </w:r>
      <w:r w:rsidRPr="0010397F">
        <w:rPr>
          <w:rFonts w:eastAsia="Times New Roman"/>
        </w:rPr>
        <w:t xml:space="preserve"> at 1,800</w:t>
      </w:r>
      <w:r>
        <w:rPr>
          <w:rFonts w:eastAsia="Times New Roman"/>
        </w:rPr>
        <w:t xml:space="preserve"> </w:t>
      </w:r>
      <w:proofErr w:type="spellStart"/>
      <w:r>
        <w:rPr>
          <w:rFonts w:eastAsia="Times New Roman"/>
        </w:rPr>
        <w:t>μg</w:t>
      </w:r>
      <w:proofErr w:type="spellEnd"/>
      <w:r>
        <w:rPr>
          <w:rFonts w:eastAsia="Times New Roman"/>
        </w:rPr>
        <w:t>/day</w:t>
      </w:r>
      <w:r w:rsidRPr="0010397F">
        <w:rPr>
          <w:rFonts w:eastAsia="Times New Roman"/>
        </w:rPr>
        <w:t xml:space="preserve"> and 1,700</w:t>
      </w:r>
      <w:r>
        <w:rPr>
          <w:rFonts w:eastAsia="Times New Roman"/>
        </w:rPr>
        <w:t xml:space="preserve"> </w:t>
      </w:r>
      <w:proofErr w:type="spellStart"/>
      <w:r>
        <w:rPr>
          <w:rFonts w:eastAsia="Times New Roman"/>
        </w:rPr>
        <w:t>μg</w:t>
      </w:r>
      <w:proofErr w:type="spellEnd"/>
      <w:r>
        <w:rPr>
          <w:rFonts w:eastAsia="Times New Roman"/>
        </w:rPr>
        <w:t>/day</w:t>
      </w:r>
      <w:r w:rsidRPr="0010397F">
        <w:rPr>
          <w:rFonts w:eastAsia="Times New Roman"/>
        </w:rPr>
        <w:t xml:space="preserve"> (Gardner et al. 1988, Paul et al. 1988). </w:t>
      </w:r>
      <w:r>
        <w:rPr>
          <w:rFonts w:eastAsia="Times New Roman"/>
        </w:rPr>
        <w:t xml:space="preserve">Both studies were small, examining varying iodine doses in 30 and 32 participants respectively. </w:t>
      </w:r>
    </w:p>
    <w:p w14:paraId="6AA2A8A9" w14:textId="77777777" w:rsidR="003138BD" w:rsidRPr="0010397F" w:rsidRDefault="003138BD" w:rsidP="003138BD">
      <w:pPr>
        <w:spacing w:after="120" w:line="180" w:lineRule="atLeast"/>
        <w:rPr>
          <w:rFonts w:eastAsia="Times New Roman"/>
        </w:rPr>
      </w:pPr>
      <w:r w:rsidRPr="0010397F">
        <w:rPr>
          <w:rFonts w:eastAsia="Times New Roman"/>
        </w:rPr>
        <w:t>NHMRC (2006) applied an uncertainty factor of 1.5 to arrive at a rounded adult UL of 1100</w:t>
      </w:r>
      <w:r>
        <w:rPr>
          <w:rFonts w:eastAsia="Times New Roman"/>
        </w:rPr>
        <w:t> </w:t>
      </w:r>
      <w:proofErr w:type="spellStart"/>
      <w:r>
        <w:rPr>
          <w:rFonts w:eastAsia="Times New Roman"/>
        </w:rPr>
        <w:t>μg</w:t>
      </w:r>
      <w:proofErr w:type="spellEnd"/>
      <w:r>
        <w:rPr>
          <w:rFonts w:eastAsia="Times New Roman"/>
        </w:rPr>
        <w:t>/day.</w:t>
      </w:r>
    </w:p>
    <w:p w14:paraId="7D2D5201" w14:textId="77777777" w:rsidR="003138BD" w:rsidRDefault="003138BD" w:rsidP="003138BD">
      <w:pPr>
        <w:spacing w:after="120" w:line="180" w:lineRule="atLeast"/>
        <w:rPr>
          <w:rFonts w:eastAsia="Times New Roman"/>
        </w:rPr>
      </w:pPr>
      <w:r>
        <w:rPr>
          <w:rFonts w:eastAsia="Times New Roman"/>
        </w:rPr>
        <w:t>The</w:t>
      </w:r>
      <w:r w:rsidRPr="0010397F">
        <w:rPr>
          <w:rFonts w:eastAsia="Times New Roman"/>
        </w:rPr>
        <w:t xml:space="preserve"> adult UL was also </w:t>
      </w:r>
      <w:r>
        <w:rPr>
          <w:rFonts w:eastAsia="Times New Roman"/>
        </w:rPr>
        <w:t xml:space="preserve">adopted </w:t>
      </w:r>
      <w:r w:rsidRPr="0010397F">
        <w:rPr>
          <w:rFonts w:eastAsia="Times New Roman"/>
        </w:rPr>
        <w:t xml:space="preserve">for pregnancy and lactation on the assumption that there was no evidence of increased sensitivity in these populations. </w:t>
      </w:r>
      <w:r>
        <w:rPr>
          <w:rFonts w:eastAsia="Times New Roman"/>
        </w:rPr>
        <w:t xml:space="preserve">Values for children and adolescents were </w:t>
      </w:r>
      <w:r w:rsidRPr="0010397F">
        <w:rPr>
          <w:rFonts w:eastAsia="Times New Roman"/>
        </w:rPr>
        <w:t xml:space="preserve">extrapolated </w:t>
      </w:r>
      <w:r>
        <w:rPr>
          <w:rFonts w:eastAsia="Times New Roman"/>
        </w:rPr>
        <w:t xml:space="preserve">from adult </w:t>
      </w:r>
      <w:r w:rsidRPr="0010397F">
        <w:rPr>
          <w:rFonts w:eastAsia="Times New Roman"/>
        </w:rPr>
        <w:t>ULs, based on metabolic body weight</w:t>
      </w:r>
      <w:r>
        <w:rPr>
          <w:rFonts w:eastAsia="Times New Roman"/>
        </w:rPr>
        <w:t xml:space="preserve">. </w:t>
      </w:r>
    </w:p>
    <w:p w14:paraId="4EAFDECF" w14:textId="77777777" w:rsidR="003138BD" w:rsidRDefault="003138BD" w:rsidP="003138BD">
      <w:pPr>
        <w:pStyle w:val="Heading4"/>
      </w:pPr>
      <w:bookmarkStart w:id="57" w:name="_Toc210406363"/>
      <w:bookmarkStart w:id="58" w:name="_Toc212567862"/>
      <w:r>
        <w:lastRenderedPageBreak/>
        <w:t>Comparison with international values</w:t>
      </w:r>
      <w:bookmarkEnd w:id="57"/>
      <w:bookmarkEnd w:id="58"/>
    </w:p>
    <w:p w14:paraId="4C037B26" w14:textId="77777777" w:rsidR="003138BD" w:rsidRDefault="003138BD" w:rsidP="003138BD">
      <w:pPr>
        <w:pStyle w:val="Heading5"/>
      </w:pPr>
      <w:r>
        <w:t>Adults</w:t>
      </w:r>
    </w:p>
    <w:p w14:paraId="3C983360" w14:textId="77777777" w:rsidR="003138BD" w:rsidRDefault="003138BD" w:rsidP="003138BD">
      <w:pPr>
        <w:spacing w:after="120" w:line="180" w:lineRule="atLeast"/>
        <w:rPr>
          <w:rFonts w:eastAsia="Times New Roman"/>
        </w:rPr>
      </w:pPr>
      <w:r w:rsidRPr="00815396">
        <w:t>The</w:t>
      </w:r>
      <w:r>
        <w:t xml:space="preserve">re is substantial variation across international ULs, most notably between the current (2006) and US/Canadian UL of 1,100 </w:t>
      </w:r>
      <w:proofErr w:type="spellStart"/>
      <w:r>
        <w:t>μg</w:t>
      </w:r>
      <w:proofErr w:type="spellEnd"/>
      <w:r>
        <w:t>/day</w:t>
      </w:r>
      <w:r w:rsidRPr="00815396">
        <w:t xml:space="preserve"> </w:t>
      </w:r>
      <w:r>
        <w:t xml:space="preserve">and the UL of 600 </w:t>
      </w:r>
      <w:proofErr w:type="spellStart"/>
      <w:r>
        <w:rPr>
          <w:rFonts w:eastAsia="Times New Roman"/>
        </w:rPr>
        <w:t>μg</w:t>
      </w:r>
      <w:proofErr w:type="spellEnd"/>
      <w:r>
        <w:rPr>
          <w:rFonts w:eastAsia="Times New Roman"/>
        </w:rPr>
        <w:t>/day</w:t>
      </w:r>
      <w:r w:rsidRPr="00815396">
        <w:rPr>
          <w:rFonts w:eastAsia="Times New Roman"/>
        </w:rPr>
        <w:t xml:space="preserve"> </w:t>
      </w:r>
      <w:r>
        <w:rPr>
          <w:rFonts w:eastAsia="Times New Roman"/>
        </w:rPr>
        <w:t xml:space="preserve">established by </w:t>
      </w:r>
      <w:r w:rsidRPr="00815396">
        <w:rPr>
          <w:rFonts w:eastAsia="Times New Roman"/>
        </w:rPr>
        <w:t>the European Commission (EFSA 2002)</w:t>
      </w:r>
      <w:r>
        <w:rPr>
          <w:rFonts w:eastAsia="Times New Roman"/>
        </w:rPr>
        <w:t xml:space="preserve"> and 2023 Nordic Nutrition Recommendations (</w:t>
      </w:r>
      <w:proofErr w:type="spellStart"/>
      <w:r>
        <w:rPr>
          <w:rFonts w:eastAsia="Times New Roman"/>
        </w:rPr>
        <w:t>Blomhoff</w:t>
      </w:r>
      <w:proofErr w:type="spellEnd"/>
      <w:r>
        <w:rPr>
          <w:rFonts w:eastAsia="Times New Roman"/>
        </w:rPr>
        <w:t xml:space="preserve"> et al. 2023)</w:t>
      </w:r>
      <w:r w:rsidRPr="0010397F">
        <w:rPr>
          <w:rFonts w:eastAsia="Times New Roman"/>
        </w:rPr>
        <w:t xml:space="preserve">. However, </w:t>
      </w:r>
      <w:r>
        <w:rPr>
          <w:rFonts w:eastAsia="Times New Roman"/>
        </w:rPr>
        <w:t xml:space="preserve">these ULs have all been </w:t>
      </w:r>
      <w:r w:rsidRPr="0010397F">
        <w:rPr>
          <w:rFonts w:eastAsia="Times New Roman"/>
        </w:rPr>
        <w:t xml:space="preserve">developed based on the same end point </w:t>
      </w:r>
      <w:proofErr w:type="gramStart"/>
      <w:r>
        <w:rPr>
          <w:rFonts w:eastAsia="Times New Roman"/>
        </w:rPr>
        <w:t>data, and</w:t>
      </w:r>
      <w:proofErr w:type="gramEnd"/>
      <w:r>
        <w:rPr>
          <w:rFonts w:eastAsia="Times New Roman"/>
        </w:rPr>
        <w:t xml:space="preserve"> using a LOAEL of </w:t>
      </w:r>
      <w:r w:rsidRPr="0010397F">
        <w:rPr>
          <w:rFonts w:eastAsia="Times New Roman"/>
        </w:rPr>
        <w:t>1700</w:t>
      </w:r>
      <w:r>
        <w:rPr>
          <w:rFonts w:eastAsia="Times New Roman"/>
        </w:rPr>
        <w:t xml:space="preserve"> </w:t>
      </w:r>
      <w:proofErr w:type="spellStart"/>
      <w:r>
        <w:rPr>
          <w:rFonts w:eastAsia="Times New Roman"/>
        </w:rPr>
        <w:t>μg</w:t>
      </w:r>
      <w:proofErr w:type="spellEnd"/>
      <w:r>
        <w:rPr>
          <w:rFonts w:eastAsia="Times New Roman"/>
        </w:rPr>
        <w:t xml:space="preserve">/day. The variation in recommendations is explained </w:t>
      </w:r>
      <w:r w:rsidRPr="0010397F">
        <w:rPr>
          <w:rFonts w:eastAsia="Times New Roman"/>
        </w:rPr>
        <w:t xml:space="preserve">by </w:t>
      </w:r>
      <w:r>
        <w:rPr>
          <w:rFonts w:eastAsia="Times New Roman"/>
        </w:rPr>
        <w:t xml:space="preserve">the application of </w:t>
      </w:r>
      <w:r w:rsidRPr="0010397F">
        <w:rPr>
          <w:rFonts w:eastAsia="Times New Roman"/>
        </w:rPr>
        <w:t xml:space="preserve">differing uncertainty factors </w:t>
      </w:r>
      <w:r>
        <w:rPr>
          <w:rFonts w:eastAsia="Times New Roman"/>
        </w:rPr>
        <w:t>by each jurisdiction</w:t>
      </w:r>
      <w:r w:rsidRPr="0010397F">
        <w:rPr>
          <w:rFonts w:eastAsia="Times New Roman"/>
        </w:rPr>
        <w:t xml:space="preserve">. </w:t>
      </w:r>
      <w:r>
        <w:rPr>
          <w:rFonts w:eastAsia="Times New Roman"/>
        </w:rPr>
        <w:t xml:space="preserve">For example, </w:t>
      </w:r>
      <w:r w:rsidRPr="0010397F">
        <w:rPr>
          <w:rFonts w:eastAsia="Times New Roman"/>
        </w:rPr>
        <w:t>NHMRC (2006)</w:t>
      </w:r>
      <w:r>
        <w:rPr>
          <w:rFonts w:eastAsia="Times New Roman"/>
        </w:rPr>
        <w:t xml:space="preserve">, the US and Canada (US IOM 2001) </w:t>
      </w:r>
      <w:r w:rsidRPr="0010397F">
        <w:rPr>
          <w:rFonts w:eastAsia="Times New Roman"/>
        </w:rPr>
        <w:t>applied an uncertainty factor of 1.5 to arrive at a rounded adult UL of 1100</w:t>
      </w:r>
      <w:r>
        <w:rPr>
          <w:rFonts w:eastAsia="Times New Roman"/>
        </w:rPr>
        <w:t xml:space="preserve"> </w:t>
      </w:r>
      <w:proofErr w:type="spellStart"/>
      <w:r>
        <w:rPr>
          <w:rFonts w:eastAsia="Times New Roman"/>
        </w:rPr>
        <w:t>μg</w:t>
      </w:r>
      <w:proofErr w:type="spellEnd"/>
      <w:r>
        <w:rPr>
          <w:rFonts w:eastAsia="Times New Roman"/>
        </w:rPr>
        <w:t>/day</w:t>
      </w:r>
      <w:r w:rsidRPr="0010397F">
        <w:rPr>
          <w:rFonts w:eastAsia="Times New Roman"/>
        </w:rPr>
        <w:t xml:space="preserve">; </w:t>
      </w:r>
      <w:r>
        <w:rPr>
          <w:rFonts w:eastAsia="Times New Roman"/>
        </w:rPr>
        <w:t xml:space="preserve">the European Commission </w:t>
      </w:r>
      <w:r w:rsidRPr="0010397F">
        <w:rPr>
          <w:rFonts w:eastAsia="Times New Roman"/>
        </w:rPr>
        <w:t>applied an uncertainty factor of 3 to arrive at its UL of 600</w:t>
      </w:r>
      <w:r>
        <w:rPr>
          <w:rFonts w:eastAsia="Times New Roman"/>
        </w:rPr>
        <w:t xml:space="preserve"> </w:t>
      </w:r>
      <w:proofErr w:type="spellStart"/>
      <w:r>
        <w:rPr>
          <w:rFonts w:eastAsia="Times New Roman"/>
        </w:rPr>
        <w:t>μg</w:t>
      </w:r>
      <w:proofErr w:type="spellEnd"/>
      <w:r>
        <w:rPr>
          <w:rFonts w:eastAsia="Times New Roman"/>
        </w:rPr>
        <w:t>/day. This lower value was adopted by the 2012 Nordic Nutrition Recommendations and retained in the recent 2023 update.</w:t>
      </w:r>
    </w:p>
    <w:p w14:paraId="35F7CA29" w14:textId="77777777" w:rsidR="003138BD" w:rsidRDefault="003138BD" w:rsidP="003138BD">
      <w:pPr>
        <w:spacing w:after="120" w:line="180" w:lineRule="atLeast"/>
        <w:rPr>
          <w:rFonts w:eastAsia="Times New Roman"/>
        </w:rPr>
      </w:pPr>
      <w:r>
        <w:rPr>
          <w:rFonts w:eastAsia="Times New Roman"/>
        </w:rPr>
        <w:t xml:space="preserve">A comparison of ULs across jurisdictions is presented in </w:t>
      </w:r>
      <w:r>
        <w:rPr>
          <w:rFonts w:eastAsia="Times New Roman"/>
        </w:rPr>
        <w:fldChar w:fldCharType="begin"/>
      </w:r>
      <w:r>
        <w:rPr>
          <w:rFonts w:eastAsia="Times New Roman"/>
        </w:rPr>
        <w:instrText xml:space="preserve"> REF _Ref173248616 \h </w:instrText>
      </w:r>
      <w:r>
        <w:rPr>
          <w:rFonts w:eastAsia="Times New Roman"/>
        </w:rPr>
      </w:r>
      <w:r>
        <w:rPr>
          <w:rFonts w:eastAsia="Times New Roman"/>
        </w:rPr>
        <w:fldChar w:fldCharType="separate"/>
      </w:r>
      <w:r>
        <w:t xml:space="preserve">Table </w:t>
      </w:r>
      <w:r>
        <w:rPr>
          <w:noProof/>
        </w:rPr>
        <w:t>5</w:t>
      </w:r>
      <w:r>
        <w:rPr>
          <w:rFonts w:eastAsia="Times New Roman"/>
        </w:rPr>
        <w:fldChar w:fldCharType="end"/>
      </w:r>
      <w:r>
        <w:rPr>
          <w:rFonts w:eastAsia="Times New Roman"/>
        </w:rPr>
        <w:t xml:space="preserve">. </w:t>
      </w:r>
    </w:p>
    <w:p w14:paraId="7E134A07" w14:textId="77777777" w:rsidR="003138BD" w:rsidRPr="0044184B" w:rsidRDefault="003138BD" w:rsidP="003138BD">
      <w:pPr>
        <w:spacing w:after="120" w:line="180" w:lineRule="atLeast"/>
        <w:rPr>
          <w:rFonts w:eastAsia="Times New Roman"/>
        </w:rPr>
      </w:pPr>
      <w:r>
        <w:rPr>
          <w:rFonts w:eastAsia="Times New Roman"/>
        </w:rPr>
        <w:t xml:space="preserve">The WHO specifies upper limits that are “probably safe” in its 2004 recommended vitamin and mineral requirements for human nutrition (WHO 2004). The ULs provided are in the units of µg/kg/day and are in the order of 15 to 20 times higher than recommended intakes, reflecting the high </w:t>
      </w:r>
      <w:r w:rsidRPr="000613E9">
        <w:rPr>
          <w:rFonts w:eastAsia="Times New Roman"/>
        </w:rPr>
        <w:t xml:space="preserve">tolerance </w:t>
      </w:r>
      <w:r>
        <w:rPr>
          <w:rFonts w:eastAsia="Times New Roman"/>
        </w:rPr>
        <w:t xml:space="preserve">of healthy, iodine-replete, euthyroid adults to high </w:t>
      </w:r>
      <w:r w:rsidRPr="000613E9">
        <w:rPr>
          <w:rFonts w:eastAsia="Times New Roman"/>
        </w:rPr>
        <w:t>doses of iodine</w:t>
      </w:r>
      <w:r>
        <w:rPr>
          <w:rFonts w:eastAsia="Times New Roman"/>
        </w:rPr>
        <w:t xml:space="preserve">. These values have been transposed to </w:t>
      </w:r>
      <w:proofErr w:type="spellStart"/>
      <w:r>
        <w:rPr>
          <w:rFonts w:eastAsia="Times New Roman"/>
        </w:rPr>
        <w:t>μg</w:t>
      </w:r>
      <w:proofErr w:type="spellEnd"/>
      <w:r>
        <w:rPr>
          <w:rFonts w:eastAsia="Times New Roman"/>
        </w:rPr>
        <w:t xml:space="preserve">/day using Australian and New Zealand reference weights (based on ‘ideal’ body weight) in </w:t>
      </w:r>
      <w:r>
        <w:rPr>
          <w:rFonts w:eastAsia="Times New Roman"/>
        </w:rPr>
        <w:fldChar w:fldCharType="begin"/>
      </w:r>
      <w:r>
        <w:rPr>
          <w:rFonts w:eastAsia="Times New Roman"/>
        </w:rPr>
        <w:instrText xml:space="preserve"> REF _Ref193188927 \h </w:instrText>
      </w:r>
      <w:r>
        <w:rPr>
          <w:rFonts w:eastAsia="Times New Roman"/>
        </w:rPr>
      </w:r>
      <w:r>
        <w:rPr>
          <w:rFonts w:eastAsia="Times New Roman"/>
        </w:rPr>
        <w:fldChar w:fldCharType="separate"/>
      </w:r>
      <w:r>
        <w:t xml:space="preserve">Table </w:t>
      </w:r>
      <w:r>
        <w:rPr>
          <w:noProof/>
        </w:rPr>
        <w:t>6</w:t>
      </w:r>
      <w:r>
        <w:rPr>
          <w:rFonts w:eastAsia="Times New Roman"/>
        </w:rPr>
        <w:fldChar w:fldCharType="end"/>
      </w:r>
      <w:r>
        <w:rPr>
          <w:rFonts w:eastAsia="Times New Roman"/>
        </w:rPr>
        <w:t xml:space="preserve">, to facilitate comparison with other international values. </w:t>
      </w:r>
    </w:p>
    <w:p w14:paraId="450BE528" w14:textId="77777777" w:rsidR="003138BD" w:rsidRDefault="003138BD" w:rsidP="003138BD">
      <w:pPr>
        <w:pStyle w:val="Heading5"/>
      </w:pPr>
      <w:bookmarkStart w:id="59" w:name="_Toc202956839"/>
      <w:r>
        <w:t>Pregnancy</w:t>
      </w:r>
      <w:bookmarkEnd w:id="59"/>
      <w:r>
        <w:t xml:space="preserve"> </w:t>
      </w:r>
    </w:p>
    <w:p w14:paraId="7462F7AF" w14:textId="77777777" w:rsidR="003138BD" w:rsidRDefault="003138BD" w:rsidP="003138BD">
      <w:pPr>
        <w:spacing w:after="120" w:line="180" w:lineRule="atLeast"/>
        <w:rPr>
          <w:rFonts w:eastAsia="Times New Roman"/>
        </w:rPr>
      </w:pPr>
      <w:r>
        <w:rPr>
          <w:rFonts w:eastAsia="Times New Roman"/>
        </w:rPr>
        <w:t xml:space="preserve">The WHO epidemiological criteria for assessing iodine nutrition based on median UIC in pregnant women defines UIC &gt; 500 µg/L as </w:t>
      </w:r>
      <w:r w:rsidRPr="0044184B">
        <w:rPr>
          <w:rFonts w:eastAsia="Times New Roman"/>
        </w:rPr>
        <w:t>an excess intake</w:t>
      </w:r>
      <w:r>
        <w:rPr>
          <w:rFonts w:eastAsia="Times New Roman"/>
        </w:rPr>
        <w:t xml:space="preserve"> (WHO 2007). </w:t>
      </w:r>
      <w:r w:rsidRPr="0044184B">
        <w:rPr>
          <w:rFonts w:eastAsia="Times New Roman"/>
        </w:rPr>
        <w:t xml:space="preserve">However, </w:t>
      </w:r>
      <w:r>
        <w:rPr>
          <w:rFonts w:eastAsia="Times New Roman"/>
        </w:rPr>
        <w:t xml:space="preserve">in </w:t>
      </w:r>
      <w:r w:rsidRPr="0044184B">
        <w:rPr>
          <w:rFonts w:eastAsia="Times New Roman"/>
        </w:rPr>
        <w:t xml:space="preserve">this context </w:t>
      </w:r>
      <w:r>
        <w:rPr>
          <w:rFonts w:eastAsia="Times New Roman"/>
        </w:rPr>
        <w:t xml:space="preserve">the WHO is referring to </w:t>
      </w:r>
      <w:r w:rsidRPr="0044184B">
        <w:rPr>
          <w:rFonts w:eastAsia="Times New Roman"/>
        </w:rPr>
        <w:t>intakes that are “in excess of the amount required to prevent and control iodine deficiency”</w:t>
      </w:r>
      <w:r>
        <w:rPr>
          <w:rFonts w:eastAsia="Times New Roman"/>
        </w:rPr>
        <w:t xml:space="preserve"> and a</w:t>
      </w:r>
      <w:r w:rsidRPr="0044184B">
        <w:rPr>
          <w:rFonts w:eastAsia="Times New Roman"/>
        </w:rPr>
        <w:t>ccordingly, the 500</w:t>
      </w:r>
      <w:r>
        <w:rPr>
          <w:rFonts w:eastAsia="Times New Roman"/>
        </w:rPr>
        <w:t xml:space="preserve"> µg/L </w:t>
      </w:r>
      <w:r w:rsidRPr="0044184B">
        <w:rPr>
          <w:rFonts w:eastAsia="Times New Roman"/>
        </w:rPr>
        <w:t xml:space="preserve">threshold should not be interpreted as describing an UL. </w:t>
      </w:r>
      <w:r>
        <w:rPr>
          <w:rFonts w:eastAsia="Times New Roman"/>
        </w:rPr>
        <w:t xml:space="preserve"> The WHO </w:t>
      </w:r>
      <w:proofErr w:type="gramStart"/>
      <w:r>
        <w:rPr>
          <w:rFonts w:eastAsia="Times New Roman"/>
        </w:rPr>
        <w:t>Upper Level</w:t>
      </w:r>
      <w:proofErr w:type="gramEnd"/>
      <w:r>
        <w:rPr>
          <w:rFonts w:eastAsia="Times New Roman"/>
        </w:rPr>
        <w:t xml:space="preserve"> recommendations use the units of </w:t>
      </w:r>
      <w:proofErr w:type="spellStart"/>
      <w:r w:rsidRPr="0003138F">
        <w:rPr>
          <w:rFonts w:eastAsia="Times New Roman"/>
        </w:rPr>
        <w:t>μg</w:t>
      </w:r>
      <w:proofErr w:type="spellEnd"/>
      <w:r w:rsidRPr="0003138F">
        <w:rPr>
          <w:rFonts w:eastAsia="Times New Roman"/>
        </w:rPr>
        <w:t>/kg/day</w:t>
      </w:r>
      <w:r>
        <w:rPr>
          <w:rFonts w:eastAsia="Times New Roman"/>
        </w:rPr>
        <w:t xml:space="preserve">, with UL recommendations during pregnancy or lactation equating to 2800 </w:t>
      </w:r>
      <w:proofErr w:type="spellStart"/>
      <w:r>
        <w:t>μg</w:t>
      </w:r>
      <w:proofErr w:type="spellEnd"/>
      <w:r>
        <w:t>/day</w:t>
      </w:r>
      <w:r>
        <w:rPr>
          <w:rFonts w:eastAsia="Times New Roman"/>
        </w:rPr>
        <w:t xml:space="preserve"> for a </w:t>
      </w:r>
      <w:proofErr w:type="gramStart"/>
      <w:r>
        <w:rPr>
          <w:rFonts w:eastAsia="Times New Roman"/>
        </w:rPr>
        <w:t>70 kilogram</w:t>
      </w:r>
      <w:proofErr w:type="gramEnd"/>
      <w:r>
        <w:rPr>
          <w:rFonts w:eastAsia="Times New Roman"/>
        </w:rPr>
        <w:t xml:space="preserve"> adult.</w:t>
      </w:r>
    </w:p>
    <w:p w14:paraId="13C4F1B5" w14:textId="77777777" w:rsidR="003138BD" w:rsidRDefault="003138BD" w:rsidP="003138BD">
      <w:pPr>
        <w:spacing w:after="120" w:line="180" w:lineRule="atLeast"/>
        <w:rPr>
          <w:rFonts w:eastAsia="Times New Roman"/>
        </w:rPr>
      </w:pPr>
      <w:r w:rsidRPr="00C935A7">
        <w:rPr>
          <w:rFonts w:eastAsia="Times New Roman"/>
          <w:szCs w:val="20"/>
        </w:rPr>
        <w:t xml:space="preserve">In 2022, the </w:t>
      </w:r>
      <w:r>
        <w:rPr>
          <w:rFonts w:eastAsia="Times New Roman"/>
          <w:szCs w:val="20"/>
        </w:rPr>
        <w:t xml:space="preserve">UK Food Standards Agency’s (FSA) Committee on Toxicity examined the effects of excess iodine intake on maternal and child health. It found there was insufficient evidence to inform a risk assessment. The Committee concluded there were no toxicological concerns with iodine exposure in the general population - which was found to be within recommended limits - although individuals with diets high in seafood may be at risk of toxicological effects (UK FSA COT 2022). </w:t>
      </w:r>
    </w:p>
    <w:p w14:paraId="05796D6C" w14:textId="6CC58683" w:rsidR="003138BD" w:rsidRDefault="003138BD" w:rsidP="001376A2">
      <w:pPr>
        <w:pStyle w:val="TableTitle"/>
      </w:pPr>
      <w:r>
        <w:lastRenderedPageBreak/>
        <w:t>Upper Levels, by population and jurisdiction</w:t>
      </w:r>
    </w:p>
    <w:tbl>
      <w:tblPr>
        <w:tblStyle w:val="TableGrid"/>
        <w:tblW w:w="9730" w:type="dxa"/>
        <w:tblInd w:w="-5" w:type="dxa"/>
        <w:tblLook w:val="04A0" w:firstRow="1" w:lastRow="0" w:firstColumn="1" w:lastColumn="0" w:noHBand="0" w:noVBand="1"/>
      </w:tblPr>
      <w:tblGrid>
        <w:gridCol w:w="1282"/>
        <w:gridCol w:w="1128"/>
        <w:gridCol w:w="1276"/>
        <w:gridCol w:w="851"/>
        <w:gridCol w:w="1275"/>
        <w:gridCol w:w="1239"/>
        <w:gridCol w:w="1372"/>
        <w:gridCol w:w="1307"/>
      </w:tblGrid>
      <w:tr w:rsidR="003138BD" w:rsidRPr="000A510B" w14:paraId="0D951875" w14:textId="77777777">
        <w:tc>
          <w:tcPr>
            <w:tcW w:w="1282" w:type="dxa"/>
            <w:vMerge w:val="restart"/>
          </w:tcPr>
          <w:p w14:paraId="1E677259" w14:textId="77777777" w:rsidR="003138BD" w:rsidRPr="00D36911" w:rsidRDefault="003138BD">
            <w:pPr>
              <w:pStyle w:val="NoSpacing"/>
              <w:keepNext/>
              <w:keepLines/>
              <w:ind w:left="-109" w:firstLine="2"/>
              <w:jc w:val="center"/>
              <w:rPr>
                <w:rFonts w:ascii="Gotham Book" w:hAnsi="Gotham Book" w:cstheme="minorHAnsi"/>
                <w:b/>
                <w:bCs/>
                <w:sz w:val="20"/>
                <w:szCs w:val="20"/>
              </w:rPr>
            </w:pPr>
            <w:r w:rsidRPr="00D36911">
              <w:rPr>
                <w:rFonts w:ascii="Gotham Book" w:hAnsi="Gotham Book" w:cstheme="minorHAnsi"/>
                <w:b/>
                <w:bCs/>
                <w:sz w:val="20"/>
                <w:szCs w:val="20"/>
              </w:rPr>
              <w:t>Population group</w:t>
            </w:r>
          </w:p>
        </w:tc>
        <w:tc>
          <w:tcPr>
            <w:tcW w:w="1128" w:type="dxa"/>
            <w:vMerge w:val="restart"/>
          </w:tcPr>
          <w:p w14:paraId="019A76F5" w14:textId="77777777" w:rsidR="003138BD" w:rsidRPr="00D36911" w:rsidRDefault="003138BD">
            <w:pPr>
              <w:pStyle w:val="NoSpacing"/>
              <w:keepNext/>
              <w:keepLines/>
              <w:ind w:left="-108" w:right="-184"/>
              <w:jc w:val="center"/>
              <w:rPr>
                <w:rFonts w:ascii="Gotham Book" w:hAnsi="Gotham Book" w:cstheme="minorHAnsi"/>
                <w:b/>
                <w:bCs/>
                <w:sz w:val="20"/>
                <w:szCs w:val="20"/>
              </w:rPr>
            </w:pPr>
            <w:r w:rsidRPr="00D36911">
              <w:rPr>
                <w:rFonts w:ascii="Gotham Book" w:hAnsi="Gotham Book" w:cstheme="minorHAnsi"/>
                <w:b/>
                <w:bCs/>
                <w:sz w:val="20"/>
                <w:szCs w:val="20"/>
              </w:rPr>
              <w:t>Age range (years)</w:t>
            </w:r>
          </w:p>
        </w:tc>
        <w:tc>
          <w:tcPr>
            <w:tcW w:w="1276" w:type="dxa"/>
          </w:tcPr>
          <w:p w14:paraId="1DD25871"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US-Canada</w:t>
            </w:r>
          </w:p>
          <w:p w14:paraId="2997ACD0"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(IOM 2001)</w:t>
            </w:r>
          </w:p>
        </w:tc>
        <w:tc>
          <w:tcPr>
            <w:tcW w:w="851" w:type="dxa"/>
          </w:tcPr>
          <w:p w14:paraId="3ACD6AA9"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UK</w:t>
            </w:r>
          </w:p>
          <w:p w14:paraId="7581B556"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(1991)</w:t>
            </w:r>
          </w:p>
        </w:tc>
        <w:tc>
          <w:tcPr>
            <w:tcW w:w="1275" w:type="dxa"/>
          </w:tcPr>
          <w:p w14:paraId="0C16A7F8"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Australia &amp; NZ</w:t>
            </w:r>
          </w:p>
          <w:p w14:paraId="5C369528"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(NHMRC 2006)</w:t>
            </w:r>
          </w:p>
        </w:tc>
        <w:tc>
          <w:tcPr>
            <w:tcW w:w="1239" w:type="dxa"/>
          </w:tcPr>
          <w:p w14:paraId="350504FC"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Nordic Countries (NNR 2023)</w:t>
            </w:r>
          </w:p>
        </w:tc>
        <w:tc>
          <w:tcPr>
            <w:tcW w:w="1372" w:type="dxa"/>
          </w:tcPr>
          <w:p w14:paraId="1C9D0F24"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European Commission (</w:t>
            </w:r>
            <w:proofErr w:type="gramStart"/>
            <w:r w:rsidRPr="00D36911">
              <w:rPr>
                <w:rFonts w:ascii="Gotham Book" w:hAnsi="Gotham Book" w:cstheme="minorHAnsi"/>
                <w:b/>
                <w:bCs/>
                <w:sz w:val="20"/>
                <w:szCs w:val="20"/>
              </w:rPr>
              <w:t>2002)*</w:t>
            </w:r>
            <w:proofErr w:type="gramEnd"/>
          </w:p>
        </w:tc>
        <w:tc>
          <w:tcPr>
            <w:tcW w:w="1307" w:type="dxa"/>
          </w:tcPr>
          <w:p w14:paraId="505A9884"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Germany-Austria-Switzerland</w:t>
            </w:r>
          </w:p>
          <w:p w14:paraId="3E99E1E3"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D-A-CH</w:t>
            </w:r>
          </w:p>
          <w:p w14:paraId="307B8474"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(2015)</w:t>
            </w:r>
          </w:p>
        </w:tc>
      </w:tr>
      <w:tr w:rsidR="003138BD" w:rsidRPr="000A510B" w14:paraId="10C05CB2" w14:textId="77777777">
        <w:tc>
          <w:tcPr>
            <w:tcW w:w="1282" w:type="dxa"/>
            <w:vMerge/>
          </w:tcPr>
          <w:p w14:paraId="2BD7EA77" w14:textId="77777777" w:rsidR="003138BD" w:rsidRPr="00D36911" w:rsidRDefault="003138BD">
            <w:pPr>
              <w:pStyle w:val="NoSpacing"/>
              <w:keepNext/>
              <w:keepLines/>
              <w:ind w:left="-109" w:firstLine="2"/>
              <w:jc w:val="center"/>
              <w:rPr>
                <w:rFonts w:ascii="Gotham Book" w:hAnsi="Gotham Book" w:cstheme="minorHAnsi"/>
                <w:b/>
                <w:bCs/>
                <w:sz w:val="20"/>
                <w:szCs w:val="20"/>
              </w:rPr>
            </w:pPr>
          </w:p>
        </w:tc>
        <w:tc>
          <w:tcPr>
            <w:tcW w:w="1128" w:type="dxa"/>
            <w:vMerge/>
          </w:tcPr>
          <w:p w14:paraId="154AA648" w14:textId="77777777" w:rsidR="003138BD" w:rsidRPr="00D36911" w:rsidRDefault="003138BD">
            <w:pPr>
              <w:pStyle w:val="NoSpacing"/>
              <w:keepNext/>
              <w:keepLines/>
              <w:ind w:left="-108" w:right="-184"/>
              <w:jc w:val="center"/>
              <w:rPr>
                <w:rFonts w:ascii="Gotham Book" w:hAnsi="Gotham Book" w:cstheme="minorHAnsi"/>
                <w:b/>
                <w:bCs/>
                <w:sz w:val="20"/>
                <w:szCs w:val="20"/>
              </w:rPr>
            </w:pPr>
          </w:p>
        </w:tc>
        <w:tc>
          <w:tcPr>
            <w:tcW w:w="1276" w:type="dxa"/>
          </w:tcPr>
          <w:p w14:paraId="6BD9E3D5"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UL</w:t>
            </w:r>
          </w:p>
          <w:p w14:paraId="21064DC1"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w:t>
            </w:r>
            <w:proofErr w:type="spellStart"/>
            <w:r w:rsidRPr="00D36911">
              <w:rPr>
                <w:rFonts w:ascii="Gotham Book" w:hAnsi="Gotham Book" w:cstheme="minorHAnsi"/>
                <w:b/>
                <w:bCs/>
                <w:sz w:val="20"/>
                <w:szCs w:val="20"/>
              </w:rPr>
              <w:t>μg</w:t>
            </w:r>
            <w:proofErr w:type="spellEnd"/>
            <w:r w:rsidRPr="00D36911">
              <w:rPr>
                <w:rFonts w:ascii="Gotham Book" w:hAnsi="Gotham Book" w:cstheme="minorHAnsi"/>
                <w:b/>
                <w:bCs/>
                <w:sz w:val="20"/>
                <w:szCs w:val="20"/>
              </w:rPr>
              <w:t>/d)</w:t>
            </w:r>
          </w:p>
        </w:tc>
        <w:tc>
          <w:tcPr>
            <w:tcW w:w="851" w:type="dxa"/>
          </w:tcPr>
          <w:p w14:paraId="09E1A3D5"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UL</w:t>
            </w:r>
          </w:p>
          <w:p w14:paraId="3056D721"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w:t>
            </w:r>
            <w:proofErr w:type="spellStart"/>
            <w:r w:rsidRPr="00D36911">
              <w:rPr>
                <w:rFonts w:ascii="Gotham Book" w:hAnsi="Gotham Book" w:cstheme="minorHAnsi"/>
                <w:b/>
                <w:bCs/>
                <w:sz w:val="20"/>
                <w:szCs w:val="20"/>
              </w:rPr>
              <w:t>μg</w:t>
            </w:r>
            <w:proofErr w:type="spellEnd"/>
            <w:r w:rsidRPr="00D36911">
              <w:rPr>
                <w:rFonts w:ascii="Gotham Book" w:hAnsi="Gotham Book" w:cstheme="minorHAnsi"/>
                <w:b/>
                <w:bCs/>
                <w:sz w:val="20"/>
                <w:szCs w:val="20"/>
              </w:rPr>
              <w:t>/d)</w:t>
            </w:r>
          </w:p>
        </w:tc>
        <w:tc>
          <w:tcPr>
            <w:tcW w:w="1275" w:type="dxa"/>
          </w:tcPr>
          <w:p w14:paraId="0E87E209"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UL</w:t>
            </w:r>
          </w:p>
          <w:p w14:paraId="0DF72CF8"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w:t>
            </w:r>
            <w:proofErr w:type="spellStart"/>
            <w:r w:rsidRPr="00D36911">
              <w:rPr>
                <w:rFonts w:ascii="Gotham Book" w:hAnsi="Gotham Book" w:cstheme="minorHAnsi"/>
                <w:b/>
                <w:bCs/>
                <w:sz w:val="20"/>
                <w:szCs w:val="20"/>
              </w:rPr>
              <w:t>μg</w:t>
            </w:r>
            <w:proofErr w:type="spellEnd"/>
            <w:r w:rsidRPr="00D36911">
              <w:rPr>
                <w:rFonts w:ascii="Gotham Book" w:hAnsi="Gotham Book" w:cstheme="minorHAnsi"/>
                <w:b/>
                <w:bCs/>
                <w:sz w:val="20"/>
                <w:szCs w:val="20"/>
              </w:rPr>
              <w:t>/d)</w:t>
            </w:r>
          </w:p>
        </w:tc>
        <w:tc>
          <w:tcPr>
            <w:tcW w:w="1239" w:type="dxa"/>
          </w:tcPr>
          <w:p w14:paraId="5E84D453"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UL</w:t>
            </w:r>
          </w:p>
          <w:p w14:paraId="28D250C4"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w:t>
            </w:r>
            <w:proofErr w:type="spellStart"/>
            <w:r w:rsidRPr="00D36911">
              <w:rPr>
                <w:rFonts w:ascii="Gotham Book" w:hAnsi="Gotham Book" w:cstheme="minorHAnsi"/>
                <w:b/>
                <w:bCs/>
                <w:sz w:val="20"/>
                <w:szCs w:val="20"/>
              </w:rPr>
              <w:t>μg</w:t>
            </w:r>
            <w:proofErr w:type="spellEnd"/>
            <w:r w:rsidRPr="00D36911">
              <w:rPr>
                <w:rFonts w:ascii="Gotham Book" w:hAnsi="Gotham Book" w:cstheme="minorHAnsi"/>
                <w:b/>
                <w:bCs/>
                <w:sz w:val="20"/>
                <w:szCs w:val="20"/>
              </w:rPr>
              <w:t>/d)</w:t>
            </w:r>
          </w:p>
        </w:tc>
        <w:tc>
          <w:tcPr>
            <w:tcW w:w="1372" w:type="dxa"/>
          </w:tcPr>
          <w:p w14:paraId="27713629"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UL</w:t>
            </w:r>
          </w:p>
          <w:p w14:paraId="3D379D42"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w:t>
            </w:r>
            <w:proofErr w:type="spellStart"/>
            <w:r w:rsidRPr="00D36911">
              <w:rPr>
                <w:rFonts w:ascii="Gotham Book" w:hAnsi="Gotham Book" w:cstheme="minorHAnsi"/>
                <w:b/>
                <w:bCs/>
                <w:sz w:val="20"/>
                <w:szCs w:val="20"/>
              </w:rPr>
              <w:t>μg</w:t>
            </w:r>
            <w:proofErr w:type="spellEnd"/>
            <w:r w:rsidRPr="00D36911">
              <w:rPr>
                <w:rFonts w:ascii="Gotham Book" w:hAnsi="Gotham Book" w:cstheme="minorHAnsi"/>
                <w:b/>
                <w:bCs/>
                <w:sz w:val="20"/>
                <w:szCs w:val="20"/>
              </w:rPr>
              <w:t>/d)</w:t>
            </w:r>
          </w:p>
        </w:tc>
        <w:tc>
          <w:tcPr>
            <w:tcW w:w="1307" w:type="dxa"/>
          </w:tcPr>
          <w:p w14:paraId="1998C911"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UL</w:t>
            </w:r>
          </w:p>
          <w:p w14:paraId="15664DB9" w14:textId="77777777" w:rsidR="003138BD" w:rsidRPr="00D36911" w:rsidRDefault="003138BD">
            <w:pPr>
              <w:pStyle w:val="NoSpacing"/>
              <w:keepNext/>
              <w:keepLines/>
              <w:jc w:val="center"/>
              <w:rPr>
                <w:rFonts w:ascii="Gotham Book" w:hAnsi="Gotham Book" w:cstheme="minorHAnsi"/>
                <w:b/>
                <w:bCs/>
                <w:sz w:val="20"/>
                <w:szCs w:val="20"/>
              </w:rPr>
            </w:pPr>
            <w:r w:rsidRPr="00D36911">
              <w:rPr>
                <w:rFonts w:ascii="Gotham Book" w:hAnsi="Gotham Book" w:cstheme="minorHAnsi"/>
                <w:b/>
                <w:bCs/>
                <w:sz w:val="20"/>
                <w:szCs w:val="20"/>
              </w:rPr>
              <w:t>(</w:t>
            </w:r>
            <w:proofErr w:type="spellStart"/>
            <w:r w:rsidRPr="00D36911">
              <w:rPr>
                <w:rFonts w:ascii="Gotham Book" w:hAnsi="Gotham Book" w:cstheme="minorHAnsi"/>
                <w:b/>
                <w:bCs/>
                <w:sz w:val="20"/>
                <w:szCs w:val="20"/>
              </w:rPr>
              <w:t>μg</w:t>
            </w:r>
            <w:proofErr w:type="spellEnd"/>
            <w:r w:rsidRPr="00D36911">
              <w:rPr>
                <w:rFonts w:ascii="Gotham Book" w:hAnsi="Gotham Book" w:cstheme="minorHAnsi"/>
                <w:b/>
                <w:bCs/>
                <w:sz w:val="20"/>
                <w:szCs w:val="20"/>
              </w:rPr>
              <w:t>/d)</w:t>
            </w:r>
          </w:p>
        </w:tc>
      </w:tr>
      <w:tr w:rsidR="003138BD" w:rsidRPr="001215ED" w14:paraId="68CDE171" w14:textId="77777777">
        <w:tc>
          <w:tcPr>
            <w:tcW w:w="1282" w:type="dxa"/>
          </w:tcPr>
          <w:p w14:paraId="3EB0CBC4" w14:textId="77777777" w:rsidR="003138BD" w:rsidRPr="00D36911" w:rsidRDefault="003138BD">
            <w:pPr>
              <w:pStyle w:val="NoSpacing"/>
              <w:keepNext/>
              <w:keepLines/>
              <w:rPr>
                <w:rFonts w:ascii="Gotham Book" w:hAnsi="Gotham Book" w:cstheme="minorHAnsi"/>
                <w:sz w:val="20"/>
                <w:szCs w:val="20"/>
              </w:rPr>
            </w:pPr>
            <w:r w:rsidRPr="00D36911">
              <w:rPr>
                <w:rFonts w:ascii="Gotham Book" w:hAnsi="Gotham Book" w:cstheme="minorHAnsi"/>
                <w:sz w:val="20"/>
                <w:szCs w:val="20"/>
              </w:rPr>
              <w:t>Adults</w:t>
            </w:r>
          </w:p>
        </w:tc>
        <w:tc>
          <w:tcPr>
            <w:tcW w:w="1128" w:type="dxa"/>
          </w:tcPr>
          <w:p w14:paraId="1F85F366" w14:textId="77777777" w:rsidR="003138BD" w:rsidRPr="00D36911" w:rsidRDefault="003138BD">
            <w:pPr>
              <w:pStyle w:val="NoSpacing"/>
              <w:keepNext/>
              <w:keepLines/>
              <w:ind w:left="-108"/>
              <w:jc w:val="center"/>
              <w:rPr>
                <w:rFonts w:ascii="Gotham Book" w:hAnsi="Gotham Book" w:cstheme="minorHAnsi"/>
                <w:sz w:val="20"/>
                <w:szCs w:val="20"/>
              </w:rPr>
            </w:pPr>
            <w:r w:rsidRPr="00D36911">
              <w:rPr>
                <w:rFonts w:ascii="Gotham Book" w:hAnsi="Gotham Book" w:cstheme="minorHAnsi"/>
                <w:sz w:val="20"/>
                <w:szCs w:val="20"/>
              </w:rPr>
              <w:t>19+</w:t>
            </w:r>
          </w:p>
        </w:tc>
        <w:tc>
          <w:tcPr>
            <w:tcW w:w="1276" w:type="dxa"/>
          </w:tcPr>
          <w:p w14:paraId="70D757AF"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1100</w:t>
            </w:r>
          </w:p>
        </w:tc>
        <w:tc>
          <w:tcPr>
            <w:tcW w:w="851" w:type="dxa"/>
          </w:tcPr>
          <w:p w14:paraId="104BC74B"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1000</w:t>
            </w:r>
          </w:p>
        </w:tc>
        <w:tc>
          <w:tcPr>
            <w:tcW w:w="1275" w:type="dxa"/>
          </w:tcPr>
          <w:p w14:paraId="46293F51"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1100</w:t>
            </w:r>
          </w:p>
        </w:tc>
        <w:tc>
          <w:tcPr>
            <w:tcW w:w="1239" w:type="dxa"/>
          </w:tcPr>
          <w:p w14:paraId="376EF3AC"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72" w:type="dxa"/>
          </w:tcPr>
          <w:p w14:paraId="3686E0E1"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07" w:type="dxa"/>
          </w:tcPr>
          <w:p w14:paraId="6F6DF7F2"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500^</w:t>
            </w:r>
          </w:p>
        </w:tc>
      </w:tr>
      <w:tr w:rsidR="003138BD" w:rsidRPr="001215ED" w14:paraId="45544FDC" w14:textId="77777777">
        <w:tc>
          <w:tcPr>
            <w:tcW w:w="1282" w:type="dxa"/>
            <w:vMerge w:val="restart"/>
          </w:tcPr>
          <w:p w14:paraId="3D4EA6DC" w14:textId="77777777" w:rsidR="003138BD" w:rsidRPr="00D36911" w:rsidRDefault="003138BD">
            <w:pPr>
              <w:pStyle w:val="NoSpacing"/>
              <w:keepNext/>
              <w:keepLines/>
              <w:rPr>
                <w:rFonts w:ascii="Gotham Book" w:hAnsi="Gotham Book" w:cstheme="minorHAnsi"/>
                <w:sz w:val="20"/>
                <w:szCs w:val="20"/>
              </w:rPr>
            </w:pPr>
            <w:r w:rsidRPr="00D36911">
              <w:rPr>
                <w:rFonts w:ascii="Gotham Book" w:hAnsi="Gotham Book" w:cstheme="minorHAnsi"/>
                <w:sz w:val="20"/>
                <w:szCs w:val="20"/>
              </w:rPr>
              <w:t>Pregnancy</w:t>
            </w:r>
          </w:p>
        </w:tc>
        <w:tc>
          <w:tcPr>
            <w:tcW w:w="1128" w:type="dxa"/>
          </w:tcPr>
          <w:p w14:paraId="0D64149A" w14:textId="77777777" w:rsidR="003138BD" w:rsidRPr="00D36911" w:rsidRDefault="003138BD">
            <w:pPr>
              <w:pStyle w:val="NoSpacing"/>
              <w:keepNext/>
              <w:keepLines/>
              <w:ind w:left="-108"/>
              <w:jc w:val="center"/>
              <w:rPr>
                <w:rFonts w:ascii="Gotham Book" w:hAnsi="Gotham Book" w:cstheme="minorHAnsi"/>
                <w:sz w:val="20"/>
                <w:szCs w:val="20"/>
              </w:rPr>
            </w:pPr>
            <w:r w:rsidRPr="00D36911">
              <w:rPr>
                <w:rFonts w:ascii="Gotham Book" w:hAnsi="Gotham Book" w:cstheme="minorHAnsi"/>
                <w:sz w:val="20"/>
                <w:szCs w:val="20"/>
              </w:rPr>
              <w:t>19-50</w:t>
            </w:r>
          </w:p>
        </w:tc>
        <w:tc>
          <w:tcPr>
            <w:tcW w:w="1276" w:type="dxa"/>
          </w:tcPr>
          <w:p w14:paraId="537700C8"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1100</w:t>
            </w:r>
          </w:p>
        </w:tc>
        <w:tc>
          <w:tcPr>
            <w:tcW w:w="851" w:type="dxa"/>
          </w:tcPr>
          <w:p w14:paraId="1765D246"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275" w:type="dxa"/>
          </w:tcPr>
          <w:p w14:paraId="38408433"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1100</w:t>
            </w:r>
          </w:p>
        </w:tc>
        <w:tc>
          <w:tcPr>
            <w:tcW w:w="1239" w:type="dxa"/>
          </w:tcPr>
          <w:p w14:paraId="1E1C57EB"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72" w:type="dxa"/>
          </w:tcPr>
          <w:p w14:paraId="40659F79"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07" w:type="dxa"/>
          </w:tcPr>
          <w:p w14:paraId="15A3BB47" w14:textId="77777777" w:rsidR="003138BD" w:rsidRPr="00D36911" w:rsidRDefault="003138BD">
            <w:pPr>
              <w:pStyle w:val="NoSpacing"/>
              <w:keepNext/>
              <w:keepLines/>
              <w:jc w:val="center"/>
              <w:rPr>
                <w:rFonts w:ascii="Gotham Book" w:hAnsi="Gotham Book" w:cstheme="minorHAnsi"/>
                <w:sz w:val="20"/>
                <w:szCs w:val="20"/>
              </w:rPr>
            </w:pPr>
          </w:p>
        </w:tc>
      </w:tr>
      <w:tr w:rsidR="003138BD" w:rsidRPr="001215ED" w14:paraId="03E422FC" w14:textId="77777777">
        <w:tc>
          <w:tcPr>
            <w:tcW w:w="1282" w:type="dxa"/>
            <w:vMerge/>
          </w:tcPr>
          <w:p w14:paraId="4E88862F" w14:textId="77777777" w:rsidR="003138BD" w:rsidRPr="00D36911" w:rsidRDefault="003138BD">
            <w:pPr>
              <w:pStyle w:val="NoSpacing"/>
              <w:keepNext/>
              <w:keepLines/>
              <w:rPr>
                <w:rFonts w:ascii="Gotham Book" w:hAnsi="Gotham Book" w:cstheme="minorHAnsi"/>
                <w:sz w:val="20"/>
                <w:szCs w:val="20"/>
              </w:rPr>
            </w:pPr>
          </w:p>
        </w:tc>
        <w:tc>
          <w:tcPr>
            <w:tcW w:w="1128" w:type="dxa"/>
          </w:tcPr>
          <w:p w14:paraId="66909C0D" w14:textId="77777777" w:rsidR="003138BD" w:rsidRPr="00D36911" w:rsidRDefault="003138BD">
            <w:pPr>
              <w:pStyle w:val="NoSpacing"/>
              <w:keepNext/>
              <w:keepLines/>
              <w:ind w:left="-108"/>
              <w:jc w:val="center"/>
              <w:rPr>
                <w:rFonts w:ascii="Gotham Book" w:hAnsi="Gotham Book" w:cstheme="minorHAnsi"/>
                <w:sz w:val="20"/>
                <w:szCs w:val="20"/>
              </w:rPr>
            </w:pPr>
            <w:r w:rsidRPr="00D36911">
              <w:rPr>
                <w:rFonts w:ascii="Gotham Book" w:hAnsi="Gotham Book" w:cstheme="minorHAnsi"/>
                <w:sz w:val="20"/>
                <w:szCs w:val="20"/>
              </w:rPr>
              <w:t>14-18</w:t>
            </w:r>
          </w:p>
        </w:tc>
        <w:tc>
          <w:tcPr>
            <w:tcW w:w="1276" w:type="dxa"/>
          </w:tcPr>
          <w:p w14:paraId="54BF9CE7"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900</w:t>
            </w:r>
          </w:p>
        </w:tc>
        <w:tc>
          <w:tcPr>
            <w:tcW w:w="851" w:type="dxa"/>
          </w:tcPr>
          <w:p w14:paraId="55F31F43"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275" w:type="dxa"/>
          </w:tcPr>
          <w:p w14:paraId="6B0322E8"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900</w:t>
            </w:r>
          </w:p>
        </w:tc>
        <w:tc>
          <w:tcPr>
            <w:tcW w:w="1239" w:type="dxa"/>
          </w:tcPr>
          <w:p w14:paraId="725F08C0"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72" w:type="dxa"/>
          </w:tcPr>
          <w:p w14:paraId="42DFB24C"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07" w:type="dxa"/>
          </w:tcPr>
          <w:p w14:paraId="1AC7F3E4" w14:textId="77777777" w:rsidR="003138BD" w:rsidRPr="00D36911" w:rsidRDefault="003138BD">
            <w:pPr>
              <w:pStyle w:val="NoSpacing"/>
              <w:keepNext/>
              <w:keepLines/>
              <w:jc w:val="center"/>
              <w:rPr>
                <w:rFonts w:ascii="Gotham Book" w:hAnsi="Gotham Book" w:cstheme="minorHAnsi"/>
                <w:sz w:val="20"/>
                <w:szCs w:val="20"/>
              </w:rPr>
            </w:pPr>
          </w:p>
        </w:tc>
      </w:tr>
      <w:tr w:rsidR="003138BD" w:rsidRPr="001215ED" w14:paraId="2933693A" w14:textId="77777777">
        <w:tc>
          <w:tcPr>
            <w:tcW w:w="1282" w:type="dxa"/>
            <w:vMerge w:val="restart"/>
          </w:tcPr>
          <w:p w14:paraId="621ED704" w14:textId="77777777" w:rsidR="003138BD" w:rsidRPr="00D36911" w:rsidRDefault="003138BD">
            <w:pPr>
              <w:pStyle w:val="NoSpacing"/>
              <w:keepNext/>
              <w:keepLines/>
              <w:rPr>
                <w:rFonts w:ascii="Gotham Book" w:hAnsi="Gotham Book" w:cstheme="minorHAnsi"/>
                <w:sz w:val="20"/>
                <w:szCs w:val="20"/>
              </w:rPr>
            </w:pPr>
            <w:r w:rsidRPr="00D36911">
              <w:rPr>
                <w:rFonts w:ascii="Gotham Book" w:hAnsi="Gotham Book" w:cstheme="minorHAnsi"/>
                <w:sz w:val="20"/>
                <w:szCs w:val="20"/>
              </w:rPr>
              <w:t>Lactation</w:t>
            </w:r>
          </w:p>
        </w:tc>
        <w:tc>
          <w:tcPr>
            <w:tcW w:w="1128" w:type="dxa"/>
            <w:tcBorders>
              <w:bottom w:val="single" w:sz="4" w:space="0" w:color="auto"/>
            </w:tcBorders>
          </w:tcPr>
          <w:p w14:paraId="542B9A81" w14:textId="77777777" w:rsidR="003138BD" w:rsidRPr="00D36911" w:rsidRDefault="003138BD">
            <w:pPr>
              <w:pStyle w:val="NoSpacing"/>
              <w:keepNext/>
              <w:keepLines/>
              <w:ind w:left="-108"/>
              <w:jc w:val="center"/>
              <w:rPr>
                <w:rFonts w:ascii="Gotham Book" w:hAnsi="Gotham Book" w:cstheme="minorHAnsi"/>
                <w:sz w:val="20"/>
                <w:szCs w:val="20"/>
              </w:rPr>
            </w:pPr>
            <w:r w:rsidRPr="00D36911">
              <w:rPr>
                <w:rFonts w:ascii="Gotham Book" w:hAnsi="Gotham Book" w:cstheme="minorHAnsi"/>
                <w:sz w:val="20"/>
                <w:szCs w:val="20"/>
              </w:rPr>
              <w:t>19-50</w:t>
            </w:r>
          </w:p>
        </w:tc>
        <w:tc>
          <w:tcPr>
            <w:tcW w:w="1276" w:type="dxa"/>
            <w:tcBorders>
              <w:bottom w:val="single" w:sz="4" w:space="0" w:color="auto"/>
            </w:tcBorders>
          </w:tcPr>
          <w:p w14:paraId="27D32FD7"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1100</w:t>
            </w:r>
          </w:p>
        </w:tc>
        <w:tc>
          <w:tcPr>
            <w:tcW w:w="851" w:type="dxa"/>
            <w:tcBorders>
              <w:bottom w:val="single" w:sz="4" w:space="0" w:color="auto"/>
            </w:tcBorders>
          </w:tcPr>
          <w:p w14:paraId="6BDF10F0"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275" w:type="dxa"/>
            <w:tcBorders>
              <w:bottom w:val="single" w:sz="4" w:space="0" w:color="auto"/>
            </w:tcBorders>
          </w:tcPr>
          <w:p w14:paraId="6799AC1D"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1100</w:t>
            </w:r>
          </w:p>
        </w:tc>
        <w:tc>
          <w:tcPr>
            <w:tcW w:w="1239" w:type="dxa"/>
            <w:tcBorders>
              <w:bottom w:val="single" w:sz="4" w:space="0" w:color="auto"/>
            </w:tcBorders>
          </w:tcPr>
          <w:p w14:paraId="0D6CC827"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72" w:type="dxa"/>
            <w:tcBorders>
              <w:bottom w:val="single" w:sz="4" w:space="0" w:color="auto"/>
            </w:tcBorders>
          </w:tcPr>
          <w:p w14:paraId="21473E10"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07" w:type="dxa"/>
            <w:tcBorders>
              <w:bottom w:val="single" w:sz="4" w:space="0" w:color="auto"/>
            </w:tcBorders>
          </w:tcPr>
          <w:p w14:paraId="4524A0A3" w14:textId="77777777" w:rsidR="003138BD" w:rsidRPr="00D36911" w:rsidRDefault="003138BD">
            <w:pPr>
              <w:pStyle w:val="NoSpacing"/>
              <w:keepNext/>
              <w:keepLines/>
              <w:jc w:val="center"/>
              <w:rPr>
                <w:rFonts w:ascii="Gotham Book" w:hAnsi="Gotham Book" w:cstheme="minorHAnsi"/>
                <w:sz w:val="20"/>
                <w:szCs w:val="20"/>
              </w:rPr>
            </w:pPr>
          </w:p>
        </w:tc>
      </w:tr>
      <w:tr w:rsidR="003138BD" w:rsidRPr="001215ED" w14:paraId="3768204D" w14:textId="77777777">
        <w:tc>
          <w:tcPr>
            <w:tcW w:w="1282" w:type="dxa"/>
            <w:vMerge/>
            <w:tcBorders>
              <w:bottom w:val="single" w:sz="4" w:space="0" w:color="auto"/>
            </w:tcBorders>
          </w:tcPr>
          <w:p w14:paraId="3458B202" w14:textId="77777777" w:rsidR="003138BD" w:rsidRPr="00D36911" w:rsidRDefault="003138BD">
            <w:pPr>
              <w:pStyle w:val="NoSpacing"/>
              <w:keepNext/>
              <w:keepLines/>
              <w:rPr>
                <w:rFonts w:ascii="Gotham Book" w:hAnsi="Gotham Book" w:cstheme="minorHAnsi"/>
                <w:sz w:val="20"/>
                <w:szCs w:val="20"/>
              </w:rPr>
            </w:pPr>
          </w:p>
        </w:tc>
        <w:tc>
          <w:tcPr>
            <w:tcW w:w="1128" w:type="dxa"/>
            <w:tcBorders>
              <w:bottom w:val="single" w:sz="4" w:space="0" w:color="auto"/>
            </w:tcBorders>
          </w:tcPr>
          <w:p w14:paraId="49B1CBB2" w14:textId="77777777" w:rsidR="003138BD" w:rsidRPr="00D36911" w:rsidRDefault="003138BD">
            <w:pPr>
              <w:pStyle w:val="NoSpacing"/>
              <w:keepNext/>
              <w:keepLines/>
              <w:ind w:left="-108"/>
              <w:jc w:val="center"/>
              <w:rPr>
                <w:rFonts w:ascii="Gotham Book" w:hAnsi="Gotham Book" w:cstheme="minorHAnsi"/>
                <w:sz w:val="20"/>
                <w:szCs w:val="20"/>
              </w:rPr>
            </w:pPr>
            <w:r w:rsidRPr="00D36911">
              <w:rPr>
                <w:rFonts w:ascii="Gotham Book" w:hAnsi="Gotham Book" w:cstheme="minorHAnsi"/>
                <w:sz w:val="20"/>
                <w:szCs w:val="20"/>
              </w:rPr>
              <w:t>14-18</w:t>
            </w:r>
          </w:p>
        </w:tc>
        <w:tc>
          <w:tcPr>
            <w:tcW w:w="1276" w:type="dxa"/>
            <w:tcBorders>
              <w:bottom w:val="single" w:sz="4" w:space="0" w:color="auto"/>
            </w:tcBorders>
          </w:tcPr>
          <w:p w14:paraId="44E044C1"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900</w:t>
            </w:r>
          </w:p>
        </w:tc>
        <w:tc>
          <w:tcPr>
            <w:tcW w:w="851" w:type="dxa"/>
            <w:tcBorders>
              <w:bottom w:val="single" w:sz="4" w:space="0" w:color="auto"/>
            </w:tcBorders>
          </w:tcPr>
          <w:p w14:paraId="6ABA78D3"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275" w:type="dxa"/>
            <w:tcBorders>
              <w:bottom w:val="single" w:sz="4" w:space="0" w:color="auto"/>
            </w:tcBorders>
          </w:tcPr>
          <w:p w14:paraId="0EBA3941"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900</w:t>
            </w:r>
          </w:p>
        </w:tc>
        <w:tc>
          <w:tcPr>
            <w:tcW w:w="1239" w:type="dxa"/>
            <w:tcBorders>
              <w:bottom w:val="single" w:sz="4" w:space="0" w:color="auto"/>
            </w:tcBorders>
          </w:tcPr>
          <w:p w14:paraId="19333D18"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72" w:type="dxa"/>
            <w:tcBorders>
              <w:bottom w:val="single" w:sz="4" w:space="0" w:color="auto"/>
            </w:tcBorders>
          </w:tcPr>
          <w:p w14:paraId="5DBB8A53"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307" w:type="dxa"/>
            <w:tcBorders>
              <w:bottom w:val="single" w:sz="4" w:space="0" w:color="auto"/>
            </w:tcBorders>
          </w:tcPr>
          <w:p w14:paraId="7EB66C5D" w14:textId="77777777" w:rsidR="003138BD" w:rsidRPr="00D36911" w:rsidRDefault="003138BD">
            <w:pPr>
              <w:pStyle w:val="NoSpacing"/>
              <w:keepNext/>
              <w:keepLines/>
              <w:jc w:val="center"/>
              <w:rPr>
                <w:rFonts w:ascii="Gotham Book" w:hAnsi="Gotham Book" w:cstheme="minorHAnsi"/>
                <w:sz w:val="20"/>
                <w:szCs w:val="20"/>
              </w:rPr>
            </w:pPr>
          </w:p>
        </w:tc>
      </w:tr>
      <w:tr w:rsidR="003138BD" w:rsidRPr="001215ED" w14:paraId="1515B76D" w14:textId="77777777">
        <w:tc>
          <w:tcPr>
            <w:tcW w:w="1282" w:type="dxa"/>
            <w:vMerge w:val="restart"/>
          </w:tcPr>
          <w:p w14:paraId="30ABEED5" w14:textId="77777777" w:rsidR="003138BD" w:rsidRPr="00D36911" w:rsidRDefault="003138BD">
            <w:pPr>
              <w:pStyle w:val="NoSpacing"/>
              <w:keepNext/>
              <w:keepLines/>
              <w:rPr>
                <w:rFonts w:ascii="Gotham Book" w:hAnsi="Gotham Book" w:cstheme="minorHAnsi"/>
                <w:sz w:val="20"/>
                <w:szCs w:val="20"/>
              </w:rPr>
            </w:pPr>
            <w:r w:rsidRPr="00D36911">
              <w:rPr>
                <w:rFonts w:ascii="Gotham Book" w:hAnsi="Gotham Book" w:cstheme="minorHAnsi"/>
                <w:sz w:val="20"/>
                <w:szCs w:val="20"/>
              </w:rPr>
              <w:t>Children/</w:t>
            </w:r>
          </w:p>
          <w:p w14:paraId="4EF63872" w14:textId="77777777" w:rsidR="003138BD" w:rsidRPr="00D36911" w:rsidRDefault="003138BD">
            <w:pPr>
              <w:pStyle w:val="NoSpacing"/>
              <w:keepNext/>
              <w:keepLines/>
              <w:rPr>
                <w:rFonts w:ascii="Gotham Book" w:hAnsi="Gotham Book" w:cstheme="minorHAnsi"/>
                <w:sz w:val="20"/>
                <w:szCs w:val="20"/>
              </w:rPr>
            </w:pPr>
            <w:r w:rsidRPr="00D36911">
              <w:rPr>
                <w:rFonts w:ascii="Gotham Book" w:hAnsi="Gotham Book" w:cstheme="minorHAnsi"/>
                <w:sz w:val="20"/>
                <w:szCs w:val="20"/>
              </w:rPr>
              <w:t>adolescents</w:t>
            </w:r>
          </w:p>
        </w:tc>
        <w:tc>
          <w:tcPr>
            <w:tcW w:w="1128" w:type="dxa"/>
          </w:tcPr>
          <w:p w14:paraId="56E049CD" w14:textId="77777777" w:rsidR="003138BD" w:rsidRPr="00D36911" w:rsidRDefault="003138BD">
            <w:pPr>
              <w:pStyle w:val="NoSpacing"/>
              <w:keepNext/>
              <w:keepLines/>
              <w:ind w:left="-108"/>
              <w:jc w:val="center"/>
              <w:rPr>
                <w:rFonts w:ascii="Gotham Book" w:hAnsi="Gotham Book" w:cstheme="minorHAnsi"/>
                <w:sz w:val="20"/>
                <w:szCs w:val="20"/>
              </w:rPr>
            </w:pPr>
            <w:r w:rsidRPr="00D36911">
              <w:rPr>
                <w:rFonts w:ascii="Gotham Book" w:hAnsi="Gotham Book" w:cstheme="minorHAnsi"/>
                <w:sz w:val="20"/>
                <w:szCs w:val="20"/>
              </w:rPr>
              <w:t>14-18</w:t>
            </w:r>
          </w:p>
        </w:tc>
        <w:tc>
          <w:tcPr>
            <w:tcW w:w="1276" w:type="dxa"/>
          </w:tcPr>
          <w:p w14:paraId="757C15E3"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900</w:t>
            </w:r>
          </w:p>
        </w:tc>
        <w:tc>
          <w:tcPr>
            <w:tcW w:w="851" w:type="dxa"/>
          </w:tcPr>
          <w:p w14:paraId="34608C31"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275" w:type="dxa"/>
          </w:tcPr>
          <w:p w14:paraId="76EF0ED6"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900</w:t>
            </w:r>
          </w:p>
        </w:tc>
        <w:tc>
          <w:tcPr>
            <w:tcW w:w="1239" w:type="dxa"/>
          </w:tcPr>
          <w:p w14:paraId="4C191C2E"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372" w:type="dxa"/>
          </w:tcPr>
          <w:p w14:paraId="7A5AF509"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450-500</w:t>
            </w:r>
            <w:r w:rsidRPr="00D36911">
              <w:rPr>
                <w:rFonts w:ascii="Gotham Book" w:hAnsi="Gotham Book" w:cstheme="minorHAnsi"/>
                <w:sz w:val="20"/>
                <w:szCs w:val="20"/>
                <w:vertAlign w:val="superscript"/>
              </w:rPr>
              <w:t>1</w:t>
            </w:r>
          </w:p>
        </w:tc>
        <w:tc>
          <w:tcPr>
            <w:tcW w:w="1307" w:type="dxa"/>
          </w:tcPr>
          <w:p w14:paraId="0E7762CB" w14:textId="77777777" w:rsidR="003138BD" w:rsidRPr="00D36911" w:rsidRDefault="003138BD">
            <w:pPr>
              <w:pStyle w:val="NoSpacing"/>
              <w:keepNext/>
              <w:keepLines/>
              <w:jc w:val="center"/>
              <w:rPr>
                <w:rFonts w:ascii="Gotham Book" w:hAnsi="Gotham Book" w:cstheme="minorHAnsi"/>
                <w:sz w:val="20"/>
                <w:szCs w:val="20"/>
              </w:rPr>
            </w:pPr>
          </w:p>
        </w:tc>
      </w:tr>
      <w:tr w:rsidR="003138BD" w:rsidRPr="001215ED" w14:paraId="0F603DC1" w14:textId="77777777">
        <w:tc>
          <w:tcPr>
            <w:tcW w:w="1282" w:type="dxa"/>
            <w:vMerge/>
          </w:tcPr>
          <w:p w14:paraId="7D2A947B" w14:textId="77777777" w:rsidR="003138BD" w:rsidRPr="00D36911" w:rsidRDefault="003138BD">
            <w:pPr>
              <w:pStyle w:val="NoSpacing"/>
              <w:keepNext/>
              <w:keepLines/>
              <w:rPr>
                <w:rFonts w:ascii="Gotham Book" w:hAnsi="Gotham Book" w:cstheme="minorHAnsi"/>
                <w:sz w:val="20"/>
                <w:szCs w:val="20"/>
              </w:rPr>
            </w:pPr>
          </w:p>
        </w:tc>
        <w:tc>
          <w:tcPr>
            <w:tcW w:w="1128" w:type="dxa"/>
          </w:tcPr>
          <w:p w14:paraId="658F2240" w14:textId="77777777" w:rsidR="003138BD" w:rsidRPr="00D36911" w:rsidRDefault="003138BD">
            <w:pPr>
              <w:pStyle w:val="NoSpacing"/>
              <w:keepNext/>
              <w:keepLines/>
              <w:ind w:left="-108"/>
              <w:jc w:val="center"/>
              <w:rPr>
                <w:rFonts w:ascii="Gotham Book" w:hAnsi="Gotham Book" w:cstheme="minorHAnsi"/>
                <w:sz w:val="20"/>
                <w:szCs w:val="20"/>
              </w:rPr>
            </w:pPr>
            <w:r w:rsidRPr="00D36911">
              <w:rPr>
                <w:rFonts w:ascii="Gotham Book" w:hAnsi="Gotham Book" w:cstheme="minorHAnsi"/>
                <w:sz w:val="20"/>
                <w:szCs w:val="20"/>
              </w:rPr>
              <w:t>9-13</w:t>
            </w:r>
          </w:p>
        </w:tc>
        <w:tc>
          <w:tcPr>
            <w:tcW w:w="1276" w:type="dxa"/>
          </w:tcPr>
          <w:p w14:paraId="3F21DCEC"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851" w:type="dxa"/>
          </w:tcPr>
          <w:p w14:paraId="11252440"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275" w:type="dxa"/>
          </w:tcPr>
          <w:p w14:paraId="58EC6EE9"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600</w:t>
            </w:r>
          </w:p>
        </w:tc>
        <w:tc>
          <w:tcPr>
            <w:tcW w:w="1239" w:type="dxa"/>
          </w:tcPr>
          <w:p w14:paraId="0167BB50"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372" w:type="dxa"/>
          </w:tcPr>
          <w:p w14:paraId="0389974D"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300</w:t>
            </w:r>
            <w:r w:rsidRPr="00D36911">
              <w:rPr>
                <w:rFonts w:ascii="Gotham Book" w:hAnsi="Gotham Book" w:cstheme="minorHAnsi"/>
                <w:sz w:val="20"/>
                <w:szCs w:val="20"/>
                <w:vertAlign w:val="superscript"/>
              </w:rPr>
              <w:t>2</w:t>
            </w:r>
          </w:p>
        </w:tc>
        <w:tc>
          <w:tcPr>
            <w:tcW w:w="1307" w:type="dxa"/>
          </w:tcPr>
          <w:p w14:paraId="507E1108" w14:textId="77777777" w:rsidR="003138BD" w:rsidRPr="00D36911" w:rsidRDefault="003138BD">
            <w:pPr>
              <w:pStyle w:val="NoSpacing"/>
              <w:keepNext/>
              <w:keepLines/>
              <w:jc w:val="center"/>
              <w:rPr>
                <w:rFonts w:ascii="Gotham Book" w:hAnsi="Gotham Book" w:cstheme="minorHAnsi"/>
                <w:sz w:val="20"/>
                <w:szCs w:val="20"/>
              </w:rPr>
            </w:pPr>
          </w:p>
        </w:tc>
      </w:tr>
      <w:tr w:rsidR="003138BD" w:rsidRPr="001215ED" w14:paraId="7ABC358E" w14:textId="77777777">
        <w:trPr>
          <w:trHeight w:val="63"/>
        </w:trPr>
        <w:tc>
          <w:tcPr>
            <w:tcW w:w="1282" w:type="dxa"/>
            <w:vMerge/>
          </w:tcPr>
          <w:p w14:paraId="7A2DC12B" w14:textId="77777777" w:rsidR="003138BD" w:rsidRPr="00D36911" w:rsidRDefault="003138BD">
            <w:pPr>
              <w:pStyle w:val="NoSpacing"/>
              <w:keepNext/>
              <w:keepLines/>
              <w:rPr>
                <w:rFonts w:ascii="Gotham Book" w:hAnsi="Gotham Book" w:cstheme="minorHAnsi"/>
                <w:sz w:val="20"/>
                <w:szCs w:val="20"/>
              </w:rPr>
            </w:pPr>
          </w:p>
        </w:tc>
        <w:tc>
          <w:tcPr>
            <w:tcW w:w="1128" w:type="dxa"/>
          </w:tcPr>
          <w:p w14:paraId="48588755" w14:textId="77777777" w:rsidR="003138BD" w:rsidRPr="00D36911" w:rsidRDefault="003138BD">
            <w:pPr>
              <w:pStyle w:val="NoSpacing"/>
              <w:keepNext/>
              <w:keepLines/>
              <w:ind w:left="-108"/>
              <w:jc w:val="center"/>
              <w:rPr>
                <w:rFonts w:ascii="Gotham Book" w:hAnsi="Gotham Book" w:cstheme="minorHAnsi"/>
                <w:sz w:val="20"/>
                <w:szCs w:val="20"/>
              </w:rPr>
            </w:pPr>
            <w:r w:rsidRPr="00D36911">
              <w:rPr>
                <w:rFonts w:ascii="Gotham Book" w:hAnsi="Gotham Book" w:cstheme="minorHAnsi"/>
                <w:sz w:val="20"/>
                <w:szCs w:val="20"/>
              </w:rPr>
              <w:t>4-8</w:t>
            </w:r>
          </w:p>
        </w:tc>
        <w:tc>
          <w:tcPr>
            <w:tcW w:w="1276" w:type="dxa"/>
          </w:tcPr>
          <w:p w14:paraId="074C9356"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300</w:t>
            </w:r>
          </w:p>
        </w:tc>
        <w:tc>
          <w:tcPr>
            <w:tcW w:w="851" w:type="dxa"/>
          </w:tcPr>
          <w:p w14:paraId="1FBCFA59"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275" w:type="dxa"/>
          </w:tcPr>
          <w:p w14:paraId="2FDCF356"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300</w:t>
            </w:r>
          </w:p>
        </w:tc>
        <w:tc>
          <w:tcPr>
            <w:tcW w:w="1239" w:type="dxa"/>
          </w:tcPr>
          <w:p w14:paraId="4A6FFD43"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372" w:type="dxa"/>
          </w:tcPr>
          <w:p w14:paraId="4553D712"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250</w:t>
            </w:r>
            <w:r w:rsidRPr="00D36911">
              <w:rPr>
                <w:rFonts w:ascii="Gotham Book" w:hAnsi="Gotham Book" w:cstheme="minorHAnsi"/>
                <w:sz w:val="20"/>
                <w:szCs w:val="20"/>
                <w:vertAlign w:val="superscript"/>
              </w:rPr>
              <w:t>4</w:t>
            </w:r>
          </w:p>
        </w:tc>
        <w:tc>
          <w:tcPr>
            <w:tcW w:w="1307" w:type="dxa"/>
          </w:tcPr>
          <w:p w14:paraId="3C6E9E50" w14:textId="77777777" w:rsidR="003138BD" w:rsidRPr="00D36911" w:rsidRDefault="003138BD">
            <w:pPr>
              <w:pStyle w:val="NoSpacing"/>
              <w:keepNext/>
              <w:keepLines/>
              <w:jc w:val="center"/>
              <w:rPr>
                <w:rFonts w:ascii="Gotham Book" w:hAnsi="Gotham Book" w:cstheme="minorHAnsi"/>
                <w:sz w:val="20"/>
                <w:szCs w:val="20"/>
              </w:rPr>
            </w:pPr>
          </w:p>
        </w:tc>
      </w:tr>
      <w:tr w:rsidR="003138BD" w:rsidRPr="001215ED" w14:paraId="6039F2E0" w14:textId="77777777">
        <w:trPr>
          <w:trHeight w:val="634"/>
        </w:trPr>
        <w:tc>
          <w:tcPr>
            <w:tcW w:w="1282" w:type="dxa"/>
            <w:vMerge/>
            <w:tcBorders>
              <w:bottom w:val="single" w:sz="4" w:space="0" w:color="auto"/>
            </w:tcBorders>
          </w:tcPr>
          <w:p w14:paraId="215F8844" w14:textId="77777777" w:rsidR="003138BD" w:rsidRPr="00D36911" w:rsidRDefault="003138BD">
            <w:pPr>
              <w:pStyle w:val="NoSpacing"/>
              <w:keepNext/>
              <w:keepLines/>
              <w:rPr>
                <w:rFonts w:ascii="Gotham Book" w:hAnsi="Gotham Book" w:cstheme="minorHAnsi"/>
                <w:sz w:val="20"/>
                <w:szCs w:val="20"/>
              </w:rPr>
            </w:pPr>
          </w:p>
        </w:tc>
        <w:tc>
          <w:tcPr>
            <w:tcW w:w="1128" w:type="dxa"/>
            <w:tcBorders>
              <w:bottom w:val="single" w:sz="4" w:space="0" w:color="auto"/>
            </w:tcBorders>
          </w:tcPr>
          <w:p w14:paraId="68FB5FF5" w14:textId="77777777" w:rsidR="003138BD" w:rsidRPr="00D36911" w:rsidRDefault="003138BD">
            <w:pPr>
              <w:pStyle w:val="NoSpacing"/>
              <w:keepNext/>
              <w:keepLines/>
              <w:ind w:left="-108"/>
              <w:jc w:val="center"/>
              <w:rPr>
                <w:rFonts w:ascii="Gotham Book" w:hAnsi="Gotham Book" w:cstheme="minorHAnsi"/>
                <w:sz w:val="20"/>
                <w:szCs w:val="20"/>
              </w:rPr>
            </w:pPr>
            <w:r w:rsidRPr="00D36911">
              <w:rPr>
                <w:rFonts w:ascii="Gotham Book" w:hAnsi="Gotham Book" w:cstheme="minorHAnsi"/>
                <w:sz w:val="20"/>
                <w:szCs w:val="20"/>
              </w:rPr>
              <w:t>1-3</w:t>
            </w:r>
          </w:p>
        </w:tc>
        <w:tc>
          <w:tcPr>
            <w:tcW w:w="1276" w:type="dxa"/>
            <w:tcBorders>
              <w:bottom w:val="single" w:sz="4" w:space="0" w:color="auto"/>
            </w:tcBorders>
          </w:tcPr>
          <w:p w14:paraId="0E9D303E"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200</w:t>
            </w:r>
          </w:p>
        </w:tc>
        <w:tc>
          <w:tcPr>
            <w:tcW w:w="851" w:type="dxa"/>
            <w:tcBorders>
              <w:bottom w:val="single" w:sz="4" w:space="0" w:color="auto"/>
            </w:tcBorders>
          </w:tcPr>
          <w:p w14:paraId="3F508620"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275" w:type="dxa"/>
            <w:tcBorders>
              <w:bottom w:val="single" w:sz="4" w:space="0" w:color="auto"/>
            </w:tcBorders>
          </w:tcPr>
          <w:p w14:paraId="0F365E08"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200</w:t>
            </w:r>
          </w:p>
        </w:tc>
        <w:tc>
          <w:tcPr>
            <w:tcW w:w="1239" w:type="dxa"/>
            <w:tcBorders>
              <w:bottom w:val="single" w:sz="4" w:space="0" w:color="auto"/>
            </w:tcBorders>
          </w:tcPr>
          <w:p w14:paraId="33C21BAB"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w:t>
            </w:r>
          </w:p>
        </w:tc>
        <w:tc>
          <w:tcPr>
            <w:tcW w:w="1372" w:type="dxa"/>
            <w:tcBorders>
              <w:bottom w:val="single" w:sz="4" w:space="0" w:color="auto"/>
            </w:tcBorders>
          </w:tcPr>
          <w:p w14:paraId="38AC42E4" w14:textId="77777777" w:rsidR="003138BD" w:rsidRPr="00D36911" w:rsidRDefault="003138BD">
            <w:pPr>
              <w:pStyle w:val="NoSpacing"/>
              <w:keepNext/>
              <w:keepLines/>
              <w:jc w:val="center"/>
              <w:rPr>
                <w:rFonts w:ascii="Gotham Book" w:hAnsi="Gotham Book" w:cstheme="minorHAnsi"/>
                <w:sz w:val="20"/>
                <w:szCs w:val="20"/>
              </w:rPr>
            </w:pPr>
            <w:r w:rsidRPr="00D36911">
              <w:rPr>
                <w:rFonts w:ascii="Gotham Book" w:hAnsi="Gotham Book" w:cstheme="minorHAnsi"/>
                <w:sz w:val="20"/>
                <w:szCs w:val="20"/>
              </w:rPr>
              <w:t>200</w:t>
            </w:r>
          </w:p>
        </w:tc>
        <w:tc>
          <w:tcPr>
            <w:tcW w:w="1307" w:type="dxa"/>
            <w:tcBorders>
              <w:bottom w:val="single" w:sz="4" w:space="0" w:color="auto"/>
            </w:tcBorders>
          </w:tcPr>
          <w:p w14:paraId="438F0184" w14:textId="77777777" w:rsidR="003138BD" w:rsidRPr="00D36911" w:rsidRDefault="003138BD">
            <w:pPr>
              <w:pStyle w:val="NoSpacing"/>
              <w:keepNext/>
              <w:keepLines/>
              <w:jc w:val="center"/>
              <w:rPr>
                <w:rFonts w:ascii="Gotham Book" w:hAnsi="Gotham Book" w:cstheme="minorHAnsi"/>
                <w:sz w:val="20"/>
                <w:szCs w:val="20"/>
              </w:rPr>
            </w:pPr>
          </w:p>
        </w:tc>
      </w:tr>
      <w:tr w:rsidR="003138BD" w:rsidRPr="001215ED" w14:paraId="1927C4C6" w14:textId="77777777">
        <w:trPr>
          <w:trHeight w:val="634"/>
        </w:trPr>
        <w:tc>
          <w:tcPr>
            <w:tcW w:w="9730" w:type="dxa"/>
            <w:gridSpan w:val="8"/>
            <w:tcBorders>
              <w:top w:val="single" w:sz="4" w:space="0" w:color="auto"/>
              <w:left w:val="nil"/>
              <w:bottom w:val="nil"/>
              <w:right w:val="nil"/>
            </w:tcBorders>
          </w:tcPr>
          <w:p w14:paraId="2A2777FB" w14:textId="77777777" w:rsidR="003138BD" w:rsidRDefault="003138BD">
            <w:pPr>
              <w:spacing w:after="120" w:line="180" w:lineRule="atLeast"/>
              <w:rPr>
                <w:rFonts w:eastAsia="Times New Roman" w:cs="Times New Roman"/>
                <w:kern w:val="2"/>
                <w:szCs w:val="20"/>
                <w:lang w:eastAsia="en-AU"/>
                <w14:ligatures w14:val="standardContextual"/>
              </w:rPr>
            </w:pPr>
            <w:r w:rsidRPr="00290858">
              <w:rPr>
                <w:rFonts w:eastAsia="Times New Roman" w:cs="Times New Roman"/>
                <w:kern w:val="2"/>
                <w:szCs w:val="20"/>
                <w:lang w:eastAsia="en-AU"/>
                <w14:ligatures w14:val="standardContextual"/>
              </w:rPr>
              <w:t>*</w:t>
            </w:r>
            <w:r>
              <w:rPr>
                <w:rFonts w:eastAsia="Times New Roman" w:cs="Times New Roman"/>
                <w:kern w:val="2"/>
                <w:szCs w:val="20"/>
                <w:lang w:eastAsia="en-AU"/>
                <w14:ligatures w14:val="standardContextual"/>
              </w:rPr>
              <w:t xml:space="preserve"> </w:t>
            </w:r>
            <w:r w:rsidRPr="00290858">
              <w:rPr>
                <w:rFonts w:eastAsia="Times New Roman" w:cs="Times New Roman"/>
                <w:kern w:val="2"/>
                <w:szCs w:val="20"/>
                <w:lang w:eastAsia="en-AU"/>
                <w14:ligatures w14:val="standardContextual"/>
              </w:rPr>
              <w:t xml:space="preserve">Variation in age ranges across jurisdictions: </w:t>
            </w:r>
            <w:r w:rsidRPr="0027479F">
              <w:rPr>
                <w:rFonts w:eastAsia="Times New Roman" w:cs="Times New Roman"/>
                <w:kern w:val="2"/>
                <w:szCs w:val="20"/>
                <w:vertAlign w:val="superscript"/>
                <w:lang w:eastAsia="en-AU"/>
                <w14:ligatures w14:val="standardContextual"/>
              </w:rPr>
              <w:t>1</w:t>
            </w:r>
            <w:r w:rsidRPr="00290858">
              <w:rPr>
                <w:rFonts w:eastAsia="Times New Roman" w:cs="Times New Roman"/>
                <w:kern w:val="2"/>
                <w:szCs w:val="20"/>
                <w:lang w:eastAsia="en-AU"/>
                <w14:ligatures w14:val="standardContextual"/>
              </w:rPr>
              <w:t xml:space="preserve"> 13-17 yrs; </w:t>
            </w:r>
            <w:r w:rsidRPr="0027479F">
              <w:rPr>
                <w:rFonts w:eastAsia="Times New Roman" w:cs="Times New Roman"/>
                <w:kern w:val="2"/>
                <w:szCs w:val="20"/>
                <w:vertAlign w:val="superscript"/>
                <w:lang w:eastAsia="en-AU"/>
                <w14:ligatures w14:val="standardContextual"/>
              </w:rPr>
              <w:t>2</w:t>
            </w:r>
            <w:r w:rsidRPr="00290858">
              <w:rPr>
                <w:rFonts w:eastAsia="Times New Roman" w:cs="Times New Roman"/>
                <w:kern w:val="2"/>
                <w:szCs w:val="20"/>
                <w:lang w:eastAsia="en-AU"/>
                <w14:ligatures w14:val="standardContextual"/>
              </w:rPr>
              <w:t xml:space="preserve"> 7-10 yrs; </w:t>
            </w:r>
            <w:r w:rsidRPr="0027479F">
              <w:rPr>
                <w:rFonts w:eastAsia="Times New Roman" w:cs="Times New Roman"/>
                <w:kern w:val="2"/>
                <w:szCs w:val="20"/>
                <w:vertAlign w:val="superscript"/>
                <w:lang w:eastAsia="en-AU"/>
                <w14:ligatures w14:val="standardContextual"/>
              </w:rPr>
              <w:t xml:space="preserve">3 </w:t>
            </w:r>
            <w:r w:rsidRPr="00290858">
              <w:rPr>
                <w:rFonts w:eastAsia="Times New Roman" w:cs="Times New Roman"/>
                <w:kern w:val="2"/>
                <w:szCs w:val="20"/>
                <w:lang w:eastAsia="en-AU"/>
                <w14:ligatures w14:val="standardContextual"/>
              </w:rPr>
              <w:t>7-12 years;</w:t>
            </w:r>
            <w:r w:rsidRPr="0027479F">
              <w:rPr>
                <w:rFonts w:eastAsia="Times New Roman" w:cs="Times New Roman"/>
                <w:kern w:val="2"/>
                <w:szCs w:val="20"/>
                <w:vertAlign w:val="superscript"/>
                <w:lang w:eastAsia="en-AU"/>
                <w14:ligatures w14:val="standardContextual"/>
              </w:rPr>
              <w:t xml:space="preserve"> 4</w:t>
            </w:r>
            <w:r w:rsidRPr="00290858">
              <w:rPr>
                <w:rFonts w:eastAsia="Times New Roman" w:cs="Times New Roman"/>
                <w:kern w:val="2"/>
                <w:szCs w:val="20"/>
                <w:lang w:eastAsia="en-AU"/>
                <w14:ligatures w14:val="standardContextual"/>
              </w:rPr>
              <w:t xml:space="preserve"> 4-6 yrs; </w:t>
            </w:r>
            <w:r w:rsidRPr="0027479F">
              <w:rPr>
                <w:rFonts w:eastAsia="Times New Roman" w:cs="Times New Roman"/>
                <w:kern w:val="2"/>
                <w:szCs w:val="20"/>
                <w:vertAlign w:val="superscript"/>
                <w:lang w:eastAsia="en-AU"/>
                <w14:ligatures w14:val="standardContextual"/>
              </w:rPr>
              <w:t xml:space="preserve">5 </w:t>
            </w:r>
            <w:r w:rsidRPr="00290858">
              <w:rPr>
                <w:rFonts w:eastAsia="Times New Roman" w:cs="Times New Roman"/>
                <w:kern w:val="2"/>
                <w:szCs w:val="20"/>
                <w:lang w:eastAsia="en-AU"/>
                <w14:ligatures w14:val="standardContextual"/>
              </w:rPr>
              <w:t>up to 6 years</w:t>
            </w:r>
          </w:p>
          <w:p w14:paraId="7F48FD52" w14:textId="08DA09C5" w:rsidR="003138BD" w:rsidRPr="00D36911" w:rsidRDefault="003138BD">
            <w:pPr>
              <w:spacing w:after="120" w:line="180" w:lineRule="atLeast"/>
              <w:rPr>
                <w:rFonts w:eastAsia="Times New Roman" w:cs="Times New Roman"/>
                <w:kern w:val="2"/>
                <w:szCs w:val="20"/>
                <w:lang w:eastAsia="en-AU"/>
                <w14:ligatures w14:val="standardContextual"/>
              </w:rPr>
            </w:pPr>
            <w:r>
              <w:rPr>
                <w:rFonts w:eastAsia="Times New Roman" w:cs="Times New Roman"/>
                <w:kern w:val="2"/>
                <w:szCs w:val="20"/>
                <w:lang w:eastAsia="en-AU"/>
                <w14:ligatures w14:val="standardContextual"/>
              </w:rPr>
              <w:t>^ Due to longstanding deficiency and prevalence of thyroid abnormalities within the population, in 2015 the D-A-CH adopted a UL of 500μg/day for adults.</w:t>
            </w:r>
          </w:p>
          <w:p w14:paraId="2E2B3BC2" w14:textId="7055E4BD" w:rsidR="003138BD" w:rsidRDefault="003138BD" w:rsidP="001376A2">
            <w:pPr>
              <w:pStyle w:val="TableTitle"/>
            </w:pPr>
            <w:r>
              <w:t xml:space="preserve">WHO Upper Limits by group, converted to </w:t>
            </w:r>
            <w:proofErr w:type="spellStart"/>
            <w:r>
              <w:t>μg</w:t>
            </w:r>
            <w:proofErr w:type="spellEnd"/>
            <w:r>
              <w:t>/day based on 2006 NRVs reference weights</w:t>
            </w:r>
          </w:p>
          <w:tbl>
            <w:tblPr>
              <w:tblStyle w:val="TableGrid"/>
              <w:tblW w:w="0" w:type="auto"/>
              <w:tblInd w:w="0" w:type="dxa"/>
              <w:tblLook w:val="04A0" w:firstRow="1" w:lastRow="0" w:firstColumn="1" w:lastColumn="0" w:noHBand="0" w:noVBand="1"/>
            </w:tblPr>
            <w:tblGrid>
              <w:gridCol w:w="1282"/>
              <w:gridCol w:w="1985"/>
              <w:gridCol w:w="1723"/>
              <w:gridCol w:w="2126"/>
              <w:gridCol w:w="2268"/>
            </w:tblGrid>
            <w:tr w:rsidR="003138BD" w14:paraId="7361C63E" w14:textId="77777777">
              <w:tc>
                <w:tcPr>
                  <w:tcW w:w="1282" w:type="dxa"/>
                </w:tcPr>
                <w:p w14:paraId="4BA05CD0" w14:textId="77777777" w:rsidR="003138BD" w:rsidRPr="00D36911" w:rsidRDefault="003138BD">
                  <w:pPr>
                    <w:spacing w:after="120" w:line="180" w:lineRule="atLeast"/>
                    <w:rPr>
                      <w:rFonts w:eastAsia="Times New Roman" w:cs="Times New Roman"/>
                      <w:lang w:eastAsia="en-AU"/>
                    </w:rPr>
                  </w:pPr>
                  <w:r w:rsidRPr="00D36911">
                    <w:rPr>
                      <w:rFonts w:cstheme="minorHAnsi"/>
                      <w:b/>
                      <w:bCs/>
                      <w:szCs w:val="20"/>
                    </w:rPr>
                    <w:t>Population group</w:t>
                  </w:r>
                </w:p>
              </w:tc>
              <w:tc>
                <w:tcPr>
                  <w:tcW w:w="1985" w:type="dxa"/>
                </w:tcPr>
                <w:p w14:paraId="62158182" w14:textId="77777777" w:rsidR="003138BD" w:rsidRPr="00D36911" w:rsidRDefault="003138BD">
                  <w:pPr>
                    <w:spacing w:after="120" w:line="180" w:lineRule="atLeast"/>
                    <w:rPr>
                      <w:rFonts w:eastAsia="Times New Roman" w:cs="Times New Roman"/>
                      <w:lang w:eastAsia="en-AU"/>
                    </w:rPr>
                  </w:pPr>
                  <w:r w:rsidRPr="00D36911">
                    <w:rPr>
                      <w:rFonts w:cstheme="minorHAnsi"/>
                      <w:b/>
                      <w:bCs/>
                      <w:szCs w:val="20"/>
                    </w:rPr>
                    <w:t>Age range (years)</w:t>
                  </w:r>
                </w:p>
              </w:tc>
              <w:tc>
                <w:tcPr>
                  <w:tcW w:w="1723" w:type="dxa"/>
                </w:tcPr>
                <w:p w14:paraId="6E165248" w14:textId="77777777" w:rsidR="003138BD" w:rsidRPr="00D36911" w:rsidRDefault="003138BD">
                  <w:pPr>
                    <w:spacing w:line="180" w:lineRule="atLeast"/>
                    <w:rPr>
                      <w:rFonts w:eastAsia="Times New Roman" w:cs="Times New Roman"/>
                      <w:b/>
                      <w:bCs/>
                      <w:lang w:eastAsia="en-AU"/>
                    </w:rPr>
                  </w:pPr>
                  <w:r w:rsidRPr="00D36911">
                    <w:rPr>
                      <w:rFonts w:eastAsia="Times New Roman" w:cs="Times New Roman"/>
                      <w:b/>
                      <w:bCs/>
                      <w:lang w:eastAsia="en-AU"/>
                    </w:rPr>
                    <w:t>WHO UL (2007)</w:t>
                  </w:r>
                </w:p>
                <w:p w14:paraId="695F903C" w14:textId="77777777" w:rsidR="003138BD" w:rsidRPr="00D36911" w:rsidRDefault="003138BD">
                  <w:pPr>
                    <w:spacing w:line="180" w:lineRule="atLeast"/>
                    <w:rPr>
                      <w:rFonts w:eastAsia="Times New Roman" w:cs="Times New Roman"/>
                      <w:lang w:eastAsia="en-AU"/>
                    </w:rPr>
                  </w:pPr>
                  <w:r w:rsidRPr="00D36911">
                    <w:rPr>
                      <w:rFonts w:cstheme="minorHAnsi"/>
                      <w:b/>
                      <w:bCs/>
                      <w:szCs w:val="20"/>
                    </w:rPr>
                    <w:t>(</w:t>
                  </w:r>
                  <w:proofErr w:type="spellStart"/>
                  <w:r w:rsidRPr="00D36911">
                    <w:rPr>
                      <w:rFonts w:cstheme="minorHAnsi"/>
                      <w:b/>
                      <w:bCs/>
                      <w:szCs w:val="20"/>
                    </w:rPr>
                    <w:t>μg</w:t>
                  </w:r>
                  <w:proofErr w:type="spellEnd"/>
                  <w:r w:rsidRPr="00D36911">
                    <w:rPr>
                      <w:rFonts w:cstheme="minorHAnsi"/>
                      <w:b/>
                      <w:bCs/>
                      <w:szCs w:val="20"/>
                    </w:rPr>
                    <w:t>/kg/day)</w:t>
                  </w:r>
                </w:p>
              </w:tc>
              <w:tc>
                <w:tcPr>
                  <w:tcW w:w="2126" w:type="dxa"/>
                </w:tcPr>
                <w:p w14:paraId="122D4636" w14:textId="77777777" w:rsidR="003138BD" w:rsidRPr="00D36911" w:rsidRDefault="003138BD">
                  <w:pPr>
                    <w:spacing w:line="180" w:lineRule="atLeast"/>
                    <w:rPr>
                      <w:rFonts w:eastAsia="Times New Roman" w:cs="Times New Roman"/>
                      <w:b/>
                      <w:bCs/>
                      <w:lang w:eastAsia="en-AU"/>
                    </w:rPr>
                  </w:pPr>
                  <w:r w:rsidRPr="00D36911">
                    <w:rPr>
                      <w:rFonts w:eastAsia="Times New Roman" w:cs="Times New Roman"/>
                      <w:b/>
                      <w:bCs/>
                      <w:lang w:eastAsia="en-AU"/>
                    </w:rPr>
                    <w:t>Reference Weights - 2006 NRVs (kg)</w:t>
                  </w:r>
                </w:p>
              </w:tc>
              <w:tc>
                <w:tcPr>
                  <w:tcW w:w="2268" w:type="dxa"/>
                </w:tcPr>
                <w:p w14:paraId="6DEB351F" w14:textId="77777777" w:rsidR="003138BD" w:rsidRPr="00D36911" w:rsidRDefault="003138BD">
                  <w:pPr>
                    <w:spacing w:after="120" w:line="180" w:lineRule="atLeast"/>
                    <w:rPr>
                      <w:rFonts w:eastAsia="Times New Roman" w:cs="Times New Roman"/>
                      <w:lang w:eastAsia="en-AU"/>
                    </w:rPr>
                  </w:pPr>
                  <w:r w:rsidRPr="00D36911">
                    <w:rPr>
                      <w:rFonts w:eastAsia="Times New Roman" w:cs="Times New Roman"/>
                      <w:b/>
                      <w:bCs/>
                      <w:lang w:eastAsia="en-AU"/>
                    </w:rPr>
                    <w:t>WHO ULs based on ANZ weights</w:t>
                  </w:r>
                  <w:r w:rsidRPr="00D36911">
                    <w:rPr>
                      <w:rFonts w:eastAsia="Times New Roman" w:cs="Times New Roman"/>
                      <w:lang w:eastAsia="en-AU"/>
                    </w:rPr>
                    <w:t xml:space="preserve"> </w:t>
                  </w:r>
                  <w:r w:rsidRPr="00D36911">
                    <w:rPr>
                      <w:rFonts w:cstheme="minorHAnsi"/>
                      <w:b/>
                      <w:bCs/>
                      <w:szCs w:val="20"/>
                    </w:rPr>
                    <w:t>(</w:t>
                  </w:r>
                  <w:proofErr w:type="spellStart"/>
                  <w:r w:rsidRPr="00D36911">
                    <w:rPr>
                      <w:rFonts w:cstheme="minorHAnsi"/>
                      <w:b/>
                      <w:bCs/>
                      <w:szCs w:val="20"/>
                    </w:rPr>
                    <w:t>μg</w:t>
                  </w:r>
                  <w:proofErr w:type="spellEnd"/>
                  <w:r w:rsidRPr="00D36911">
                    <w:rPr>
                      <w:rFonts w:cstheme="minorHAnsi"/>
                      <w:b/>
                      <w:bCs/>
                      <w:szCs w:val="20"/>
                    </w:rPr>
                    <w:t>/d)</w:t>
                  </w:r>
                </w:p>
              </w:tc>
            </w:tr>
            <w:tr w:rsidR="003138BD" w14:paraId="1DA57199" w14:textId="77777777">
              <w:tc>
                <w:tcPr>
                  <w:tcW w:w="1282" w:type="dxa"/>
                </w:tcPr>
                <w:p w14:paraId="08FF2C97"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Adults</w:t>
                  </w:r>
                </w:p>
              </w:tc>
              <w:tc>
                <w:tcPr>
                  <w:tcW w:w="1985" w:type="dxa"/>
                </w:tcPr>
                <w:p w14:paraId="405E5E45"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19+</w:t>
                  </w:r>
                </w:p>
              </w:tc>
              <w:tc>
                <w:tcPr>
                  <w:tcW w:w="1723" w:type="dxa"/>
                </w:tcPr>
                <w:p w14:paraId="7F53467E"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30</w:t>
                  </w:r>
                </w:p>
              </w:tc>
              <w:tc>
                <w:tcPr>
                  <w:tcW w:w="2126" w:type="dxa"/>
                </w:tcPr>
                <w:p w14:paraId="38C45047" w14:textId="77777777" w:rsidR="003138BD" w:rsidRPr="00D36911" w:rsidRDefault="003138BD">
                  <w:pPr>
                    <w:spacing w:after="120" w:line="180" w:lineRule="atLeast"/>
                    <w:jc w:val="center"/>
                    <w:rPr>
                      <w:rFonts w:eastAsia="Times New Roman" w:cs="Times New Roman"/>
                      <w:szCs w:val="20"/>
                      <w:lang w:eastAsia="en-AU"/>
                    </w:rPr>
                  </w:pPr>
                  <w:r w:rsidRPr="00D36911">
                    <w:rPr>
                      <w:rStyle w:val="cf01"/>
                      <w:rFonts w:ascii="Gotham Book" w:hAnsi="Gotham Book"/>
                    </w:rPr>
                    <w:t>70</w:t>
                  </w:r>
                </w:p>
              </w:tc>
              <w:tc>
                <w:tcPr>
                  <w:tcW w:w="2268" w:type="dxa"/>
                </w:tcPr>
                <w:p w14:paraId="5E487B0C"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2100</w:t>
                  </w:r>
                </w:p>
              </w:tc>
            </w:tr>
            <w:tr w:rsidR="003138BD" w14:paraId="73AFAEA7" w14:textId="77777777">
              <w:tc>
                <w:tcPr>
                  <w:tcW w:w="1282" w:type="dxa"/>
                </w:tcPr>
                <w:p w14:paraId="6F03C62F"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Pregnancy</w:t>
                  </w:r>
                </w:p>
              </w:tc>
              <w:tc>
                <w:tcPr>
                  <w:tcW w:w="1985" w:type="dxa"/>
                </w:tcPr>
                <w:p w14:paraId="7ED6DD7A"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Not specified</w:t>
                  </w:r>
                </w:p>
              </w:tc>
              <w:tc>
                <w:tcPr>
                  <w:tcW w:w="1723" w:type="dxa"/>
                </w:tcPr>
                <w:p w14:paraId="13FB7A73"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40</w:t>
                  </w:r>
                </w:p>
              </w:tc>
              <w:tc>
                <w:tcPr>
                  <w:tcW w:w="2126" w:type="dxa"/>
                </w:tcPr>
                <w:p w14:paraId="31953B43"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70</w:t>
                  </w:r>
                </w:p>
              </w:tc>
              <w:tc>
                <w:tcPr>
                  <w:tcW w:w="2268" w:type="dxa"/>
                </w:tcPr>
                <w:p w14:paraId="450F36A2"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2800</w:t>
                  </w:r>
                </w:p>
              </w:tc>
            </w:tr>
            <w:tr w:rsidR="003138BD" w14:paraId="5A15AA42" w14:textId="77777777">
              <w:tc>
                <w:tcPr>
                  <w:tcW w:w="1282" w:type="dxa"/>
                </w:tcPr>
                <w:p w14:paraId="35CC39A6"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Lactation</w:t>
                  </w:r>
                </w:p>
              </w:tc>
              <w:tc>
                <w:tcPr>
                  <w:tcW w:w="1985" w:type="dxa"/>
                </w:tcPr>
                <w:p w14:paraId="76CC6E3E"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Not specified</w:t>
                  </w:r>
                </w:p>
              </w:tc>
              <w:tc>
                <w:tcPr>
                  <w:tcW w:w="1723" w:type="dxa"/>
                </w:tcPr>
                <w:p w14:paraId="1BAE31AB"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40</w:t>
                  </w:r>
                </w:p>
              </w:tc>
              <w:tc>
                <w:tcPr>
                  <w:tcW w:w="2126" w:type="dxa"/>
                </w:tcPr>
                <w:p w14:paraId="04B42B64"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70</w:t>
                  </w:r>
                </w:p>
              </w:tc>
              <w:tc>
                <w:tcPr>
                  <w:tcW w:w="2268" w:type="dxa"/>
                </w:tcPr>
                <w:p w14:paraId="0EF14CA2"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2800</w:t>
                  </w:r>
                </w:p>
              </w:tc>
            </w:tr>
            <w:tr w:rsidR="003138BD" w14:paraId="03631BD9" w14:textId="77777777">
              <w:tc>
                <w:tcPr>
                  <w:tcW w:w="1282" w:type="dxa"/>
                  <w:vMerge w:val="restart"/>
                </w:tcPr>
                <w:p w14:paraId="0C3183CA" w14:textId="77777777" w:rsidR="003138BD" w:rsidRPr="00D36911" w:rsidRDefault="003138BD">
                  <w:pPr>
                    <w:pStyle w:val="NoSpacing"/>
                    <w:keepNext/>
                    <w:keepLines/>
                    <w:rPr>
                      <w:rFonts w:ascii="Gotham Book" w:hAnsi="Gotham Book" w:cstheme="minorHAnsi"/>
                      <w:sz w:val="20"/>
                      <w:szCs w:val="20"/>
                    </w:rPr>
                  </w:pPr>
                  <w:r w:rsidRPr="00D36911">
                    <w:rPr>
                      <w:rFonts w:ascii="Gotham Book" w:hAnsi="Gotham Book" w:cstheme="minorHAnsi"/>
                      <w:sz w:val="20"/>
                      <w:szCs w:val="20"/>
                    </w:rPr>
                    <w:t>Children/</w:t>
                  </w:r>
                </w:p>
                <w:p w14:paraId="62999FBE" w14:textId="77777777" w:rsidR="003138BD" w:rsidRPr="00D36911" w:rsidRDefault="003138BD">
                  <w:pPr>
                    <w:spacing w:after="120" w:line="180" w:lineRule="atLeast"/>
                    <w:rPr>
                      <w:rFonts w:cstheme="minorHAnsi"/>
                      <w:szCs w:val="20"/>
                    </w:rPr>
                  </w:pPr>
                  <w:r w:rsidRPr="00D36911">
                    <w:rPr>
                      <w:rFonts w:cstheme="minorHAnsi"/>
                      <w:szCs w:val="20"/>
                    </w:rPr>
                    <w:t>adolescents</w:t>
                  </w:r>
                </w:p>
              </w:tc>
              <w:tc>
                <w:tcPr>
                  <w:tcW w:w="1985" w:type="dxa"/>
                </w:tcPr>
                <w:p w14:paraId="3A92212D"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14-18</w:t>
                  </w:r>
                </w:p>
              </w:tc>
              <w:tc>
                <w:tcPr>
                  <w:tcW w:w="1723" w:type="dxa"/>
                </w:tcPr>
                <w:p w14:paraId="130F9D6F"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30</w:t>
                  </w:r>
                </w:p>
              </w:tc>
              <w:tc>
                <w:tcPr>
                  <w:tcW w:w="2126" w:type="dxa"/>
                </w:tcPr>
                <w:p w14:paraId="591755E2" w14:textId="77777777" w:rsidR="003138BD" w:rsidRPr="00D36911" w:rsidRDefault="003138BD">
                  <w:pPr>
                    <w:spacing w:after="120" w:line="180" w:lineRule="atLeast"/>
                    <w:jc w:val="center"/>
                    <w:rPr>
                      <w:rFonts w:eastAsia="Times New Roman" w:cs="Times New Roman"/>
                      <w:szCs w:val="20"/>
                      <w:lang w:eastAsia="en-AU"/>
                    </w:rPr>
                  </w:pPr>
                  <w:r w:rsidRPr="00D36911">
                    <w:rPr>
                      <w:rStyle w:val="cf01"/>
                      <w:rFonts w:ascii="Gotham Book" w:hAnsi="Gotham Book"/>
                    </w:rPr>
                    <w:t>60.5^</w:t>
                  </w:r>
                </w:p>
              </w:tc>
              <w:tc>
                <w:tcPr>
                  <w:tcW w:w="2268" w:type="dxa"/>
                </w:tcPr>
                <w:p w14:paraId="6F469F88"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1815</w:t>
                  </w:r>
                </w:p>
              </w:tc>
            </w:tr>
            <w:tr w:rsidR="003138BD" w14:paraId="339D0F39" w14:textId="77777777">
              <w:tc>
                <w:tcPr>
                  <w:tcW w:w="1282" w:type="dxa"/>
                  <w:vMerge/>
                </w:tcPr>
                <w:p w14:paraId="0C2FF5A1" w14:textId="77777777" w:rsidR="003138BD" w:rsidRPr="00D36911" w:rsidRDefault="003138BD">
                  <w:pPr>
                    <w:pStyle w:val="NoSpacing"/>
                    <w:keepNext/>
                    <w:keepLines/>
                    <w:rPr>
                      <w:rFonts w:ascii="Gotham Book" w:hAnsi="Gotham Book" w:cstheme="minorHAnsi"/>
                      <w:sz w:val="20"/>
                      <w:szCs w:val="20"/>
                    </w:rPr>
                  </w:pPr>
                </w:p>
              </w:tc>
              <w:tc>
                <w:tcPr>
                  <w:tcW w:w="1985" w:type="dxa"/>
                </w:tcPr>
                <w:p w14:paraId="26EED1E5"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9-13</w:t>
                  </w:r>
                </w:p>
              </w:tc>
              <w:tc>
                <w:tcPr>
                  <w:tcW w:w="1723" w:type="dxa"/>
                </w:tcPr>
                <w:p w14:paraId="32F6FEB5"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50</w:t>
                  </w:r>
                </w:p>
              </w:tc>
              <w:tc>
                <w:tcPr>
                  <w:tcW w:w="2126" w:type="dxa"/>
                </w:tcPr>
                <w:p w14:paraId="4896284A"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40</w:t>
                  </w:r>
                </w:p>
              </w:tc>
              <w:tc>
                <w:tcPr>
                  <w:tcW w:w="2268" w:type="dxa"/>
                </w:tcPr>
                <w:p w14:paraId="4394841C"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2000</w:t>
                  </w:r>
                </w:p>
              </w:tc>
            </w:tr>
            <w:tr w:rsidR="003138BD" w14:paraId="452DD7F8" w14:textId="77777777">
              <w:tc>
                <w:tcPr>
                  <w:tcW w:w="1282" w:type="dxa"/>
                  <w:vMerge/>
                </w:tcPr>
                <w:p w14:paraId="2B5DCA83" w14:textId="77777777" w:rsidR="003138BD" w:rsidRPr="00D36911" w:rsidRDefault="003138BD">
                  <w:pPr>
                    <w:pStyle w:val="NoSpacing"/>
                    <w:keepNext/>
                    <w:keepLines/>
                    <w:rPr>
                      <w:rFonts w:ascii="Gotham Book" w:hAnsi="Gotham Book" w:cstheme="minorHAnsi"/>
                      <w:sz w:val="20"/>
                      <w:szCs w:val="20"/>
                    </w:rPr>
                  </w:pPr>
                </w:p>
              </w:tc>
              <w:tc>
                <w:tcPr>
                  <w:tcW w:w="1985" w:type="dxa"/>
                </w:tcPr>
                <w:p w14:paraId="482EBE09"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4-8</w:t>
                  </w:r>
                </w:p>
              </w:tc>
              <w:tc>
                <w:tcPr>
                  <w:tcW w:w="1723" w:type="dxa"/>
                </w:tcPr>
                <w:p w14:paraId="443D2CD2"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50</w:t>
                  </w:r>
                </w:p>
              </w:tc>
              <w:tc>
                <w:tcPr>
                  <w:tcW w:w="2126" w:type="dxa"/>
                </w:tcPr>
                <w:p w14:paraId="79ED4E0D"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22</w:t>
                  </w:r>
                </w:p>
              </w:tc>
              <w:tc>
                <w:tcPr>
                  <w:tcW w:w="2268" w:type="dxa"/>
                </w:tcPr>
                <w:p w14:paraId="1FD839CB"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1100</w:t>
                  </w:r>
                </w:p>
              </w:tc>
            </w:tr>
            <w:tr w:rsidR="003138BD" w14:paraId="3DF26D51" w14:textId="77777777">
              <w:tc>
                <w:tcPr>
                  <w:tcW w:w="1282" w:type="dxa"/>
                  <w:vMerge/>
                </w:tcPr>
                <w:p w14:paraId="0AC319EB" w14:textId="77777777" w:rsidR="003138BD" w:rsidRPr="00D36911" w:rsidRDefault="003138BD">
                  <w:pPr>
                    <w:pStyle w:val="NoSpacing"/>
                    <w:keepNext/>
                    <w:keepLines/>
                    <w:rPr>
                      <w:rFonts w:ascii="Gotham Book" w:hAnsi="Gotham Book" w:cstheme="minorHAnsi"/>
                      <w:sz w:val="20"/>
                      <w:szCs w:val="20"/>
                    </w:rPr>
                  </w:pPr>
                </w:p>
              </w:tc>
              <w:tc>
                <w:tcPr>
                  <w:tcW w:w="1985" w:type="dxa"/>
                </w:tcPr>
                <w:p w14:paraId="79C5F128" w14:textId="77777777" w:rsidR="003138BD" w:rsidRPr="00D36911" w:rsidRDefault="003138BD">
                  <w:pPr>
                    <w:spacing w:after="120" w:line="180" w:lineRule="atLeast"/>
                    <w:rPr>
                      <w:rFonts w:eastAsia="Times New Roman" w:cs="Times New Roman"/>
                      <w:szCs w:val="20"/>
                      <w:lang w:eastAsia="en-AU"/>
                    </w:rPr>
                  </w:pPr>
                  <w:r w:rsidRPr="00D36911">
                    <w:rPr>
                      <w:rFonts w:cstheme="minorHAnsi"/>
                      <w:szCs w:val="20"/>
                    </w:rPr>
                    <w:t>1-3</w:t>
                  </w:r>
                </w:p>
              </w:tc>
              <w:tc>
                <w:tcPr>
                  <w:tcW w:w="1723" w:type="dxa"/>
                </w:tcPr>
                <w:p w14:paraId="39C192DA"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50</w:t>
                  </w:r>
                </w:p>
              </w:tc>
              <w:tc>
                <w:tcPr>
                  <w:tcW w:w="2126" w:type="dxa"/>
                </w:tcPr>
                <w:p w14:paraId="522B90D5"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13</w:t>
                  </w:r>
                </w:p>
              </w:tc>
              <w:tc>
                <w:tcPr>
                  <w:tcW w:w="2268" w:type="dxa"/>
                </w:tcPr>
                <w:p w14:paraId="6C601AD6" w14:textId="77777777" w:rsidR="003138BD" w:rsidRPr="00D36911" w:rsidRDefault="003138BD">
                  <w:pPr>
                    <w:spacing w:after="120" w:line="180" w:lineRule="atLeast"/>
                    <w:jc w:val="center"/>
                    <w:rPr>
                      <w:rFonts w:eastAsia="Times New Roman" w:cs="Times New Roman"/>
                      <w:szCs w:val="20"/>
                      <w:lang w:eastAsia="en-AU"/>
                    </w:rPr>
                  </w:pPr>
                  <w:r w:rsidRPr="00D36911">
                    <w:rPr>
                      <w:rFonts w:eastAsia="Times New Roman" w:cs="Times New Roman"/>
                      <w:szCs w:val="20"/>
                      <w:lang w:eastAsia="en-AU"/>
                    </w:rPr>
                    <w:t>650</w:t>
                  </w:r>
                </w:p>
              </w:tc>
            </w:tr>
          </w:tbl>
          <w:p w14:paraId="185893B8" w14:textId="77777777" w:rsidR="003138BD" w:rsidRPr="00290858" w:rsidRDefault="003138BD">
            <w:pPr>
              <w:spacing w:after="120" w:line="180" w:lineRule="atLeast"/>
              <w:rPr>
                <w:rFonts w:eastAsia="Times New Roman" w:cs="Times New Roman"/>
                <w:kern w:val="2"/>
                <w:lang w:eastAsia="en-AU"/>
                <w14:ligatures w14:val="standardContextual"/>
              </w:rPr>
            </w:pPr>
          </w:p>
        </w:tc>
      </w:tr>
    </w:tbl>
    <w:p w14:paraId="1F36A409" w14:textId="2FB5798C" w:rsidR="003138BD" w:rsidRPr="00D36911" w:rsidRDefault="003138BD" w:rsidP="00D36911">
      <w:pPr>
        <w:spacing w:after="120" w:line="180" w:lineRule="atLeast"/>
        <w:rPr>
          <w:rFonts w:eastAsia="Times New Roman"/>
          <w:szCs w:val="20"/>
        </w:rPr>
      </w:pPr>
      <w:r w:rsidRPr="00D75CCA">
        <w:rPr>
          <w:rFonts w:eastAsia="Times New Roman"/>
          <w:szCs w:val="20"/>
        </w:rPr>
        <w:t>^15-17 years age grouping for 2006 NRVs. 18-64 years. Value presented is average of values for males (64kg) and females (57kg)</w:t>
      </w:r>
      <w:r>
        <w:rPr>
          <w:b/>
          <w:bCs/>
        </w:rPr>
        <w:br w:type="page"/>
      </w:r>
    </w:p>
    <w:p w14:paraId="0E3FBDAC" w14:textId="77777777" w:rsidR="003138BD" w:rsidRPr="001425AD" w:rsidRDefault="003138BD" w:rsidP="00D36911">
      <w:pPr>
        <w:pStyle w:val="Heading2"/>
      </w:pPr>
      <w:bookmarkStart w:id="60" w:name="_Toc202956840"/>
      <w:bookmarkStart w:id="61" w:name="_Toc210406364"/>
      <w:bookmarkStart w:id="62" w:name="_Toc212567863"/>
      <w:r>
        <w:lastRenderedPageBreak/>
        <w:t>Australian and New Zealand context</w:t>
      </w:r>
      <w:bookmarkEnd w:id="60"/>
      <w:bookmarkEnd w:id="61"/>
      <w:bookmarkEnd w:id="62"/>
      <w:r w:rsidRPr="001425AD">
        <w:t xml:space="preserve"> </w:t>
      </w:r>
    </w:p>
    <w:p w14:paraId="3E5C1F24" w14:textId="77777777" w:rsidR="003138BD" w:rsidRDefault="003138BD" w:rsidP="00D36911">
      <w:pPr>
        <w:pStyle w:val="Heading3"/>
      </w:pPr>
      <w:bookmarkStart w:id="63" w:name="_Toc202956841"/>
      <w:bookmarkStart w:id="64" w:name="_Toc210406365"/>
      <w:bookmarkStart w:id="65" w:name="_Toc212567864"/>
      <w:r>
        <w:t>Population status and intakes</w:t>
      </w:r>
      <w:bookmarkEnd w:id="63"/>
      <w:bookmarkEnd w:id="64"/>
      <w:bookmarkEnd w:id="65"/>
    </w:p>
    <w:p w14:paraId="6F236FA2" w14:textId="77777777" w:rsidR="003138BD" w:rsidRDefault="003138BD" w:rsidP="00D36911">
      <w:pPr>
        <w:pStyle w:val="Heading4"/>
      </w:pPr>
      <w:bookmarkStart w:id="66" w:name="_Toc202956842"/>
      <w:bookmarkStart w:id="67" w:name="_Toc210406366"/>
      <w:bookmarkStart w:id="68" w:name="_Toc212567865"/>
      <w:r>
        <w:t>Australia</w:t>
      </w:r>
      <w:bookmarkEnd w:id="66"/>
      <w:bookmarkEnd w:id="67"/>
      <w:bookmarkEnd w:id="68"/>
    </w:p>
    <w:p w14:paraId="3D7E8599" w14:textId="77777777" w:rsidR="003138BD" w:rsidRDefault="003138BD" w:rsidP="003138BD">
      <w:r>
        <w:t>This section reports the following data from national surveys:</w:t>
      </w:r>
    </w:p>
    <w:p w14:paraId="39D82037" w14:textId="77777777" w:rsidR="003138BD" w:rsidRDefault="003138BD" w:rsidP="003138BD">
      <w:pPr>
        <w:pStyle w:val="ListParagraph"/>
        <w:numPr>
          <w:ilvl w:val="0"/>
          <w:numId w:val="37"/>
        </w:numPr>
        <w:spacing w:before="0" w:after="160" w:line="259" w:lineRule="auto"/>
        <w:contextualSpacing/>
      </w:pPr>
      <w:r>
        <w:t xml:space="preserve">Median UIC data from the 2022-24 Australian National Health Measures Survey (NHMS; ABS, 2025a) and the 2011-12 Australian National Health Measures Survey (NHMS; ABS, 2013) - shown in </w:t>
      </w:r>
      <w:r>
        <w:fldChar w:fldCharType="begin"/>
      </w:r>
      <w:r>
        <w:instrText xml:space="preserve"> REF _Ref173146105 \h </w:instrText>
      </w:r>
      <w:r>
        <w:fldChar w:fldCharType="separate"/>
      </w:r>
      <w:r>
        <w:t xml:space="preserve">Table </w:t>
      </w:r>
      <w:r>
        <w:rPr>
          <w:noProof/>
        </w:rPr>
        <w:t>7</w:t>
      </w:r>
      <w:r>
        <w:fldChar w:fldCharType="end"/>
      </w:r>
      <w:r>
        <w:t>.</w:t>
      </w:r>
    </w:p>
    <w:p w14:paraId="3358AB75" w14:textId="77777777" w:rsidR="003138BD" w:rsidRDefault="003138BD" w:rsidP="003138BD">
      <w:pPr>
        <w:pStyle w:val="ListParagraph"/>
        <w:numPr>
          <w:ilvl w:val="0"/>
          <w:numId w:val="37"/>
        </w:numPr>
        <w:spacing w:before="0" w:after="160" w:line="259" w:lineRule="auto"/>
        <w:contextualSpacing/>
      </w:pPr>
      <w:r>
        <w:t xml:space="preserve">Dietary intake data from the 2023 National Nutrition and Physical Activity Survey (NNAPAS; ABS, 2025c), shown in </w:t>
      </w:r>
      <w:r>
        <w:fldChar w:fldCharType="begin"/>
      </w:r>
      <w:r>
        <w:instrText xml:space="preserve"> REF _Ref202956205 \h </w:instrText>
      </w:r>
      <w:r>
        <w:fldChar w:fldCharType="separate"/>
      </w:r>
      <w:r>
        <w:t xml:space="preserve">Table </w:t>
      </w:r>
      <w:r>
        <w:rPr>
          <w:noProof/>
        </w:rPr>
        <w:t>8</w:t>
      </w:r>
      <w:r>
        <w:fldChar w:fldCharType="end"/>
      </w:r>
      <w:r>
        <w:t xml:space="preserve">. At the time of writing, the 2023 NNPAS data release does not report the proportion of the population with intakes less than the EAR, nor does it report the confidence interval range for intakes, and consequently this data from the Australian Health Survey 2011-13 (ABS, 2015) is shown in </w:t>
      </w:r>
      <w:r>
        <w:fldChar w:fldCharType="begin"/>
      </w:r>
      <w:r>
        <w:instrText xml:space="preserve"> REF _Ref202956205 \h </w:instrText>
      </w:r>
      <w:r>
        <w:fldChar w:fldCharType="separate"/>
      </w:r>
      <w:r>
        <w:t xml:space="preserve">Table </w:t>
      </w:r>
      <w:r>
        <w:rPr>
          <w:noProof/>
        </w:rPr>
        <w:t>9</w:t>
      </w:r>
      <w:r>
        <w:fldChar w:fldCharType="end"/>
      </w:r>
      <w:r>
        <w:t xml:space="preserve">. </w:t>
      </w:r>
    </w:p>
    <w:p w14:paraId="6BB67A4C" w14:textId="77777777" w:rsidR="003138BD" w:rsidRDefault="003138BD" w:rsidP="003138BD">
      <w:r>
        <w:t xml:space="preserve">In late 2009, Australia mandated the use of iodised salt in bread, to address the re-emergence of iodine deficiency. Median UIC findings from the </w:t>
      </w:r>
      <w:r w:rsidRPr="00DC4782">
        <w:t>2011</w:t>
      </w:r>
      <w:r>
        <w:t>-</w:t>
      </w:r>
      <w:r w:rsidRPr="00DC4782">
        <w:t>12 National Health Measures Survey</w:t>
      </w:r>
      <w:r>
        <w:t xml:space="preserve"> (NHMS) confirmed that median UIC had increased across all population groups following fortification, with values well within the WHO range for iodine sufficiency (ABS, 2013) except in pregnant and lactating women where concerns about population deficiency remain (AIHW, 2016). More recent summary data from the 2022-24 NHMS suggests that the population remains sufficient, although median UIC in adults aged 18 years and over decreased from 124 µg/L in 2011-12 to 112 µg/L. </w:t>
      </w:r>
    </w:p>
    <w:p w14:paraId="527EAACC" w14:textId="77777777" w:rsidR="003138BD" w:rsidRDefault="003138BD" w:rsidP="003138BD">
      <w:r>
        <w:t>In contrast to median UIC data, comparison of dietary intake data from the NNAPAS suggests that iodine intake has increased across all populations between 2011 and 2023. However, the ABS advises that this comparison should be interpreted with caution, owing to changes in data processing across survey periods.</w:t>
      </w:r>
    </w:p>
    <w:p w14:paraId="606B313E" w14:textId="77777777" w:rsidR="003138BD" w:rsidRPr="000331EA" w:rsidRDefault="003138BD" w:rsidP="00D36911">
      <w:pPr>
        <w:pStyle w:val="Heading5"/>
      </w:pPr>
      <w:r>
        <w:t>Adults</w:t>
      </w:r>
    </w:p>
    <w:p w14:paraId="0B4D0F43" w14:textId="77777777" w:rsidR="003138BD" w:rsidRPr="00A13B7B" w:rsidRDefault="003138BD" w:rsidP="00D36911">
      <w:pPr>
        <w:pStyle w:val="Heading6"/>
      </w:pPr>
      <w:r w:rsidRPr="00A13B7B">
        <w:t>2022-24 N</w:t>
      </w:r>
      <w:r>
        <w:t xml:space="preserve">ational </w:t>
      </w:r>
      <w:r w:rsidRPr="00A13B7B">
        <w:t>H</w:t>
      </w:r>
      <w:r>
        <w:t xml:space="preserve">ealth </w:t>
      </w:r>
      <w:r w:rsidRPr="00A13B7B">
        <w:t>M</w:t>
      </w:r>
      <w:r>
        <w:t xml:space="preserve">easures </w:t>
      </w:r>
      <w:r w:rsidRPr="00A13B7B">
        <w:t>S</w:t>
      </w:r>
      <w:r>
        <w:t>urvey</w:t>
      </w:r>
    </w:p>
    <w:p w14:paraId="264F3ADC" w14:textId="77777777" w:rsidR="003138BD" w:rsidRDefault="003138BD" w:rsidP="003138BD">
      <w:r w:rsidRPr="004B0E31">
        <w:t>In 2022-23, the adult population (aged 18 years and over) was found to be iodine sufficient based on WHO criteria (WHO 2007), with a median UIC of 112</w:t>
      </w:r>
      <w:r>
        <w:t xml:space="preserve"> µg/L</w:t>
      </w:r>
      <w:r w:rsidRPr="004B0E31">
        <w:t xml:space="preserve"> and 17.4% of the population with UIC &lt;50</w:t>
      </w:r>
      <w:r>
        <w:t xml:space="preserve"> µg/L</w:t>
      </w:r>
      <w:r w:rsidRPr="004B0E31">
        <w:t xml:space="preserve">. </w:t>
      </w:r>
      <w:r>
        <w:t xml:space="preserve"> Intakes in males were higher than in females (123 µg/L vs 101 µg/L), with values for women marginally within the 100 µg/L range of sufficiency. </w:t>
      </w:r>
    </w:p>
    <w:p w14:paraId="4891C245" w14:textId="77777777" w:rsidR="003138BD" w:rsidRPr="00A13B7B" w:rsidRDefault="003138BD" w:rsidP="00D36911">
      <w:pPr>
        <w:pStyle w:val="Heading6"/>
      </w:pPr>
      <w:r w:rsidRPr="00A13B7B">
        <w:t>2011-12 N</w:t>
      </w:r>
      <w:r>
        <w:t xml:space="preserve">ational </w:t>
      </w:r>
      <w:r w:rsidRPr="00A13B7B">
        <w:t>H</w:t>
      </w:r>
      <w:r>
        <w:t xml:space="preserve">ealth </w:t>
      </w:r>
      <w:r w:rsidRPr="00A13B7B">
        <w:t>M</w:t>
      </w:r>
      <w:r>
        <w:t xml:space="preserve">easures </w:t>
      </w:r>
      <w:r w:rsidRPr="00A13B7B">
        <w:t>S</w:t>
      </w:r>
      <w:r>
        <w:t>urvey</w:t>
      </w:r>
    </w:p>
    <w:p w14:paraId="1AD69B53" w14:textId="77777777" w:rsidR="003138BD" w:rsidRDefault="003138BD" w:rsidP="003138BD">
      <w:r w:rsidRPr="00264614">
        <w:t>In 2011-12, the population median UIC for Australian adults was 124.0, with 12.8% of those sampled with a UIC &lt;50</w:t>
      </w:r>
      <w:r>
        <w:t xml:space="preserve"> </w:t>
      </w:r>
      <w:proofErr w:type="spellStart"/>
      <w:r>
        <w:rPr>
          <w:rFonts w:ascii="Open Sans" w:hAnsi="Open Sans" w:cs="Open Sans"/>
          <w:color w:val="000000"/>
          <w:shd w:val="clear" w:color="auto" w:fill="FFFFFF"/>
        </w:rPr>
        <w:t>μg</w:t>
      </w:r>
      <w:proofErr w:type="spellEnd"/>
      <w:r>
        <w:rPr>
          <w:rFonts w:ascii="Open Sans" w:hAnsi="Open Sans" w:cs="Open Sans"/>
          <w:color w:val="000000"/>
          <w:shd w:val="clear" w:color="auto" w:fill="FFFFFF"/>
        </w:rPr>
        <w:t>/L</w:t>
      </w:r>
      <w:r w:rsidRPr="00264614">
        <w:t xml:space="preserve"> </w:t>
      </w:r>
      <w:r>
        <w:t>-</w:t>
      </w:r>
      <w:r w:rsidRPr="00264614">
        <w:t xml:space="preserve"> well within WHO recommended ranges for population sufficiency. Intakes in men were significantly higher than for women (131</w:t>
      </w:r>
      <w:r>
        <w:t>μg/L</w:t>
      </w:r>
      <w:r w:rsidRPr="00264614">
        <w:t xml:space="preserve"> vs 118</w:t>
      </w:r>
      <w:r>
        <w:t xml:space="preserve"> </w:t>
      </w:r>
      <w:proofErr w:type="spellStart"/>
      <w:r>
        <w:t>μg</w:t>
      </w:r>
      <w:proofErr w:type="spellEnd"/>
      <w:r>
        <w:t>/L</w:t>
      </w:r>
      <w:r w:rsidRPr="00264614">
        <w:t>), with deficiency also more prevalent in women than men (15.8% of women vs 9.6% of men with UIC</w:t>
      </w:r>
      <w:r>
        <w:t> </w:t>
      </w:r>
      <w:r w:rsidRPr="00264614">
        <w:t>&lt;50</w:t>
      </w:r>
      <w:r>
        <w:t xml:space="preserve"> </w:t>
      </w:r>
      <w:proofErr w:type="spellStart"/>
      <w:r>
        <w:rPr>
          <w:rFonts w:ascii="Open Sans" w:hAnsi="Open Sans" w:cs="Open Sans"/>
          <w:color w:val="000000"/>
          <w:shd w:val="clear" w:color="auto" w:fill="FFFFFF"/>
        </w:rPr>
        <w:t>μg</w:t>
      </w:r>
      <w:proofErr w:type="spellEnd"/>
      <w:r>
        <w:rPr>
          <w:rFonts w:ascii="Open Sans" w:hAnsi="Open Sans" w:cs="Open Sans"/>
          <w:color w:val="000000"/>
          <w:shd w:val="clear" w:color="auto" w:fill="FFFFFF"/>
        </w:rPr>
        <w:t>/L</w:t>
      </w:r>
      <w:r w:rsidRPr="00264614">
        <w:t>) (ABS, 2013).</w:t>
      </w:r>
      <w:r>
        <w:t xml:space="preserve"> </w:t>
      </w:r>
    </w:p>
    <w:p w14:paraId="361172DB" w14:textId="77777777" w:rsidR="003138BD" w:rsidRDefault="003138BD" w:rsidP="003138BD">
      <w:r>
        <w:t xml:space="preserve">Iodine status of adults also varied geographically across Australia, with median UIC highest in adults living in Western Australia (157.4 </w:t>
      </w:r>
      <w:proofErr w:type="spellStart"/>
      <w:r w:rsidRPr="008B63EE">
        <w:t>μg</w:t>
      </w:r>
      <w:proofErr w:type="spellEnd"/>
      <w:r w:rsidRPr="008B63EE">
        <w:t>/L</w:t>
      </w:r>
      <w:r>
        <w:t>) and lowest in those residing in Tasmania (108.0 </w:t>
      </w:r>
      <w:proofErr w:type="spellStart"/>
      <w:r>
        <w:t>μg</w:t>
      </w:r>
      <w:proofErr w:type="spellEnd"/>
      <w:r>
        <w:t xml:space="preserve">/L). Similarly - and despite the early introduction of voluntary fortification in 2001 and </w:t>
      </w:r>
      <w:r>
        <w:lastRenderedPageBreak/>
        <w:t xml:space="preserve">mandatory fortification in 2009 - Tasmania also had the highest proportion of deficiency (UIC &lt;50 </w:t>
      </w:r>
      <w:proofErr w:type="spellStart"/>
      <w:r w:rsidRPr="00521FC8">
        <w:t>μg</w:t>
      </w:r>
      <w:proofErr w:type="spellEnd"/>
      <w:r w:rsidRPr="00521FC8">
        <w:t>/L</w:t>
      </w:r>
      <w:r>
        <w:t>), affecting 14.9% of those measured.</w:t>
      </w:r>
    </w:p>
    <w:p w14:paraId="566FFBC5" w14:textId="77777777" w:rsidR="003138BD" w:rsidRDefault="003138BD" w:rsidP="003138BD">
      <w:r>
        <w:t xml:space="preserve">Regional variation in iodine status has also been observed, with those residing in inner regional Australia having lower median UIC (114.0 </w:t>
      </w:r>
      <w:proofErr w:type="spellStart"/>
      <w:r>
        <w:t>μg</w:t>
      </w:r>
      <w:proofErr w:type="spellEnd"/>
      <w:r>
        <w:t xml:space="preserve">/L) and more likely to be deficient (15.4%) compared with those in major cities (median UIC 128.0 </w:t>
      </w:r>
      <w:proofErr w:type="spellStart"/>
      <w:r>
        <w:t>μg</w:t>
      </w:r>
      <w:proofErr w:type="spellEnd"/>
      <w:r>
        <w:t>/L; 11.9% deficient).</w:t>
      </w:r>
    </w:p>
    <w:p w14:paraId="211AA7F5" w14:textId="77777777" w:rsidR="003138BD" w:rsidRPr="000331EA" w:rsidRDefault="003138BD" w:rsidP="00D36911">
      <w:pPr>
        <w:pStyle w:val="Heading5"/>
      </w:pPr>
      <w:r>
        <w:t>Children and adolescents</w:t>
      </w:r>
    </w:p>
    <w:p w14:paraId="16AA315B" w14:textId="77777777" w:rsidR="003138BD" w:rsidRPr="00A13B7B" w:rsidRDefault="003138BD" w:rsidP="00D36911">
      <w:pPr>
        <w:pStyle w:val="Heading6"/>
      </w:pPr>
      <w:r w:rsidRPr="00A13B7B">
        <w:t>2022-24 N</w:t>
      </w:r>
      <w:r>
        <w:t xml:space="preserve">ational </w:t>
      </w:r>
      <w:r w:rsidRPr="00A13B7B">
        <w:t>H</w:t>
      </w:r>
      <w:r>
        <w:t xml:space="preserve">ealth </w:t>
      </w:r>
      <w:r w:rsidRPr="00A13B7B">
        <w:t>M</w:t>
      </w:r>
      <w:r>
        <w:t xml:space="preserve">easures </w:t>
      </w:r>
      <w:r w:rsidRPr="00A13B7B">
        <w:t>S</w:t>
      </w:r>
      <w:r>
        <w:t>urvey</w:t>
      </w:r>
    </w:p>
    <w:p w14:paraId="1A343140" w14:textId="77777777" w:rsidR="003138BD" w:rsidRPr="00937B9E" w:rsidRDefault="003138BD" w:rsidP="003138BD">
      <w:r w:rsidRPr="00937B9E">
        <w:t>The 2022-24 NHMS reported that children aged 5 to 17</w:t>
      </w:r>
      <w:r>
        <w:t xml:space="preserve"> years</w:t>
      </w:r>
      <w:r w:rsidRPr="00937B9E">
        <w:t xml:space="preserve"> were iodine-sufficient, with a median UIC of 171</w:t>
      </w:r>
      <w:r>
        <w:t xml:space="preserve"> µg/L</w:t>
      </w:r>
      <w:r w:rsidRPr="00937B9E">
        <w:t xml:space="preserve"> and only 8% with UIC &lt;50</w:t>
      </w:r>
      <w:r>
        <w:t xml:space="preserve"> µg/L</w:t>
      </w:r>
      <w:r w:rsidRPr="00937B9E">
        <w:t xml:space="preserve">. </w:t>
      </w:r>
      <w:r>
        <w:t>Urinary iodine measures were highest in children aged 5 to 11 years (median UIC 185 µg/L for males; 188 µg/L for females).</w:t>
      </w:r>
    </w:p>
    <w:p w14:paraId="5F5218C6" w14:textId="77777777" w:rsidR="003138BD" w:rsidRPr="00A13B7B" w:rsidRDefault="003138BD" w:rsidP="00D36911">
      <w:pPr>
        <w:pStyle w:val="Heading6"/>
      </w:pPr>
      <w:r w:rsidRPr="00A13B7B">
        <w:t>2011-12 N</w:t>
      </w:r>
      <w:r>
        <w:t xml:space="preserve">ational </w:t>
      </w:r>
      <w:r w:rsidRPr="00A13B7B">
        <w:t>H</w:t>
      </w:r>
      <w:r>
        <w:t xml:space="preserve">ealth </w:t>
      </w:r>
      <w:r w:rsidRPr="00A13B7B">
        <w:t>M</w:t>
      </w:r>
      <w:r>
        <w:t xml:space="preserve">easures </w:t>
      </w:r>
      <w:r w:rsidRPr="00A13B7B">
        <w:t>S</w:t>
      </w:r>
      <w:r>
        <w:t>urvey</w:t>
      </w:r>
    </w:p>
    <w:p w14:paraId="6B8D4A6E" w14:textId="77777777" w:rsidR="003138BD" w:rsidRDefault="003138BD" w:rsidP="003138BD">
      <w:r>
        <w:t xml:space="preserve">Similarly to the 2022-24 NHMS, </w:t>
      </w:r>
      <w:r w:rsidRPr="00DC4782">
        <w:t>2011</w:t>
      </w:r>
      <w:r>
        <w:t>-</w:t>
      </w:r>
      <w:r w:rsidRPr="00DC4782">
        <w:t xml:space="preserve">12 </w:t>
      </w:r>
      <w:r>
        <w:t xml:space="preserve">data found that median UIC was highest among young children aged 5 to11 years (176.7 </w:t>
      </w:r>
      <w:proofErr w:type="spellStart"/>
      <w:r>
        <w:t>μg</w:t>
      </w:r>
      <w:proofErr w:type="spellEnd"/>
      <w:r>
        <w:t xml:space="preserve">/L), followed by people aged 12 to17 year (149.0μg/L). These groups also had the lowest rates of deficiency, with only 5.9% of young children with UIC &lt;50μg/L. </w:t>
      </w:r>
    </w:p>
    <w:p w14:paraId="266D4A62" w14:textId="77777777" w:rsidR="003138BD" w:rsidRPr="00743855" w:rsidRDefault="003138BD" w:rsidP="003138BD">
      <w:r>
        <w:t xml:space="preserve">Similarly to adults, iodine status in children varied by State with median UIC highest in Western Australia and lowest in South Australia, although data are only reported for children aged 8 to 10 years and do not include Tasmania the Northern Territory or Australian Capital Territory (ABS, 2013). Notably, a median UIC of 261.30 </w:t>
      </w:r>
      <w:proofErr w:type="spellStart"/>
      <w:r>
        <w:t>μg</w:t>
      </w:r>
      <w:proofErr w:type="spellEnd"/>
      <w:r>
        <w:t xml:space="preserve">/L was observed in children aged 8 to 10 years in Western </w:t>
      </w:r>
      <w:r w:rsidRPr="00743855">
        <w:t>Australia - well above the recommended dietary intakes of 90 and 120</w:t>
      </w:r>
      <w:r>
        <w:t xml:space="preserve"> </w:t>
      </w:r>
      <w:proofErr w:type="spellStart"/>
      <w:r w:rsidRPr="00743855">
        <w:t>μg</w:t>
      </w:r>
      <w:proofErr w:type="spellEnd"/>
      <w:r w:rsidRPr="00743855">
        <w:t xml:space="preserve">/d for this age range. </w:t>
      </w:r>
    </w:p>
    <w:p w14:paraId="49CB6525" w14:textId="77777777" w:rsidR="003138BD" w:rsidRDefault="003138BD" w:rsidP="003138BD">
      <w:r w:rsidRPr="00743855">
        <w:t xml:space="preserve">A </w:t>
      </w:r>
      <w:r>
        <w:t>Food Standards Australia New Zealand (</w:t>
      </w:r>
      <w:r w:rsidRPr="00743855">
        <w:t>FSANZ</w:t>
      </w:r>
      <w:r>
        <w:t>)</w:t>
      </w:r>
      <w:r w:rsidRPr="00743855">
        <w:t xml:space="preserve"> analysis</w:t>
      </w:r>
      <w:r>
        <w:t xml:space="preserve"> undertaken post-fortification found that children aged 2 to 3 years were most likely to have excessive intakes, with 20% estimated to have intakes above the UL post-fortification, compared with 7% pre-fortification (FSANZ 2016). Despite this significant proportion, the report notes that evidence suggests that these intakes are unlikely to have adverse health effects, in view of the safety margins used to derive an UL and given the reversible nature of the clinical end point on which ULs are based (sub-clinical hypothyroidism). Furthermore, the period of excessive intake is expected to be transient, with less than 1% of children expected to exceed the UL at the age of 4 years. </w:t>
      </w:r>
    </w:p>
    <w:p w14:paraId="1AF42A97" w14:textId="77777777" w:rsidR="003138BD" w:rsidRPr="00AA4677" w:rsidRDefault="003138BD" w:rsidP="00D36911">
      <w:pPr>
        <w:pStyle w:val="Heading5"/>
      </w:pPr>
      <w:r w:rsidRPr="00AA4677">
        <w:t>Aboriginal and Torres Strait Islander populations</w:t>
      </w:r>
    </w:p>
    <w:p w14:paraId="241296C8" w14:textId="77777777" w:rsidR="003138BD" w:rsidRDefault="003138BD" w:rsidP="003138BD">
      <w:r>
        <w:t xml:space="preserve">Data from the 2011-12 National Aboriginal and Torres Strait Islander Health Measures Survey (NATSIHMS) reported higher median UIC for Aboriginal and Torres Strait Islander populations across all age groups - </w:t>
      </w:r>
      <w:proofErr w:type="gramStart"/>
      <w:r>
        <w:t>with the exception of</w:t>
      </w:r>
      <w:proofErr w:type="gramEnd"/>
      <w:r>
        <w:t xml:space="preserve"> young adults aged 18-24 years - compared with the median UIC of all Australians (AIHW, 2016). Although median UIC for Aboriginal and Torres Strait Islanders aged 18 - 24 years was slightly lower than that of all Australians (135 vs 138 </w:t>
      </w:r>
      <w:proofErr w:type="spellStart"/>
      <w:r>
        <w:t>μg</w:t>
      </w:r>
      <w:proofErr w:type="spellEnd"/>
      <w:r>
        <w:t>/L) it remained well within WHO recommended range for sufficiency.</w:t>
      </w:r>
    </w:p>
    <w:p w14:paraId="782F4BC6" w14:textId="77777777" w:rsidR="003138BD" w:rsidRDefault="003138BD" w:rsidP="003138BD">
      <w:r>
        <w:t xml:space="preserve">More recently, a 2019 study compared iodine status among young adult participants in the Aboriginal Birth Cohort study with the non-Indigenous Top End Cohort prior to and post mandatory fortification (Singh et al 2019). While this study also found that median UIC had increased across all groups following mandatory fortification, it reported lower median UIC values than those of national surveys. For some groups - </w:t>
      </w:r>
      <w:proofErr w:type="gramStart"/>
      <w:r>
        <w:t>in particular Indigenous</w:t>
      </w:r>
      <w:proofErr w:type="gramEnd"/>
      <w:r>
        <w:t xml:space="preserve"> and non-Indigenous </w:t>
      </w:r>
      <w:r>
        <w:lastRenderedPageBreak/>
        <w:t xml:space="preserve">Australians residing in remote areas, or pregnant women and those of child-bearing age - median UIC remained below the recommended 100 </w:t>
      </w:r>
      <w:proofErr w:type="spellStart"/>
      <w:r>
        <w:t>μg</w:t>
      </w:r>
      <w:proofErr w:type="spellEnd"/>
      <w:r>
        <w:t>/L</w:t>
      </w:r>
      <w:r w:rsidRPr="008B63EE">
        <w:t> </w:t>
      </w:r>
      <w:r>
        <w:t xml:space="preserve">threshold, indicating mild deficiency. </w:t>
      </w:r>
    </w:p>
    <w:p w14:paraId="497AD1F5" w14:textId="77777777" w:rsidR="003138BD" w:rsidRPr="000331EA" w:rsidRDefault="003138BD" w:rsidP="00D36911">
      <w:pPr>
        <w:pStyle w:val="Heading5"/>
      </w:pPr>
      <w:r w:rsidRPr="000331EA">
        <w:t>Pregnancy and lactation</w:t>
      </w:r>
    </w:p>
    <w:p w14:paraId="07D5748E" w14:textId="77777777" w:rsidR="003138BD" w:rsidRPr="00A13B7B" w:rsidRDefault="003138BD" w:rsidP="00D36911">
      <w:pPr>
        <w:pStyle w:val="Heading6"/>
      </w:pPr>
      <w:r w:rsidRPr="00A13B7B">
        <w:t>2022-24 N</w:t>
      </w:r>
      <w:r>
        <w:t xml:space="preserve">ational </w:t>
      </w:r>
      <w:r w:rsidRPr="00A13B7B">
        <w:t>H</w:t>
      </w:r>
      <w:r>
        <w:t xml:space="preserve">ealth </w:t>
      </w:r>
      <w:r w:rsidRPr="00A13B7B">
        <w:t>M</w:t>
      </w:r>
      <w:r>
        <w:t xml:space="preserve">easures </w:t>
      </w:r>
      <w:r w:rsidRPr="00A13B7B">
        <w:t>S</w:t>
      </w:r>
      <w:r>
        <w:t>urvey (NHMS)</w:t>
      </w:r>
    </w:p>
    <w:p w14:paraId="22E5292E" w14:textId="77777777" w:rsidR="003138BD" w:rsidRDefault="003138BD" w:rsidP="003138BD">
      <w:pPr>
        <w:rPr>
          <w:highlight w:val="yellow"/>
        </w:rPr>
      </w:pPr>
      <w:r>
        <w:t>The currently available 2022-24 NHMS data do not report measures of UIC in pregnancy or lactation, although pregnant and breastfeeding women were not excluded from the survey. However, median UIC in females of child-bearing age (aged 16 to 44 years) was 101 µg/</w:t>
      </w:r>
      <w:proofErr w:type="gramStart"/>
      <w:r>
        <w:t>L;</w:t>
      </w:r>
      <w:proofErr w:type="gramEnd"/>
      <w:r>
        <w:t xml:space="preserve"> marginally within the range for sufficiency in non-pregnant adults. However, 2022-24 NHMS data suggests mild population deficiency in females aged 25 to 34 years and 35 to 44 years, with median UIC of 87 µg/L and 97 µg/L respectively, and more than 20% of individuals with UIC &lt;50 µg/L in both age groups. Furthermore, the median UIC in females aged 16 to 44 years was well below the recommended 150 µg/L for sufficiency during pregnancy.</w:t>
      </w:r>
    </w:p>
    <w:p w14:paraId="4C698906" w14:textId="77777777" w:rsidR="003138BD" w:rsidRPr="00A13B7B" w:rsidRDefault="003138BD" w:rsidP="00D36911">
      <w:pPr>
        <w:pStyle w:val="Heading6"/>
      </w:pPr>
      <w:r w:rsidRPr="00A13B7B">
        <w:t>2011-12 N</w:t>
      </w:r>
      <w:r>
        <w:t xml:space="preserve">ational </w:t>
      </w:r>
      <w:r w:rsidRPr="00A13B7B">
        <w:t>H</w:t>
      </w:r>
      <w:r>
        <w:t xml:space="preserve">ealth </w:t>
      </w:r>
      <w:r w:rsidRPr="00A13B7B">
        <w:t>M</w:t>
      </w:r>
      <w:r>
        <w:t xml:space="preserve">easures </w:t>
      </w:r>
      <w:r w:rsidRPr="00A13B7B">
        <w:t>S</w:t>
      </w:r>
      <w:r>
        <w:t>urvey (NHMS)</w:t>
      </w:r>
    </w:p>
    <w:p w14:paraId="07BA97AE" w14:textId="77777777" w:rsidR="003138BD" w:rsidRDefault="003138BD" w:rsidP="003138BD">
      <w:r>
        <w:t xml:space="preserve">The 2011-12 NHMS reported median UIC for pregnant and breastfeeding women aged 16-44 years of 116 </w:t>
      </w:r>
      <w:proofErr w:type="spellStart"/>
      <w:r>
        <w:t>μg</w:t>
      </w:r>
      <w:proofErr w:type="spellEnd"/>
      <w:r>
        <w:t xml:space="preserve">/L and 103 </w:t>
      </w:r>
      <w:proofErr w:type="spellStart"/>
      <w:r>
        <w:t>μg</w:t>
      </w:r>
      <w:proofErr w:type="spellEnd"/>
      <w:r>
        <w:t xml:space="preserve">/L respectively (ABS, 2013). These values were lower than the median UIC for all Australian women of that age reported in the 2011-12 NHMS (121 </w:t>
      </w:r>
      <w:proofErr w:type="spellStart"/>
      <w:r>
        <w:t>μg</w:t>
      </w:r>
      <w:proofErr w:type="spellEnd"/>
      <w:r>
        <w:t xml:space="preserve">/L) and -while within the WHO criteria for adult sufficiency and for sufficiency during lactation - are indicative of population insufficiency during pregnancy (ABS, 2013, WHO 2013). </w:t>
      </w:r>
    </w:p>
    <w:p w14:paraId="1C59A24A" w14:textId="2B5FA91B" w:rsidR="003138BD" w:rsidRDefault="003138BD" w:rsidP="00D36911">
      <w:pPr>
        <w:pStyle w:val="TableTitle"/>
      </w:pPr>
      <w:r>
        <w:t>Median UIC (</w:t>
      </w:r>
      <w:proofErr w:type="spellStart"/>
      <w:r w:rsidRPr="00E10E32">
        <w:t>μg</w:t>
      </w:r>
      <w:proofErr w:type="spellEnd"/>
      <w:r w:rsidRPr="00E10E32">
        <w:t>/L</w:t>
      </w:r>
      <w:r>
        <w:t>) by age for Australia and New Zealand (Source: ABS, 2013; NZ MoH 2020)</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122"/>
        <w:gridCol w:w="2616"/>
        <w:gridCol w:w="2057"/>
        <w:gridCol w:w="2221"/>
      </w:tblGrid>
      <w:tr w:rsidR="003138BD" w:rsidRPr="00D36911" w14:paraId="36AD283B" w14:textId="77777777" w:rsidTr="00D36911">
        <w:trPr>
          <w:trHeight w:val="300"/>
        </w:trPr>
        <w:tc>
          <w:tcPr>
            <w:tcW w:w="2122" w:type="dxa"/>
            <w:vMerge w:val="restart"/>
            <w:noWrap/>
            <w:vAlign w:val="bottom"/>
          </w:tcPr>
          <w:p w14:paraId="35B3AD93" w14:textId="77777777" w:rsidR="003138BD" w:rsidRPr="00D36911" w:rsidRDefault="003138BD">
            <w:pPr>
              <w:keepNext/>
              <w:spacing w:after="0" w:line="240" w:lineRule="auto"/>
              <w:rPr>
                <w:rFonts w:eastAsia="Times New Roman" w:cs="Calibri"/>
                <w:b/>
                <w:bCs/>
              </w:rPr>
            </w:pPr>
            <w:r w:rsidRPr="00D36911">
              <w:rPr>
                <w:rFonts w:eastAsia="Times New Roman" w:cs="Calibri"/>
                <w:b/>
                <w:bCs/>
              </w:rPr>
              <w:t>Age groups (years)</w:t>
            </w:r>
          </w:p>
        </w:tc>
        <w:tc>
          <w:tcPr>
            <w:tcW w:w="2616" w:type="dxa"/>
          </w:tcPr>
          <w:p w14:paraId="4916BF30"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xml:space="preserve">Australia </w:t>
            </w:r>
          </w:p>
          <w:p w14:paraId="08B165AA"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(NHMS 2022-24)</w:t>
            </w:r>
          </w:p>
        </w:tc>
        <w:tc>
          <w:tcPr>
            <w:tcW w:w="2057" w:type="dxa"/>
            <w:noWrap/>
            <w:vAlign w:val="bottom"/>
          </w:tcPr>
          <w:p w14:paraId="1895DA57"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xml:space="preserve">Australia </w:t>
            </w:r>
          </w:p>
          <w:p w14:paraId="47E5FC32"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(NHMS 2011-12)</w:t>
            </w:r>
          </w:p>
        </w:tc>
        <w:tc>
          <w:tcPr>
            <w:tcW w:w="2221" w:type="dxa"/>
          </w:tcPr>
          <w:p w14:paraId="5D08D3AB"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New Zealand (2014/15)</w:t>
            </w:r>
          </w:p>
        </w:tc>
      </w:tr>
      <w:tr w:rsidR="003138BD" w:rsidRPr="00D36911" w14:paraId="6BCB7AAB" w14:textId="77777777" w:rsidTr="00D36911">
        <w:trPr>
          <w:trHeight w:val="300"/>
        </w:trPr>
        <w:tc>
          <w:tcPr>
            <w:tcW w:w="2122" w:type="dxa"/>
            <w:vMerge/>
            <w:noWrap/>
            <w:vAlign w:val="bottom"/>
            <w:hideMark/>
          </w:tcPr>
          <w:p w14:paraId="2BED227F" w14:textId="77777777" w:rsidR="003138BD" w:rsidRPr="00D36911" w:rsidRDefault="003138BD">
            <w:pPr>
              <w:keepNext/>
              <w:spacing w:after="0" w:line="240" w:lineRule="auto"/>
              <w:rPr>
                <w:rFonts w:eastAsia="Times New Roman" w:cs="Calibri"/>
                <w:b/>
                <w:bCs/>
              </w:rPr>
            </w:pPr>
          </w:p>
        </w:tc>
        <w:tc>
          <w:tcPr>
            <w:tcW w:w="2616" w:type="dxa"/>
          </w:tcPr>
          <w:p w14:paraId="43512B6B"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Median UIC (</w:t>
            </w:r>
            <w:proofErr w:type="spellStart"/>
            <w:r w:rsidRPr="00D36911">
              <w:rPr>
                <w:rFonts w:eastAsia="Times New Roman" w:cs="Calibri"/>
                <w:b/>
                <w:bCs/>
              </w:rPr>
              <w:t>μg</w:t>
            </w:r>
            <w:proofErr w:type="spellEnd"/>
            <w:r w:rsidRPr="00D36911">
              <w:rPr>
                <w:rFonts w:eastAsia="Times New Roman" w:cs="Calibri"/>
                <w:b/>
                <w:bCs/>
              </w:rPr>
              <w:t>/L) in males (M) and females (F)</w:t>
            </w:r>
          </w:p>
        </w:tc>
        <w:tc>
          <w:tcPr>
            <w:tcW w:w="2057" w:type="dxa"/>
            <w:noWrap/>
            <w:hideMark/>
          </w:tcPr>
          <w:p w14:paraId="1BFB7413"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Median UIC (</w:t>
            </w:r>
            <w:proofErr w:type="spellStart"/>
            <w:r w:rsidRPr="00D36911">
              <w:rPr>
                <w:rFonts w:eastAsia="Times New Roman" w:cs="Calibri"/>
                <w:b/>
                <w:bCs/>
              </w:rPr>
              <w:t>μg</w:t>
            </w:r>
            <w:proofErr w:type="spellEnd"/>
            <w:r w:rsidRPr="00D36911">
              <w:rPr>
                <w:rFonts w:eastAsia="Times New Roman" w:cs="Calibri"/>
                <w:b/>
                <w:bCs/>
              </w:rPr>
              <w:t>/L)</w:t>
            </w:r>
          </w:p>
        </w:tc>
        <w:tc>
          <w:tcPr>
            <w:tcW w:w="2221" w:type="dxa"/>
          </w:tcPr>
          <w:p w14:paraId="18A0CC54"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Median UIC (</w:t>
            </w:r>
            <w:proofErr w:type="spellStart"/>
            <w:r w:rsidRPr="00D36911">
              <w:rPr>
                <w:rFonts w:eastAsia="Times New Roman" w:cs="Calibri"/>
                <w:b/>
                <w:bCs/>
              </w:rPr>
              <w:t>μg</w:t>
            </w:r>
            <w:proofErr w:type="spellEnd"/>
            <w:r w:rsidRPr="00D36911">
              <w:rPr>
                <w:rFonts w:eastAsia="Times New Roman" w:cs="Calibri"/>
                <w:b/>
                <w:bCs/>
              </w:rPr>
              <w:t>/L)</w:t>
            </w:r>
          </w:p>
        </w:tc>
      </w:tr>
      <w:tr w:rsidR="003138BD" w:rsidRPr="00D36911" w14:paraId="5B5315A0" w14:textId="77777777" w:rsidTr="00D36911">
        <w:trPr>
          <w:trHeight w:val="300"/>
        </w:trPr>
        <w:tc>
          <w:tcPr>
            <w:tcW w:w="2122" w:type="dxa"/>
            <w:noWrap/>
            <w:vAlign w:val="bottom"/>
            <w:hideMark/>
          </w:tcPr>
          <w:p w14:paraId="782DEF40" w14:textId="77777777" w:rsidR="003138BD" w:rsidRPr="00D36911" w:rsidRDefault="003138BD">
            <w:pPr>
              <w:keepNext/>
              <w:spacing w:after="0" w:line="240" w:lineRule="auto"/>
              <w:rPr>
                <w:rFonts w:eastAsia="Times New Roman" w:cs="Calibri"/>
                <w:b/>
                <w:bCs/>
              </w:rPr>
            </w:pPr>
            <w:r w:rsidRPr="00D36911">
              <w:rPr>
                <w:rFonts w:eastAsia="Times New Roman" w:cs="Calibri"/>
                <w:b/>
                <w:bCs/>
              </w:rPr>
              <w:t>5-11</w:t>
            </w:r>
          </w:p>
        </w:tc>
        <w:tc>
          <w:tcPr>
            <w:tcW w:w="2616" w:type="dxa"/>
          </w:tcPr>
          <w:p w14:paraId="15405148"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185 (M)      188 (F)</w:t>
            </w:r>
          </w:p>
        </w:tc>
        <w:tc>
          <w:tcPr>
            <w:tcW w:w="2057" w:type="dxa"/>
            <w:noWrap/>
            <w:vAlign w:val="bottom"/>
            <w:hideMark/>
          </w:tcPr>
          <w:p w14:paraId="5F7AE157"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176.7</w:t>
            </w:r>
          </w:p>
        </w:tc>
        <w:tc>
          <w:tcPr>
            <w:tcW w:w="2221" w:type="dxa"/>
          </w:tcPr>
          <w:p w14:paraId="0823AA90" w14:textId="77777777" w:rsidR="003138BD" w:rsidRPr="00D36911" w:rsidRDefault="003138BD">
            <w:pPr>
              <w:keepNext/>
              <w:spacing w:after="0" w:line="240" w:lineRule="auto"/>
              <w:jc w:val="center"/>
              <w:rPr>
                <w:rFonts w:eastAsia="Times New Roman" w:cs="Calibri"/>
                <w:color w:val="000000"/>
              </w:rPr>
            </w:pPr>
          </w:p>
        </w:tc>
      </w:tr>
      <w:tr w:rsidR="003138BD" w:rsidRPr="00D36911" w14:paraId="04D5A83C" w14:textId="77777777" w:rsidTr="00D36911">
        <w:trPr>
          <w:trHeight w:val="300"/>
        </w:trPr>
        <w:tc>
          <w:tcPr>
            <w:tcW w:w="2122" w:type="dxa"/>
            <w:noWrap/>
            <w:vAlign w:val="bottom"/>
            <w:hideMark/>
          </w:tcPr>
          <w:p w14:paraId="1D7187A0" w14:textId="77777777" w:rsidR="003138BD" w:rsidRPr="00D36911" w:rsidRDefault="003138BD">
            <w:pPr>
              <w:keepNext/>
              <w:spacing w:after="0" w:line="240" w:lineRule="auto"/>
              <w:rPr>
                <w:rFonts w:eastAsia="Times New Roman" w:cs="Calibri"/>
                <w:b/>
                <w:bCs/>
              </w:rPr>
            </w:pPr>
            <w:r w:rsidRPr="00D36911">
              <w:rPr>
                <w:rFonts w:eastAsia="Times New Roman" w:cs="Calibri"/>
                <w:b/>
                <w:bCs/>
              </w:rPr>
              <w:t>12-17*</w:t>
            </w:r>
          </w:p>
        </w:tc>
        <w:tc>
          <w:tcPr>
            <w:tcW w:w="2616" w:type="dxa"/>
          </w:tcPr>
          <w:p w14:paraId="276CB934"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137 (M)      172 (F)</w:t>
            </w:r>
          </w:p>
        </w:tc>
        <w:tc>
          <w:tcPr>
            <w:tcW w:w="2057" w:type="dxa"/>
            <w:noWrap/>
            <w:vAlign w:val="bottom"/>
            <w:hideMark/>
          </w:tcPr>
          <w:p w14:paraId="1109BC96"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149.0</w:t>
            </w:r>
          </w:p>
        </w:tc>
        <w:tc>
          <w:tcPr>
            <w:tcW w:w="2221" w:type="dxa"/>
          </w:tcPr>
          <w:p w14:paraId="3D947EEA"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112*</w:t>
            </w:r>
          </w:p>
        </w:tc>
      </w:tr>
      <w:tr w:rsidR="003138BD" w:rsidRPr="00D36911" w14:paraId="0B9DFBA9" w14:textId="77777777" w:rsidTr="00D36911">
        <w:trPr>
          <w:trHeight w:val="300"/>
        </w:trPr>
        <w:tc>
          <w:tcPr>
            <w:tcW w:w="2122" w:type="dxa"/>
            <w:noWrap/>
            <w:vAlign w:val="bottom"/>
            <w:hideMark/>
          </w:tcPr>
          <w:p w14:paraId="13A3B561" w14:textId="77777777" w:rsidR="003138BD" w:rsidRPr="00D36911" w:rsidRDefault="003138BD">
            <w:pPr>
              <w:keepNext/>
              <w:spacing w:after="0" w:line="240" w:lineRule="auto"/>
              <w:rPr>
                <w:rFonts w:eastAsia="Times New Roman" w:cs="Calibri"/>
                <w:b/>
                <w:bCs/>
              </w:rPr>
            </w:pPr>
            <w:r w:rsidRPr="00D36911">
              <w:rPr>
                <w:rFonts w:eastAsia="Times New Roman" w:cs="Calibri"/>
                <w:b/>
                <w:bCs/>
              </w:rPr>
              <w:t>18-24*</w:t>
            </w:r>
          </w:p>
        </w:tc>
        <w:tc>
          <w:tcPr>
            <w:tcW w:w="2616" w:type="dxa"/>
          </w:tcPr>
          <w:p w14:paraId="0A720AD4"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134 (M)      109 (F)</w:t>
            </w:r>
          </w:p>
        </w:tc>
        <w:tc>
          <w:tcPr>
            <w:tcW w:w="2057" w:type="dxa"/>
            <w:noWrap/>
            <w:vAlign w:val="bottom"/>
            <w:hideMark/>
          </w:tcPr>
          <w:p w14:paraId="54163085"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138.2</w:t>
            </w:r>
          </w:p>
        </w:tc>
        <w:tc>
          <w:tcPr>
            <w:tcW w:w="2221" w:type="dxa"/>
          </w:tcPr>
          <w:p w14:paraId="72503F6C"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112*</w:t>
            </w:r>
          </w:p>
        </w:tc>
      </w:tr>
      <w:tr w:rsidR="003138BD" w:rsidRPr="00D36911" w14:paraId="398EAA81" w14:textId="77777777" w:rsidTr="00D36911">
        <w:trPr>
          <w:trHeight w:val="300"/>
        </w:trPr>
        <w:tc>
          <w:tcPr>
            <w:tcW w:w="2122" w:type="dxa"/>
            <w:noWrap/>
            <w:vAlign w:val="bottom"/>
            <w:hideMark/>
          </w:tcPr>
          <w:p w14:paraId="46CC4BC0" w14:textId="77777777" w:rsidR="003138BD" w:rsidRPr="00D36911" w:rsidRDefault="003138BD">
            <w:pPr>
              <w:keepNext/>
              <w:spacing w:after="0" w:line="240" w:lineRule="auto"/>
              <w:rPr>
                <w:rFonts w:eastAsia="Times New Roman" w:cs="Calibri"/>
                <w:b/>
                <w:bCs/>
              </w:rPr>
            </w:pPr>
            <w:r w:rsidRPr="00D36911">
              <w:rPr>
                <w:rFonts w:eastAsia="Times New Roman" w:cs="Calibri"/>
                <w:b/>
                <w:bCs/>
              </w:rPr>
              <w:t>25-34</w:t>
            </w:r>
          </w:p>
        </w:tc>
        <w:tc>
          <w:tcPr>
            <w:tcW w:w="2616" w:type="dxa"/>
          </w:tcPr>
          <w:p w14:paraId="2682D7EC"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122 (M)        87 (F)</w:t>
            </w:r>
          </w:p>
        </w:tc>
        <w:tc>
          <w:tcPr>
            <w:tcW w:w="2057" w:type="dxa"/>
            <w:noWrap/>
            <w:vAlign w:val="bottom"/>
            <w:hideMark/>
          </w:tcPr>
          <w:p w14:paraId="04A2440B"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124.0</w:t>
            </w:r>
          </w:p>
        </w:tc>
        <w:tc>
          <w:tcPr>
            <w:tcW w:w="2221" w:type="dxa"/>
          </w:tcPr>
          <w:p w14:paraId="6018FC29"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104</w:t>
            </w:r>
          </w:p>
        </w:tc>
      </w:tr>
      <w:tr w:rsidR="003138BD" w:rsidRPr="00D36911" w14:paraId="455B4575" w14:textId="77777777" w:rsidTr="00D36911">
        <w:trPr>
          <w:trHeight w:val="300"/>
        </w:trPr>
        <w:tc>
          <w:tcPr>
            <w:tcW w:w="2122" w:type="dxa"/>
            <w:noWrap/>
            <w:vAlign w:val="bottom"/>
            <w:hideMark/>
          </w:tcPr>
          <w:p w14:paraId="312FE923" w14:textId="77777777" w:rsidR="003138BD" w:rsidRPr="00D36911" w:rsidRDefault="003138BD">
            <w:pPr>
              <w:keepNext/>
              <w:spacing w:after="0" w:line="240" w:lineRule="auto"/>
              <w:rPr>
                <w:rFonts w:eastAsia="Times New Roman" w:cs="Calibri"/>
                <w:b/>
                <w:bCs/>
              </w:rPr>
            </w:pPr>
            <w:r w:rsidRPr="00D36911">
              <w:rPr>
                <w:rFonts w:eastAsia="Times New Roman" w:cs="Calibri"/>
                <w:b/>
                <w:bCs/>
              </w:rPr>
              <w:t>35-44</w:t>
            </w:r>
          </w:p>
        </w:tc>
        <w:tc>
          <w:tcPr>
            <w:tcW w:w="2616" w:type="dxa"/>
          </w:tcPr>
          <w:p w14:paraId="160FA821"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124 (M)         97(F)</w:t>
            </w:r>
          </w:p>
        </w:tc>
        <w:tc>
          <w:tcPr>
            <w:tcW w:w="2057" w:type="dxa"/>
            <w:noWrap/>
            <w:vAlign w:val="bottom"/>
            <w:hideMark/>
          </w:tcPr>
          <w:p w14:paraId="71B1A73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122.0</w:t>
            </w:r>
          </w:p>
        </w:tc>
        <w:tc>
          <w:tcPr>
            <w:tcW w:w="2221" w:type="dxa"/>
          </w:tcPr>
          <w:p w14:paraId="4769EAA3"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102</w:t>
            </w:r>
          </w:p>
        </w:tc>
      </w:tr>
      <w:tr w:rsidR="003138BD" w:rsidRPr="00D36911" w14:paraId="3EDC5375" w14:textId="77777777" w:rsidTr="00D36911">
        <w:trPr>
          <w:trHeight w:val="300"/>
        </w:trPr>
        <w:tc>
          <w:tcPr>
            <w:tcW w:w="2122" w:type="dxa"/>
            <w:noWrap/>
            <w:vAlign w:val="bottom"/>
            <w:hideMark/>
          </w:tcPr>
          <w:p w14:paraId="598475F7" w14:textId="77777777" w:rsidR="003138BD" w:rsidRPr="00D36911" w:rsidRDefault="003138BD">
            <w:pPr>
              <w:keepNext/>
              <w:spacing w:after="0" w:line="240" w:lineRule="auto"/>
              <w:rPr>
                <w:rFonts w:eastAsia="Times New Roman" w:cs="Calibri"/>
                <w:b/>
                <w:bCs/>
              </w:rPr>
            </w:pPr>
            <w:r w:rsidRPr="00D36911">
              <w:rPr>
                <w:rFonts w:eastAsia="Times New Roman" w:cs="Calibri"/>
                <w:b/>
                <w:bCs/>
              </w:rPr>
              <w:t>45-54</w:t>
            </w:r>
          </w:p>
        </w:tc>
        <w:tc>
          <w:tcPr>
            <w:tcW w:w="2616" w:type="dxa"/>
          </w:tcPr>
          <w:p w14:paraId="49AE641D"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114 (M)      101 (F)</w:t>
            </w:r>
          </w:p>
        </w:tc>
        <w:tc>
          <w:tcPr>
            <w:tcW w:w="2057" w:type="dxa"/>
            <w:noWrap/>
            <w:vAlign w:val="bottom"/>
            <w:hideMark/>
          </w:tcPr>
          <w:p w14:paraId="42438F24"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119.0</w:t>
            </w:r>
          </w:p>
        </w:tc>
        <w:tc>
          <w:tcPr>
            <w:tcW w:w="2221" w:type="dxa"/>
          </w:tcPr>
          <w:p w14:paraId="34D7336B"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100</w:t>
            </w:r>
          </w:p>
        </w:tc>
      </w:tr>
      <w:tr w:rsidR="003138BD" w:rsidRPr="00D36911" w14:paraId="7E1BDB48" w14:textId="77777777" w:rsidTr="00D36911">
        <w:trPr>
          <w:trHeight w:val="300"/>
        </w:trPr>
        <w:tc>
          <w:tcPr>
            <w:tcW w:w="2122" w:type="dxa"/>
            <w:noWrap/>
            <w:vAlign w:val="bottom"/>
            <w:hideMark/>
          </w:tcPr>
          <w:p w14:paraId="257A8333" w14:textId="77777777" w:rsidR="003138BD" w:rsidRPr="00D36911" w:rsidRDefault="003138BD">
            <w:pPr>
              <w:keepNext/>
              <w:spacing w:after="0" w:line="240" w:lineRule="auto"/>
              <w:rPr>
                <w:rFonts w:eastAsia="Times New Roman" w:cs="Calibri"/>
                <w:b/>
                <w:bCs/>
              </w:rPr>
            </w:pPr>
            <w:r w:rsidRPr="00D36911">
              <w:rPr>
                <w:rFonts w:eastAsia="Times New Roman" w:cs="Calibri"/>
                <w:b/>
                <w:bCs/>
              </w:rPr>
              <w:t>55-64</w:t>
            </w:r>
          </w:p>
        </w:tc>
        <w:tc>
          <w:tcPr>
            <w:tcW w:w="2616" w:type="dxa"/>
          </w:tcPr>
          <w:p w14:paraId="6808113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126 (M)       100(F)</w:t>
            </w:r>
          </w:p>
        </w:tc>
        <w:tc>
          <w:tcPr>
            <w:tcW w:w="2057" w:type="dxa"/>
            <w:noWrap/>
            <w:vAlign w:val="bottom"/>
            <w:hideMark/>
          </w:tcPr>
          <w:p w14:paraId="188A6FF0"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119.0</w:t>
            </w:r>
          </w:p>
        </w:tc>
        <w:tc>
          <w:tcPr>
            <w:tcW w:w="2221" w:type="dxa"/>
          </w:tcPr>
          <w:p w14:paraId="11F4F9B2"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104</w:t>
            </w:r>
          </w:p>
        </w:tc>
      </w:tr>
      <w:tr w:rsidR="003138BD" w:rsidRPr="00D36911" w14:paraId="40E5E57A" w14:textId="77777777" w:rsidTr="00D36911">
        <w:trPr>
          <w:trHeight w:val="300"/>
        </w:trPr>
        <w:tc>
          <w:tcPr>
            <w:tcW w:w="2122" w:type="dxa"/>
            <w:noWrap/>
            <w:vAlign w:val="bottom"/>
            <w:hideMark/>
          </w:tcPr>
          <w:p w14:paraId="0DB84D26" w14:textId="77777777" w:rsidR="003138BD" w:rsidRPr="00D36911" w:rsidRDefault="003138BD">
            <w:pPr>
              <w:keepNext/>
              <w:spacing w:after="0" w:line="240" w:lineRule="auto"/>
              <w:rPr>
                <w:rFonts w:eastAsia="Times New Roman" w:cs="Calibri"/>
                <w:b/>
                <w:bCs/>
              </w:rPr>
            </w:pPr>
            <w:r w:rsidRPr="00D36911">
              <w:rPr>
                <w:rFonts w:eastAsia="Times New Roman" w:cs="Calibri"/>
                <w:b/>
                <w:bCs/>
              </w:rPr>
              <w:t>65-74</w:t>
            </w:r>
          </w:p>
        </w:tc>
        <w:tc>
          <w:tcPr>
            <w:tcW w:w="2616" w:type="dxa"/>
          </w:tcPr>
          <w:p w14:paraId="7274652C"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130 (M)       104 (F)</w:t>
            </w:r>
          </w:p>
        </w:tc>
        <w:tc>
          <w:tcPr>
            <w:tcW w:w="2057" w:type="dxa"/>
            <w:noWrap/>
            <w:vAlign w:val="bottom"/>
            <w:hideMark/>
          </w:tcPr>
          <w:p w14:paraId="765A35ED"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125.0</w:t>
            </w:r>
          </w:p>
        </w:tc>
        <w:tc>
          <w:tcPr>
            <w:tcW w:w="2221" w:type="dxa"/>
          </w:tcPr>
          <w:p w14:paraId="7DD3C97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98</w:t>
            </w:r>
          </w:p>
        </w:tc>
      </w:tr>
      <w:tr w:rsidR="003138BD" w:rsidRPr="00D36911" w14:paraId="1E61FFB1" w14:textId="77777777" w:rsidTr="00D36911">
        <w:trPr>
          <w:trHeight w:val="300"/>
        </w:trPr>
        <w:tc>
          <w:tcPr>
            <w:tcW w:w="2122" w:type="dxa"/>
            <w:noWrap/>
            <w:vAlign w:val="bottom"/>
            <w:hideMark/>
          </w:tcPr>
          <w:p w14:paraId="4EA15927" w14:textId="77777777" w:rsidR="003138BD" w:rsidRPr="00D36911" w:rsidRDefault="003138BD">
            <w:pPr>
              <w:keepNext/>
              <w:spacing w:after="0" w:line="240" w:lineRule="auto"/>
              <w:rPr>
                <w:rFonts w:eastAsia="Times New Roman" w:cs="Calibri"/>
                <w:b/>
                <w:bCs/>
              </w:rPr>
            </w:pPr>
            <w:r w:rsidRPr="00D36911">
              <w:rPr>
                <w:rFonts w:eastAsia="Times New Roman" w:cs="Calibri"/>
                <w:b/>
                <w:bCs/>
              </w:rPr>
              <w:t>75 +</w:t>
            </w:r>
          </w:p>
        </w:tc>
        <w:tc>
          <w:tcPr>
            <w:tcW w:w="2616" w:type="dxa"/>
          </w:tcPr>
          <w:p w14:paraId="1EE61339"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126 (M)       112 (F)</w:t>
            </w:r>
          </w:p>
        </w:tc>
        <w:tc>
          <w:tcPr>
            <w:tcW w:w="2057" w:type="dxa"/>
            <w:noWrap/>
            <w:vAlign w:val="bottom"/>
            <w:hideMark/>
          </w:tcPr>
          <w:p w14:paraId="7B7C3451"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129.0</w:t>
            </w:r>
          </w:p>
        </w:tc>
        <w:tc>
          <w:tcPr>
            <w:tcW w:w="2221" w:type="dxa"/>
          </w:tcPr>
          <w:p w14:paraId="66EFF39F"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91</w:t>
            </w:r>
          </w:p>
        </w:tc>
      </w:tr>
      <w:tr w:rsidR="003138BD" w:rsidRPr="00D36911" w14:paraId="43EE839B" w14:textId="77777777" w:rsidTr="00D36911">
        <w:trPr>
          <w:trHeight w:val="300"/>
        </w:trPr>
        <w:tc>
          <w:tcPr>
            <w:tcW w:w="9016" w:type="dxa"/>
            <w:gridSpan w:val="4"/>
          </w:tcPr>
          <w:p w14:paraId="309AF67A" w14:textId="77777777" w:rsidR="003138BD" w:rsidRPr="00D36911" w:rsidRDefault="003138BD">
            <w:pPr>
              <w:keepNext/>
              <w:spacing w:after="0" w:line="240" w:lineRule="auto"/>
              <w:rPr>
                <w:rFonts w:eastAsia="Times New Roman" w:cs="Calibri"/>
                <w:i/>
                <w:iCs/>
                <w:color w:val="000000"/>
              </w:rPr>
            </w:pPr>
            <w:r w:rsidRPr="00D36911">
              <w:rPr>
                <w:rFonts w:eastAsia="Times New Roman" w:cs="Calibri"/>
                <w:i/>
                <w:iCs/>
                <w:color w:val="000000"/>
              </w:rPr>
              <w:t>*New Zealand data for ages 15-24 were aggregated in a single group.</w:t>
            </w:r>
          </w:p>
        </w:tc>
      </w:tr>
    </w:tbl>
    <w:p w14:paraId="303BB09E" w14:textId="77777777" w:rsidR="003138BD" w:rsidRDefault="003138BD" w:rsidP="003138BD">
      <w:pPr>
        <w:pStyle w:val="Heading4"/>
        <w:keepNext w:val="0"/>
        <w:keepLines w:val="0"/>
      </w:pPr>
    </w:p>
    <w:p w14:paraId="7CF37908" w14:textId="6B2DF1B7" w:rsidR="003138BD" w:rsidRDefault="003138BD" w:rsidP="00D36911">
      <w:pPr>
        <w:pStyle w:val="TableTitle"/>
      </w:pPr>
      <w:r w:rsidRPr="00816E01">
        <w:lastRenderedPageBreak/>
        <w:t>Intake (</w:t>
      </w:r>
      <w:r>
        <w:t>µg/day</w:t>
      </w:r>
      <w:r w:rsidRPr="00816E01">
        <w:t>) by age for Australia (Source: ABS, 20</w:t>
      </w:r>
      <w:r>
        <w:t>2</w:t>
      </w:r>
      <w:r w:rsidRPr="00816E01">
        <w:t>5</w:t>
      </w:r>
      <w:r>
        <w:t>c</w:t>
      </w:r>
      <w:r w:rsidRPr="00816E01">
        <w:t>, 20</w:t>
      </w:r>
      <w:r>
        <w:t>2</w:t>
      </w:r>
      <w:r w:rsidRPr="00816E01">
        <w:t xml:space="preserve">3 </w:t>
      </w:r>
      <w:r>
        <w:t>NNPAS</w:t>
      </w:r>
      <w:r w:rsidRPr="00816E01">
        <w:t>)</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838"/>
        <w:gridCol w:w="2977"/>
        <w:gridCol w:w="3118"/>
      </w:tblGrid>
      <w:tr w:rsidR="003138BD" w:rsidRPr="00D36911" w14:paraId="51D33723" w14:textId="77777777" w:rsidTr="00D36911">
        <w:trPr>
          <w:trHeight w:val="300"/>
        </w:trPr>
        <w:tc>
          <w:tcPr>
            <w:tcW w:w="1838" w:type="dxa"/>
            <w:vMerge w:val="restart"/>
            <w:noWrap/>
            <w:vAlign w:val="bottom"/>
          </w:tcPr>
          <w:p w14:paraId="23772DBB" w14:textId="77777777" w:rsidR="003138BD" w:rsidRPr="00D36911" w:rsidRDefault="003138BD">
            <w:pPr>
              <w:keepNext/>
              <w:spacing w:after="0" w:line="240" w:lineRule="auto"/>
              <w:rPr>
                <w:rFonts w:eastAsia="Times New Roman" w:cs="Calibri"/>
                <w:b/>
                <w:bCs/>
              </w:rPr>
            </w:pPr>
            <w:r w:rsidRPr="00D36911">
              <w:rPr>
                <w:rFonts w:eastAsia="Times New Roman" w:cs="Calibri"/>
                <w:b/>
                <w:bCs/>
              </w:rPr>
              <w:t>Age groups (years)</w:t>
            </w:r>
          </w:p>
        </w:tc>
        <w:tc>
          <w:tcPr>
            <w:tcW w:w="6095" w:type="dxa"/>
            <w:gridSpan w:val="2"/>
          </w:tcPr>
          <w:p w14:paraId="2E22224C"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xml:space="preserve">Australia </w:t>
            </w:r>
          </w:p>
          <w:p w14:paraId="6E8A7C66"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(NNPAS 2023, ABS 2025c)</w:t>
            </w:r>
          </w:p>
        </w:tc>
      </w:tr>
      <w:tr w:rsidR="003138BD" w:rsidRPr="00D36911" w14:paraId="43D68081" w14:textId="77777777" w:rsidTr="00D36911">
        <w:trPr>
          <w:trHeight w:val="300"/>
        </w:trPr>
        <w:tc>
          <w:tcPr>
            <w:tcW w:w="1838" w:type="dxa"/>
            <w:vMerge/>
            <w:noWrap/>
            <w:vAlign w:val="bottom"/>
            <w:hideMark/>
          </w:tcPr>
          <w:p w14:paraId="2EF70AB7" w14:textId="77777777" w:rsidR="003138BD" w:rsidRPr="00D36911" w:rsidRDefault="003138BD">
            <w:pPr>
              <w:keepNext/>
              <w:spacing w:after="0" w:line="240" w:lineRule="auto"/>
              <w:rPr>
                <w:rFonts w:eastAsia="Times New Roman" w:cs="Calibri"/>
                <w:b/>
                <w:bCs/>
              </w:rPr>
            </w:pPr>
          </w:p>
        </w:tc>
        <w:tc>
          <w:tcPr>
            <w:tcW w:w="2977" w:type="dxa"/>
          </w:tcPr>
          <w:p w14:paraId="5662CF84"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xml:space="preserve">Males Intake (µg/day) </w:t>
            </w:r>
          </w:p>
          <w:p w14:paraId="27BFEE45"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xml:space="preserve">Mean </w:t>
            </w:r>
          </w:p>
        </w:tc>
        <w:tc>
          <w:tcPr>
            <w:tcW w:w="3118" w:type="dxa"/>
          </w:tcPr>
          <w:p w14:paraId="09249573"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xml:space="preserve">Females Intake (µg/day) </w:t>
            </w:r>
          </w:p>
          <w:p w14:paraId="5B862216"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Mean</w:t>
            </w:r>
          </w:p>
        </w:tc>
      </w:tr>
      <w:tr w:rsidR="003138BD" w:rsidRPr="00D36911" w14:paraId="68A8F0E9" w14:textId="77777777" w:rsidTr="00D36911">
        <w:trPr>
          <w:trHeight w:val="300"/>
        </w:trPr>
        <w:tc>
          <w:tcPr>
            <w:tcW w:w="1838" w:type="dxa"/>
            <w:noWrap/>
            <w:vAlign w:val="center"/>
          </w:tcPr>
          <w:p w14:paraId="170CBEE4" w14:textId="77777777" w:rsidR="003138BD" w:rsidRPr="00D36911" w:rsidRDefault="003138BD">
            <w:pPr>
              <w:keepNext/>
              <w:spacing w:after="0" w:line="240" w:lineRule="auto"/>
              <w:rPr>
                <w:rFonts w:eastAsia="Times New Roman" w:cs="Calibri"/>
                <w:b/>
                <w:bCs/>
              </w:rPr>
            </w:pPr>
            <w:r w:rsidRPr="00D36911">
              <w:rPr>
                <w:rFonts w:eastAsia="Times New Roman" w:cs="Calibri"/>
                <w:b/>
                <w:bCs/>
              </w:rPr>
              <w:t>2 to under 5</w:t>
            </w:r>
          </w:p>
        </w:tc>
        <w:tc>
          <w:tcPr>
            <w:tcW w:w="2977" w:type="dxa"/>
            <w:vAlign w:val="center"/>
          </w:tcPr>
          <w:p w14:paraId="5F03E520"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152.1</w:t>
            </w:r>
          </w:p>
        </w:tc>
        <w:tc>
          <w:tcPr>
            <w:tcW w:w="3118" w:type="dxa"/>
            <w:vAlign w:val="center"/>
          </w:tcPr>
          <w:p w14:paraId="3379F496"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142.8</w:t>
            </w:r>
          </w:p>
        </w:tc>
      </w:tr>
      <w:tr w:rsidR="003138BD" w:rsidRPr="00D36911" w14:paraId="2B1DF590" w14:textId="77777777" w:rsidTr="00D36911">
        <w:trPr>
          <w:trHeight w:val="300"/>
        </w:trPr>
        <w:tc>
          <w:tcPr>
            <w:tcW w:w="1838" w:type="dxa"/>
            <w:noWrap/>
            <w:vAlign w:val="center"/>
            <w:hideMark/>
          </w:tcPr>
          <w:p w14:paraId="342F135B" w14:textId="77777777" w:rsidR="003138BD" w:rsidRPr="00D36911" w:rsidRDefault="003138BD">
            <w:pPr>
              <w:keepNext/>
              <w:spacing w:after="0" w:line="240" w:lineRule="auto"/>
              <w:rPr>
                <w:rFonts w:eastAsia="Times New Roman" w:cs="Calibri"/>
                <w:b/>
                <w:bCs/>
              </w:rPr>
            </w:pPr>
            <w:r w:rsidRPr="00D36911">
              <w:rPr>
                <w:rFonts w:eastAsia="Times New Roman" w:cs="Calibri"/>
                <w:b/>
                <w:bCs/>
              </w:rPr>
              <w:t>5 to under 12</w:t>
            </w:r>
          </w:p>
        </w:tc>
        <w:tc>
          <w:tcPr>
            <w:tcW w:w="2977" w:type="dxa"/>
            <w:vAlign w:val="center"/>
          </w:tcPr>
          <w:p w14:paraId="0D065571"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176.2</w:t>
            </w:r>
          </w:p>
        </w:tc>
        <w:tc>
          <w:tcPr>
            <w:tcW w:w="3118" w:type="dxa"/>
            <w:vAlign w:val="center"/>
          </w:tcPr>
          <w:p w14:paraId="47087930"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164.8</w:t>
            </w:r>
          </w:p>
        </w:tc>
      </w:tr>
      <w:tr w:rsidR="003138BD" w:rsidRPr="00D36911" w14:paraId="0676CBE6" w14:textId="77777777" w:rsidTr="00D36911">
        <w:trPr>
          <w:trHeight w:val="300"/>
        </w:trPr>
        <w:tc>
          <w:tcPr>
            <w:tcW w:w="1838" w:type="dxa"/>
            <w:noWrap/>
            <w:vAlign w:val="center"/>
          </w:tcPr>
          <w:p w14:paraId="376267F6" w14:textId="77777777" w:rsidR="003138BD" w:rsidRPr="00D36911" w:rsidRDefault="003138BD">
            <w:pPr>
              <w:keepNext/>
              <w:spacing w:after="0" w:line="240" w:lineRule="auto"/>
              <w:rPr>
                <w:rFonts w:eastAsia="Times New Roman" w:cs="Calibri"/>
                <w:b/>
                <w:bCs/>
              </w:rPr>
            </w:pPr>
            <w:r w:rsidRPr="00D36911">
              <w:rPr>
                <w:rFonts w:eastAsia="Times New Roman" w:cs="Calibri"/>
                <w:b/>
                <w:bCs/>
              </w:rPr>
              <w:t>12 to under 18</w:t>
            </w:r>
          </w:p>
        </w:tc>
        <w:tc>
          <w:tcPr>
            <w:tcW w:w="2977" w:type="dxa"/>
            <w:vAlign w:val="center"/>
          </w:tcPr>
          <w:p w14:paraId="553B0941"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220.2</w:t>
            </w:r>
          </w:p>
        </w:tc>
        <w:tc>
          <w:tcPr>
            <w:tcW w:w="3118" w:type="dxa"/>
            <w:vAlign w:val="center"/>
          </w:tcPr>
          <w:p w14:paraId="54DEE7F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160.5</w:t>
            </w:r>
          </w:p>
        </w:tc>
      </w:tr>
      <w:tr w:rsidR="003138BD" w:rsidRPr="00D36911" w14:paraId="71EF7BFC" w14:textId="77777777" w:rsidTr="00D36911">
        <w:trPr>
          <w:trHeight w:val="300"/>
        </w:trPr>
        <w:tc>
          <w:tcPr>
            <w:tcW w:w="1838" w:type="dxa"/>
            <w:noWrap/>
            <w:vAlign w:val="center"/>
            <w:hideMark/>
          </w:tcPr>
          <w:p w14:paraId="1678FB1E" w14:textId="77777777" w:rsidR="003138BD" w:rsidRPr="00D36911" w:rsidRDefault="003138BD">
            <w:pPr>
              <w:keepNext/>
              <w:spacing w:after="0" w:line="240" w:lineRule="auto"/>
              <w:rPr>
                <w:rFonts w:eastAsia="Times New Roman" w:cs="Calibri"/>
                <w:b/>
                <w:bCs/>
              </w:rPr>
            </w:pPr>
            <w:r w:rsidRPr="00D36911">
              <w:rPr>
                <w:rFonts w:eastAsia="Times New Roman" w:cs="Calibri"/>
                <w:b/>
                <w:bCs/>
              </w:rPr>
              <w:t>18 to under 30</w:t>
            </w:r>
          </w:p>
        </w:tc>
        <w:tc>
          <w:tcPr>
            <w:tcW w:w="2977" w:type="dxa"/>
            <w:vAlign w:val="center"/>
          </w:tcPr>
          <w:p w14:paraId="3A466918"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194.2</w:t>
            </w:r>
          </w:p>
        </w:tc>
        <w:tc>
          <w:tcPr>
            <w:tcW w:w="3118" w:type="dxa"/>
            <w:vAlign w:val="center"/>
          </w:tcPr>
          <w:p w14:paraId="3A3A843A"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144.6</w:t>
            </w:r>
          </w:p>
        </w:tc>
      </w:tr>
      <w:tr w:rsidR="003138BD" w:rsidRPr="00D36911" w14:paraId="1650446C" w14:textId="77777777" w:rsidTr="00D36911">
        <w:trPr>
          <w:trHeight w:val="300"/>
        </w:trPr>
        <w:tc>
          <w:tcPr>
            <w:tcW w:w="1838" w:type="dxa"/>
            <w:noWrap/>
            <w:vAlign w:val="center"/>
            <w:hideMark/>
          </w:tcPr>
          <w:p w14:paraId="0B74675D" w14:textId="77777777" w:rsidR="003138BD" w:rsidRPr="00D36911" w:rsidRDefault="003138BD">
            <w:pPr>
              <w:keepNext/>
              <w:spacing w:after="0" w:line="240" w:lineRule="auto"/>
              <w:rPr>
                <w:rFonts w:eastAsia="Times New Roman" w:cs="Calibri"/>
                <w:b/>
                <w:bCs/>
              </w:rPr>
            </w:pPr>
            <w:r w:rsidRPr="00D36911">
              <w:rPr>
                <w:rFonts w:eastAsia="Times New Roman" w:cs="Calibri"/>
                <w:b/>
                <w:bCs/>
              </w:rPr>
              <w:t>30 to under 50</w:t>
            </w:r>
          </w:p>
        </w:tc>
        <w:tc>
          <w:tcPr>
            <w:tcW w:w="2977" w:type="dxa"/>
            <w:vAlign w:val="center"/>
          </w:tcPr>
          <w:p w14:paraId="0BAE1528"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197.3</w:t>
            </w:r>
          </w:p>
        </w:tc>
        <w:tc>
          <w:tcPr>
            <w:tcW w:w="3118" w:type="dxa"/>
            <w:vAlign w:val="center"/>
          </w:tcPr>
          <w:p w14:paraId="306E661D"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160.0</w:t>
            </w:r>
          </w:p>
        </w:tc>
      </w:tr>
      <w:tr w:rsidR="003138BD" w:rsidRPr="00D36911" w14:paraId="43ACEB00" w14:textId="77777777" w:rsidTr="00D36911">
        <w:trPr>
          <w:trHeight w:val="300"/>
        </w:trPr>
        <w:tc>
          <w:tcPr>
            <w:tcW w:w="1838" w:type="dxa"/>
            <w:noWrap/>
            <w:vAlign w:val="center"/>
          </w:tcPr>
          <w:p w14:paraId="205DAD91" w14:textId="77777777" w:rsidR="003138BD" w:rsidRPr="00D36911" w:rsidRDefault="003138BD">
            <w:pPr>
              <w:keepNext/>
              <w:spacing w:after="0" w:line="240" w:lineRule="auto"/>
              <w:rPr>
                <w:rFonts w:eastAsia="Times New Roman" w:cs="Calibri"/>
                <w:b/>
                <w:bCs/>
              </w:rPr>
            </w:pPr>
            <w:r w:rsidRPr="00D36911">
              <w:rPr>
                <w:rFonts w:eastAsia="Times New Roman" w:cs="Calibri"/>
                <w:b/>
                <w:bCs/>
              </w:rPr>
              <w:t>50 to under 65</w:t>
            </w:r>
          </w:p>
        </w:tc>
        <w:tc>
          <w:tcPr>
            <w:tcW w:w="2977" w:type="dxa"/>
            <w:vAlign w:val="center"/>
          </w:tcPr>
          <w:p w14:paraId="44D84E58"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199.6</w:t>
            </w:r>
          </w:p>
        </w:tc>
        <w:tc>
          <w:tcPr>
            <w:tcW w:w="3118" w:type="dxa"/>
            <w:vAlign w:val="center"/>
          </w:tcPr>
          <w:p w14:paraId="3942686D" w14:textId="77777777" w:rsidR="003138BD" w:rsidRPr="00D36911" w:rsidRDefault="003138BD">
            <w:pPr>
              <w:keepNext/>
              <w:spacing w:after="0" w:line="240" w:lineRule="auto"/>
              <w:jc w:val="center"/>
              <w:rPr>
                <w:rFonts w:cs="Calibri"/>
                <w:color w:val="000000"/>
              </w:rPr>
            </w:pPr>
            <w:r w:rsidRPr="00D36911">
              <w:rPr>
                <w:rFonts w:cs="Calibri"/>
                <w:color w:val="000000"/>
              </w:rPr>
              <w:t>158.2</w:t>
            </w:r>
          </w:p>
        </w:tc>
      </w:tr>
      <w:tr w:rsidR="003138BD" w:rsidRPr="00D36911" w14:paraId="51CCBA08" w14:textId="77777777" w:rsidTr="00D36911">
        <w:trPr>
          <w:trHeight w:val="300"/>
        </w:trPr>
        <w:tc>
          <w:tcPr>
            <w:tcW w:w="1838" w:type="dxa"/>
            <w:noWrap/>
            <w:vAlign w:val="center"/>
          </w:tcPr>
          <w:p w14:paraId="5BC02AD3" w14:textId="77777777" w:rsidR="003138BD" w:rsidRPr="00D36911" w:rsidRDefault="003138BD">
            <w:pPr>
              <w:keepNext/>
              <w:spacing w:after="0" w:line="240" w:lineRule="auto"/>
              <w:rPr>
                <w:rFonts w:eastAsia="Times New Roman" w:cs="Calibri"/>
                <w:b/>
                <w:bCs/>
              </w:rPr>
            </w:pPr>
            <w:r w:rsidRPr="00D36911">
              <w:rPr>
                <w:rFonts w:eastAsia="Times New Roman" w:cs="Calibri"/>
                <w:b/>
                <w:bCs/>
              </w:rPr>
              <w:t>65 to under 75</w:t>
            </w:r>
          </w:p>
        </w:tc>
        <w:tc>
          <w:tcPr>
            <w:tcW w:w="2977" w:type="dxa"/>
            <w:vAlign w:val="center"/>
          </w:tcPr>
          <w:p w14:paraId="7637D9F5"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190.9</w:t>
            </w:r>
          </w:p>
        </w:tc>
        <w:tc>
          <w:tcPr>
            <w:tcW w:w="3118" w:type="dxa"/>
            <w:vAlign w:val="center"/>
          </w:tcPr>
          <w:p w14:paraId="57B18F21" w14:textId="77777777" w:rsidR="003138BD" w:rsidRPr="00D36911" w:rsidRDefault="003138BD">
            <w:pPr>
              <w:keepNext/>
              <w:spacing w:after="0" w:line="240" w:lineRule="auto"/>
              <w:jc w:val="center"/>
              <w:rPr>
                <w:rFonts w:cs="Calibri"/>
                <w:color w:val="000000"/>
              </w:rPr>
            </w:pPr>
            <w:r w:rsidRPr="00D36911">
              <w:rPr>
                <w:rFonts w:cs="Calibri"/>
                <w:color w:val="000000"/>
              </w:rPr>
              <w:t>167.1</w:t>
            </w:r>
          </w:p>
        </w:tc>
      </w:tr>
      <w:tr w:rsidR="003138BD" w:rsidRPr="00D36911" w14:paraId="458D8E29" w14:textId="77777777" w:rsidTr="00D36911">
        <w:trPr>
          <w:trHeight w:val="300"/>
        </w:trPr>
        <w:tc>
          <w:tcPr>
            <w:tcW w:w="1838" w:type="dxa"/>
            <w:noWrap/>
            <w:vAlign w:val="center"/>
          </w:tcPr>
          <w:p w14:paraId="3609A4F7" w14:textId="77777777" w:rsidR="003138BD" w:rsidRPr="00D36911" w:rsidRDefault="003138BD">
            <w:pPr>
              <w:keepNext/>
              <w:spacing w:after="0" w:line="240" w:lineRule="auto"/>
              <w:rPr>
                <w:rFonts w:eastAsia="Times New Roman" w:cs="Calibri"/>
                <w:b/>
                <w:bCs/>
              </w:rPr>
            </w:pPr>
            <w:r w:rsidRPr="00D36911">
              <w:rPr>
                <w:rFonts w:eastAsia="Times New Roman" w:cs="Calibri"/>
                <w:b/>
                <w:bCs/>
              </w:rPr>
              <w:t>75+</w:t>
            </w:r>
          </w:p>
        </w:tc>
        <w:tc>
          <w:tcPr>
            <w:tcW w:w="2977" w:type="dxa"/>
            <w:vAlign w:val="center"/>
          </w:tcPr>
          <w:p w14:paraId="2B0A6C53"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193.1</w:t>
            </w:r>
          </w:p>
        </w:tc>
        <w:tc>
          <w:tcPr>
            <w:tcW w:w="3118" w:type="dxa"/>
            <w:vAlign w:val="center"/>
          </w:tcPr>
          <w:p w14:paraId="49EA88C3" w14:textId="77777777" w:rsidR="003138BD" w:rsidRPr="00D36911" w:rsidRDefault="003138BD">
            <w:pPr>
              <w:keepNext/>
              <w:spacing w:after="0" w:line="240" w:lineRule="auto"/>
              <w:jc w:val="center"/>
              <w:rPr>
                <w:rFonts w:cs="Calibri"/>
                <w:color w:val="000000"/>
              </w:rPr>
            </w:pPr>
            <w:r w:rsidRPr="00D36911">
              <w:rPr>
                <w:rFonts w:cs="Calibri"/>
                <w:color w:val="000000"/>
              </w:rPr>
              <w:t>164.6</w:t>
            </w:r>
          </w:p>
        </w:tc>
      </w:tr>
    </w:tbl>
    <w:p w14:paraId="62939542" w14:textId="77777777" w:rsidR="003138BD" w:rsidRDefault="003138BD" w:rsidP="00D36911">
      <w:pPr>
        <w:pStyle w:val="TableTitle"/>
      </w:pPr>
      <w:bookmarkStart w:id="69" w:name="_Ref202956205"/>
      <w:r>
        <w:t xml:space="preserve">Table </w:t>
      </w:r>
      <w:r>
        <w:fldChar w:fldCharType="begin"/>
      </w:r>
      <w:r>
        <w:instrText xml:space="preserve"> SEQ Table \* ARABIC </w:instrText>
      </w:r>
      <w:r>
        <w:fldChar w:fldCharType="separate"/>
      </w:r>
      <w:r>
        <w:rPr>
          <w:noProof/>
        </w:rPr>
        <w:t>9</w:t>
      </w:r>
      <w:r>
        <w:rPr>
          <w:noProof/>
        </w:rPr>
        <w:fldChar w:fldCharType="end"/>
      </w:r>
      <w:bookmarkEnd w:id="69"/>
      <w:r>
        <w:t xml:space="preserve"> - Intake (µg/day) by age for Australia (Source: ABS, 2015, 2011-13 AHS)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51"/>
        <w:gridCol w:w="1767"/>
        <w:gridCol w:w="1107"/>
        <w:gridCol w:w="1417"/>
        <w:gridCol w:w="1700"/>
        <w:gridCol w:w="1275"/>
        <w:gridCol w:w="1417"/>
      </w:tblGrid>
      <w:tr w:rsidR="003138BD" w:rsidRPr="00D36911" w14:paraId="3F8E43C4" w14:textId="77777777" w:rsidTr="00D36911">
        <w:trPr>
          <w:trHeight w:val="300"/>
        </w:trPr>
        <w:tc>
          <w:tcPr>
            <w:tcW w:w="945" w:type="dxa"/>
            <w:vMerge w:val="restart"/>
            <w:noWrap/>
            <w:vAlign w:val="bottom"/>
          </w:tcPr>
          <w:p w14:paraId="52D1E110" w14:textId="77777777" w:rsidR="003138BD" w:rsidRPr="00D36911" w:rsidRDefault="003138BD">
            <w:pPr>
              <w:keepNext/>
              <w:spacing w:after="0" w:line="240" w:lineRule="auto"/>
              <w:rPr>
                <w:rFonts w:eastAsia="Times New Roman" w:cs="Calibri"/>
                <w:b/>
                <w:bCs/>
              </w:rPr>
            </w:pPr>
            <w:r w:rsidRPr="00D36911">
              <w:rPr>
                <w:rFonts w:eastAsia="Times New Roman" w:cs="Calibri"/>
                <w:b/>
                <w:bCs/>
              </w:rPr>
              <w:t>Age groups (years)</w:t>
            </w:r>
          </w:p>
        </w:tc>
        <w:tc>
          <w:tcPr>
            <w:tcW w:w="8689" w:type="dxa"/>
            <w:gridSpan w:val="6"/>
          </w:tcPr>
          <w:p w14:paraId="58B405B7"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xml:space="preserve">Australia </w:t>
            </w:r>
          </w:p>
          <w:p w14:paraId="0D4C34B2"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(AHS 2011-13, ABS 2015)</w:t>
            </w:r>
          </w:p>
        </w:tc>
      </w:tr>
      <w:tr w:rsidR="003138BD" w:rsidRPr="00D36911" w14:paraId="1640373F" w14:textId="77777777" w:rsidTr="00D36911">
        <w:trPr>
          <w:trHeight w:val="300"/>
        </w:trPr>
        <w:tc>
          <w:tcPr>
            <w:tcW w:w="945" w:type="dxa"/>
            <w:vMerge/>
            <w:noWrap/>
            <w:vAlign w:val="bottom"/>
          </w:tcPr>
          <w:p w14:paraId="4FCA8B65" w14:textId="77777777" w:rsidR="003138BD" w:rsidRPr="00D36911" w:rsidRDefault="003138BD">
            <w:pPr>
              <w:keepNext/>
              <w:spacing w:after="0" w:line="240" w:lineRule="auto"/>
              <w:rPr>
                <w:rFonts w:eastAsia="Times New Roman" w:cs="Calibri"/>
                <w:b/>
                <w:bCs/>
              </w:rPr>
            </w:pPr>
          </w:p>
        </w:tc>
        <w:tc>
          <w:tcPr>
            <w:tcW w:w="4295" w:type="dxa"/>
            <w:gridSpan w:val="3"/>
          </w:tcPr>
          <w:p w14:paraId="28528FB0"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Males</w:t>
            </w:r>
          </w:p>
        </w:tc>
        <w:tc>
          <w:tcPr>
            <w:tcW w:w="4394" w:type="dxa"/>
            <w:gridSpan w:val="3"/>
          </w:tcPr>
          <w:p w14:paraId="025F1F4B"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Females</w:t>
            </w:r>
          </w:p>
        </w:tc>
      </w:tr>
      <w:tr w:rsidR="003138BD" w:rsidRPr="00D36911" w14:paraId="500A5824" w14:textId="77777777" w:rsidTr="00D36911">
        <w:trPr>
          <w:trHeight w:val="300"/>
        </w:trPr>
        <w:tc>
          <w:tcPr>
            <w:tcW w:w="945" w:type="dxa"/>
            <w:vMerge/>
            <w:noWrap/>
            <w:vAlign w:val="bottom"/>
            <w:hideMark/>
          </w:tcPr>
          <w:p w14:paraId="38942BCE" w14:textId="77777777" w:rsidR="003138BD" w:rsidRPr="00D36911" w:rsidRDefault="003138BD">
            <w:pPr>
              <w:keepNext/>
              <w:spacing w:after="0" w:line="240" w:lineRule="auto"/>
              <w:rPr>
                <w:rFonts w:eastAsia="Times New Roman" w:cs="Calibri"/>
                <w:b/>
                <w:bCs/>
              </w:rPr>
            </w:pPr>
          </w:p>
        </w:tc>
        <w:tc>
          <w:tcPr>
            <w:tcW w:w="1770" w:type="dxa"/>
          </w:tcPr>
          <w:p w14:paraId="276145FE"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xml:space="preserve">Intake </w:t>
            </w:r>
            <w:proofErr w:type="gramStart"/>
            <w:r w:rsidRPr="00D36911">
              <w:rPr>
                <w:rFonts w:eastAsia="Times New Roman" w:cs="Calibri"/>
                <w:b/>
                <w:bCs/>
              </w:rPr>
              <w:t>( µ</w:t>
            </w:r>
            <w:proofErr w:type="gramEnd"/>
            <w:r w:rsidRPr="00D36911">
              <w:rPr>
                <w:rFonts w:eastAsia="Times New Roman" w:cs="Calibri"/>
                <w:b/>
                <w:bCs/>
              </w:rPr>
              <w:t xml:space="preserve">g/day) </w:t>
            </w:r>
          </w:p>
          <w:p w14:paraId="59C6F80A"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Mean (95% CI)</w:t>
            </w:r>
          </w:p>
        </w:tc>
        <w:tc>
          <w:tcPr>
            <w:tcW w:w="1108" w:type="dxa"/>
          </w:tcPr>
          <w:p w14:paraId="41267E82"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less than EAR</w:t>
            </w:r>
          </w:p>
        </w:tc>
        <w:tc>
          <w:tcPr>
            <w:tcW w:w="1417" w:type="dxa"/>
          </w:tcPr>
          <w:p w14:paraId="7CD02A1F"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exceeding UL</w:t>
            </w:r>
          </w:p>
        </w:tc>
        <w:tc>
          <w:tcPr>
            <w:tcW w:w="1701" w:type="dxa"/>
          </w:tcPr>
          <w:p w14:paraId="58ECF2DA"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xml:space="preserve">Intake (µg/day) </w:t>
            </w:r>
          </w:p>
          <w:p w14:paraId="152D7E53"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Mean (95% CI)</w:t>
            </w:r>
          </w:p>
        </w:tc>
        <w:tc>
          <w:tcPr>
            <w:tcW w:w="1276" w:type="dxa"/>
          </w:tcPr>
          <w:p w14:paraId="0D53E390"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less than EAR</w:t>
            </w:r>
          </w:p>
        </w:tc>
        <w:tc>
          <w:tcPr>
            <w:tcW w:w="1417" w:type="dxa"/>
          </w:tcPr>
          <w:p w14:paraId="664DC1A2" w14:textId="77777777" w:rsidR="003138BD" w:rsidRPr="00D36911" w:rsidRDefault="003138BD">
            <w:pPr>
              <w:keepNext/>
              <w:spacing w:after="0" w:line="240" w:lineRule="auto"/>
              <w:jc w:val="center"/>
              <w:rPr>
                <w:rFonts w:eastAsia="Times New Roman" w:cs="Calibri"/>
                <w:b/>
                <w:bCs/>
              </w:rPr>
            </w:pPr>
            <w:r w:rsidRPr="00D36911">
              <w:rPr>
                <w:rFonts w:eastAsia="Times New Roman" w:cs="Calibri"/>
                <w:b/>
                <w:bCs/>
              </w:rPr>
              <w:t>% exceeding UL</w:t>
            </w:r>
          </w:p>
        </w:tc>
      </w:tr>
      <w:tr w:rsidR="003138BD" w:rsidRPr="00D36911" w14:paraId="622AC75F" w14:textId="77777777" w:rsidTr="00D36911">
        <w:trPr>
          <w:trHeight w:val="300"/>
        </w:trPr>
        <w:tc>
          <w:tcPr>
            <w:tcW w:w="945" w:type="dxa"/>
            <w:noWrap/>
            <w:vAlign w:val="bottom"/>
          </w:tcPr>
          <w:p w14:paraId="37E43352" w14:textId="77777777" w:rsidR="003138BD" w:rsidRPr="00D36911" w:rsidRDefault="003138BD">
            <w:pPr>
              <w:keepNext/>
              <w:spacing w:after="0" w:line="240" w:lineRule="auto"/>
              <w:rPr>
                <w:rFonts w:eastAsia="Times New Roman" w:cs="Calibri"/>
                <w:b/>
                <w:bCs/>
              </w:rPr>
            </w:pPr>
            <w:r w:rsidRPr="00D36911">
              <w:rPr>
                <w:rFonts w:eastAsia="Times New Roman" w:cs="Calibri"/>
                <w:b/>
                <w:bCs/>
              </w:rPr>
              <w:t>2-3</w:t>
            </w:r>
          </w:p>
        </w:tc>
        <w:tc>
          <w:tcPr>
            <w:tcW w:w="1770" w:type="dxa"/>
          </w:tcPr>
          <w:p w14:paraId="4891AD40"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157 (100 - 222)</w:t>
            </w:r>
          </w:p>
        </w:tc>
        <w:tc>
          <w:tcPr>
            <w:tcW w:w="1108" w:type="dxa"/>
          </w:tcPr>
          <w:p w14:paraId="17B04FA3"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0.1%</w:t>
            </w:r>
          </w:p>
        </w:tc>
        <w:tc>
          <w:tcPr>
            <w:tcW w:w="1417" w:type="dxa"/>
          </w:tcPr>
          <w:p w14:paraId="61EBDC75"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12.9%</w:t>
            </w:r>
          </w:p>
        </w:tc>
        <w:tc>
          <w:tcPr>
            <w:tcW w:w="1701" w:type="dxa"/>
          </w:tcPr>
          <w:p w14:paraId="30754FD8"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141 (88 - 202)</w:t>
            </w:r>
          </w:p>
        </w:tc>
        <w:tc>
          <w:tcPr>
            <w:tcW w:w="1276" w:type="dxa"/>
          </w:tcPr>
          <w:p w14:paraId="1F84D50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0.5%</w:t>
            </w:r>
          </w:p>
        </w:tc>
        <w:tc>
          <w:tcPr>
            <w:tcW w:w="1417" w:type="dxa"/>
          </w:tcPr>
          <w:p w14:paraId="45EE4DC8"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5.6%</w:t>
            </w:r>
          </w:p>
        </w:tc>
      </w:tr>
      <w:tr w:rsidR="003138BD" w:rsidRPr="00D36911" w14:paraId="2AD9886B" w14:textId="77777777" w:rsidTr="00D36911">
        <w:trPr>
          <w:trHeight w:val="300"/>
        </w:trPr>
        <w:tc>
          <w:tcPr>
            <w:tcW w:w="945" w:type="dxa"/>
            <w:noWrap/>
            <w:vAlign w:val="bottom"/>
            <w:hideMark/>
          </w:tcPr>
          <w:p w14:paraId="1E2F7FED" w14:textId="77777777" w:rsidR="003138BD" w:rsidRPr="00D36911" w:rsidRDefault="003138BD">
            <w:pPr>
              <w:keepNext/>
              <w:spacing w:after="0" w:line="240" w:lineRule="auto"/>
              <w:rPr>
                <w:rFonts w:eastAsia="Times New Roman" w:cs="Calibri"/>
                <w:b/>
                <w:bCs/>
              </w:rPr>
            </w:pPr>
            <w:r w:rsidRPr="00D36911">
              <w:rPr>
                <w:rFonts w:eastAsia="Times New Roman" w:cs="Calibri"/>
                <w:b/>
                <w:bCs/>
              </w:rPr>
              <w:t>4-8</w:t>
            </w:r>
          </w:p>
        </w:tc>
        <w:tc>
          <w:tcPr>
            <w:tcW w:w="1770" w:type="dxa"/>
          </w:tcPr>
          <w:p w14:paraId="1F4B569B"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164 (106 - 231)</w:t>
            </w:r>
          </w:p>
        </w:tc>
        <w:tc>
          <w:tcPr>
            <w:tcW w:w="1108" w:type="dxa"/>
          </w:tcPr>
          <w:p w14:paraId="284631E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0.1%</w:t>
            </w:r>
          </w:p>
        </w:tc>
        <w:tc>
          <w:tcPr>
            <w:tcW w:w="1417" w:type="dxa"/>
          </w:tcPr>
          <w:p w14:paraId="27F64517"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0.1%</w:t>
            </w:r>
          </w:p>
        </w:tc>
        <w:tc>
          <w:tcPr>
            <w:tcW w:w="1701" w:type="dxa"/>
          </w:tcPr>
          <w:p w14:paraId="2DC53DBA"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148 (93 - 210)</w:t>
            </w:r>
          </w:p>
        </w:tc>
        <w:tc>
          <w:tcPr>
            <w:tcW w:w="1276" w:type="dxa"/>
          </w:tcPr>
          <w:p w14:paraId="02DDCF28"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0.3%</w:t>
            </w:r>
          </w:p>
        </w:tc>
        <w:tc>
          <w:tcPr>
            <w:tcW w:w="1417" w:type="dxa"/>
          </w:tcPr>
          <w:p w14:paraId="1260E90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r>
      <w:tr w:rsidR="003138BD" w:rsidRPr="00D36911" w14:paraId="1D2DF1FF" w14:textId="77777777" w:rsidTr="00D36911">
        <w:trPr>
          <w:trHeight w:val="300"/>
        </w:trPr>
        <w:tc>
          <w:tcPr>
            <w:tcW w:w="945" w:type="dxa"/>
            <w:noWrap/>
            <w:vAlign w:val="bottom"/>
            <w:hideMark/>
          </w:tcPr>
          <w:p w14:paraId="7653428A" w14:textId="77777777" w:rsidR="003138BD" w:rsidRPr="00D36911" w:rsidRDefault="003138BD">
            <w:pPr>
              <w:keepNext/>
              <w:spacing w:after="0" w:line="240" w:lineRule="auto"/>
              <w:rPr>
                <w:rFonts w:eastAsia="Times New Roman" w:cs="Calibri"/>
                <w:b/>
                <w:bCs/>
              </w:rPr>
            </w:pPr>
            <w:r w:rsidRPr="00D36911">
              <w:rPr>
                <w:rFonts w:eastAsia="Times New Roman" w:cs="Calibri"/>
                <w:b/>
                <w:bCs/>
              </w:rPr>
              <w:t>9-13</w:t>
            </w:r>
          </w:p>
        </w:tc>
        <w:tc>
          <w:tcPr>
            <w:tcW w:w="1770" w:type="dxa"/>
          </w:tcPr>
          <w:p w14:paraId="732CA7E2"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190 (111 - 285)</w:t>
            </w:r>
          </w:p>
        </w:tc>
        <w:tc>
          <w:tcPr>
            <w:tcW w:w="1108" w:type="dxa"/>
          </w:tcPr>
          <w:p w14:paraId="13317DC5"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0.3%</w:t>
            </w:r>
          </w:p>
        </w:tc>
        <w:tc>
          <w:tcPr>
            <w:tcW w:w="1417" w:type="dxa"/>
          </w:tcPr>
          <w:p w14:paraId="6CB29AFF"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c>
          <w:tcPr>
            <w:tcW w:w="1701" w:type="dxa"/>
          </w:tcPr>
          <w:p w14:paraId="1AF11DD4"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169 (102 - 247)</w:t>
            </w:r>
          </w:p>
        </w:tc>
        <w:tc>
          <w:tcPr>
            <w:tcW w:w="1276" w:type="dxa"/>
          </w:tcPr>
          <w:p w14:paraId="2F1204CA"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0.5%</w:t>
            </w:r>
          </w:p>
        </w:tc>
        <w:tc>
          <w:tcPr>
            <w:tcW w:w="1417" w:type="dxa"/>
          </w:tcPr>
          <w:p w14:paraId="614E8AC1"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r>
      <w:tr w:rsidR="003138BD" w:rsidRPr="00D36911" w14:paraId="7413CDC9" w14:textId="77777777" w:rsidTr="00D36911">
        <w:trPr>
          <w:trHeight w:val="300"/>
        </w:trPr>
        <w:tc>
          <w:tcPr>
            <w:tcW w:w="945" w:type="dxa"/>
            <w:noWrap/>
            <w:vAlign w:val="bottom"/>
            <w:hideMark/>
          </w:tcPr>
          <w:p w14:paraId="06A97BFD" w14:textId="77777777" w:rsidR="003138BD" w:rsidRPr="00D36911" w:rsidRDefault="003138BD">
            <w:pPr>
              <w:keepNext/>
              <w:spacing w:after="0" w:line="240" w:lineRule="auto"/>
              <w:rPr>
                <w:rFonts w:eastAsia="Times New Roman" w:cs="Calibri"/>
                <w:b/>
                <w:bCs/>
              </w:rPr>
            </w:pPr>
            <w:r w:rsidRPr="00D36911">
              <w:rPr>
                <w:rFonts w:eastAsia="Times New Roman" w:cs="Calibri"/>
                <w:b/>
                <w:bCs/>
              </w:rPr>
              <w:t>14-18</w:t>
            </w:r>
          </w:p>
        </w:tc>
        <w:tc>
          <w:tcPr>
            <w:tcW w:w="1770" w:type="dxa"/>
          </w:tcPr>
          <w:p w14:paraId="2F063CCD"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205 (123 - 303)</w:t>
            </w:r>
          </w:p>
        </w:tc>
        <w:tc>
          <w:tcPr>
            <w:tcW w:w="1108" w:type="dxa"/>
          </w:tcPr>
          <w:p w14:paraId="1D575E8A"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0.8%</w:t>
            </w:r>
          </w:p>
        </w:tc>
        <w:tc>
          <w:tcPr>
            <w:tcW w:w="1417" w:type="dxa"/>
          </w:tcPr>
          <w:p w14:paraId="3BD29459"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c>
          <w:tcPr>
            <w:tcW w:w="1701" w:type="dxa"/>
          </w:tcPr>
          <w:p w14:paraId="1891E75C"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153 (91 - 229)</w:t>
            </w:r>
          </w:p>
        </w:tc>
        <w:tc>
          <w:tcPr>
            <w:tcW w:w="1276" w:type="dxa"/>
          </w:tcPr>
          <w:p w14:paraId="306583C6"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6.4%</w:t>
            </w:r>
          </w:p>
        </w:tc>
        <w:tc>
          <w:tcPr>
            <w:tcW w:w="1417" w:type="dxa"/>
          </w:tcPr>
          <w:p w14:paraId="417D041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r>
      <w:tr w:rsidR="003138BD" w:rsidRPr="00D36911" w14:paraId="090A7055" w14:textId="77777777" w:rsidTr="00D36911">
        <w:trPr>
          <w:trHeight w:val="300"/>
        </w:trPr>
        <w:tc>
          <w:tcPr>
            <w:tcW w:w="945" w:type="dxa"/>
            <w:noWrap/>
            <w:vAlign w:val="bottom"/>
          </w:tcPr>
          <w:p w14:paraId="36CA7E86" w14:textId="77777777" w:rsidR="003138BD" w:rsidRPr="00D36911" w:rsidRDefault="003138BD">
            <w:pPr>
              <w:keepNext/>
              <w:spacing w:after="0" w:line="240" w:lineRule="auto"/>
              <w:rPr>
                <w:rFonts w:eastAsia="Times New Roman" w:cs="Calibri"/>
                <w:b/>
                <w:bCs/>
              </w:rPr>
            </w:pPr>
            <w:r w:rsidRPr="00D36911">
              <w:rPr>
                <w:rFonts w:eastAsia="Times New Roman" w:cs="Calibri"/>
                <w:b/>
                <w:bCs/>
              </w:rPr>
              <w:t>19-30</w:t>
            </w:r>
          </w:p>
        </w:tc>
        <w:tc>
          <w:tcPr>
            <w:tcW w:w="1770" w:type="dxa"/>
          </w:tcPr>
          <w:p w14:paraId="1164A0B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202 (120 - 299)</w:t>
            </w:r>
          </w:p>
        </w:tc>
        <w:tc>
          <w:tcPr>
            <w:tcW w:w="1108" w:type="dxa"/>
          </w:tcPr>
          <w:p w14:paraId="5C774621"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1.5%</w:t>
            </w:r>
          </w:p>
        </w:tc>
        <w:tc>
          <w:tcPr>
            <w:tcW w:w="1417" w:type="dxa"/>
          </w:tcPr>
          <w:p w14:paraId="66CA472A"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c>
          <w:tcPr>
            <w:tcW w:w="1701" w:type="dxa"/>
          </w:tcPr>
          <w:p w14:paraId="7918F4AA"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146 (86 - 218)</w:t>
            </w:r>
          </w:p>
        </w:tc>
        <w:tc>
          <w:tcPr>
            <w:tcW w:w="1276" w:type="dxa"/>
          </w:tcPr>
          <w:p w14:paraId="4D6F18DD"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11.7%</w:t>
            </w:r>
          </w:p>
        </w:tc>
        <w:tc>
          <w:tcPr>
            <w:tcW w:w="1417" w:type="dxa"/>
          </w:tcPr>
          <w:p w14:paraId="3A19C0E9"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r>
      <w:tr w:rsidR="003138BD" w:rsidRPr="00D36911" w14:paraId="76EF3ECA" w14:textId="77777777" w:rsidTr="00D36911">
        <w:trPr>
          <w:trHeight w:val="300"/>
        </w:trPr>
        <w:tc>
          <w:tcPr>
            <w:tcW w:w="945" w:type="dxa"/>
            <w:noWrap/>
            <w:vAlign w:val="bottom"/>
            <w:hideMark/>
          </w:tcPr>
          <w:p w14:paraId="70841D81" w14:textId="77777777" w:rsidR="003138BD" w:rsidRPr="00D36911" w:rsidRDefault="003138BD">
            <w:pPr>
              <w:keepNext/>
              <w:spacing w:after="0" w:line="240" w:lineRule="auto"/>
              <w:rPr>
                <w:rFonts w:eastAsia="Times New Roman" w:cs="Calibri"/>
                <w:b/>
                <w:bCs/>
              </w:rPr>
            </w:pPr>
            <w:r w:rsidRPr="00D36911">
              <w:rPr>
                <w:rFonts w:eastAsia="Times New Roman" w:cs="Calibri"/>
                <w:b/>
                <w:bCs/>
              </w:rPr>
              <w:t>31-50</w:t>
            </w:r>
          </w:p>
        </w:tc>
        <w:tc>
          <w:tcPr>
            <w:tcW w:w="1770" w:type="dxa"/>
          </w:tcPr>
          <w:p w14:paraId="176CD9A6"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200 (119 - 297)</w:t>
            </w:r>
          </w:p>
        </w:tc>
        <w:tc>
          <w:tcPr>
            <w:tcW w:w="1108" w:type="dxa"/>
          </w:tcPr>
          <w:p w14:paraId="45E66B7A"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1.6%</w:t>
            </w:r>
          </w:p>
        </w:tc>
        <w:tc>
          <w:tcPr>
            <w:tcW w:w="1417" w:type="dxa"/>
          </w:tcPr>
          <w:p w14:paraId="33B60DAC"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c>
          <w:tcPr>
            <w:tcW w:w="1701" w:type="dxa"/>
          </w:tcPr>
          <w:p w14:paraId="6A375DF7"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152 (91 - 226)</w:t>
            </w:r>
          </w:p>
        </w:tc>
        <w:tc>
          <w:tcPr>
            <w:tcW w:w="1276" w:type="dxa"/>
          </w:tcPr>
          <w:p w14:paraId="691CCEC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9.0%</w:t>
            </w:r>
          </w:p>
        </w:tc>
        <w:tc>
          <w:tcPr>
            <w:tcW w:w="1417" w:type="dxa"/>
          </w:tcPr>
          <w:p w14:paraId="11369B44"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r>
      <w:tr w:rsidR="003138BD" w:rsidRPr="00D36911" w14:paraId="25FD871F" w14:textId="77777777" w:rsidTr="00D36911">
        <w:trPr>
          <w:trHeight w:val="300"/>
        </w:trPr>
        <w:tc>
          <w:tcPr>
            <w:tcW w:w="945" w:type="dxa"/>
            <w:noWrap/>
            <w:vAlign w:val="bottom"/>
            <w:hideMark/>
          </w:tcPr>
          <w:p w14:paraId="5348C956" w14:textId="77777777" w:rsidR="003138BD" w:rsidRPr="00D36911" w:rsidRDefault="003138BD">
            <w:pPr>
              <w:keepNext/>
              <w:spacing w:after="0" w:line="240" w:lineRule="auto"/>
              <w:rPr>
                <w:rFonts w:eastAsia="Times New Roman" w:cs="Calibri"/>
                <w:b/>
                <w:bCs/>
              </w:rPr>
            </w:pPr>
            <w:r w:rsidRPr="00D36911">
              <w:rPr>
                <w:rFonts w:eastAsia="Times New Roman" w:cs="Calibri"/>
                <w:b/>
                <w:bCs/>
              </w:rPr>
              <w:t>51-70</w:t>
            </w:r>
          </w:p>
        </w:tc>
        <w:tc>
          <w:tcPr>
            <w:tcW w:w="1770" w:type="dxa"/>
          </w:tcPr>
          <w:p w14:paraId="2A60CF1F"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182 (106 - 274)</w:t>
            </w:r>
          </w:p>
        </w:tc>
        <w:tc>
          <w:tcPr>
            <w:tcW w:w="1108" w:type="dxa"/>
          </w:tcPr>
          <w:p w14:paraId="5EF69ACC"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3.5%</w:t>
            </w:r>
          </w:p>
        </w:tc>
        <w:tc>
          <w:tcPr>
            <w:tcW w:w="1417" w:type="dxa"/>
          </w:tcPr>
          <w:p w14:paraId="359D6957"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c>
          <w:tcPr>
            <w:tcW w:w="1701" w:type="dxa"/>
          </w:tcPr>
          <w:p w14:paraId="72DEF14A"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149 (89 - 221)</w:t>
            </w:r>
          </w:p>
        </w:tc>
        <w:tc>
          <w:tcPr>
            <w:tcW w:w="1276" w:type="dxa"/>
          </w:tcPr>
          <w:p w14:paraId="6DDB970C"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10.5%</w:t>
            </w:r>
          </w:p>
        </w:tc>
        <w:tc>
          <w:tcPr>
            <w:tcW w:w="1417" w:type="dxa"/>
          </w:tcPr>
          <w:p w14:paraId="1C3E883F"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r>
      <w:tr w:rsidR="003138BD" w:rsidRPr="00D36911" w14:paraId="26DF8CF0" w14:textId="77777777" w:rsidTr="00D36911">
        <w:trPr>
          <w:trHeight w:val="300"/>
        </w:trPr>
        <w:tc>
          <w:tcPr>
            <w:tcW w:w="945" w:type="dxa"/>
            <w:noWrap/>
            <w:vAlign w:val="bottom"/>
            <w:hideMark/>
          </w:tcPr>
          <w:p w14:paraId="0A356683" w14:textId="77777777" w:rsidR="003138BD" w:rsidRPr="00D36911" w:rsidRDefault="003138BD">
            <w:pPr>
              <w:keepNext/>
              <w:spacing w:after="0" w:line="240" w:lineRule="auto"/>
              <w:rPr>
                <w:rFonts w:eastAsia="Times New Roman" w:cs="Calibri"/>
                <w:b/>
                <w:bCs/>
              </w:rPr>
            </w:pPr>
            <w:r w:rsidRPr="00D36911">
              <w:rPr>
                <w:rFonts w:eastAsia="Times New Roman" w:cs="Calibri"/>
                <w:b/>
                <w:bCs/>
              </w:rPr>
              <w:t>71 and over</w:t>
            </w:r>
          </w:p>
        </w:tc>
        <w:tc>
          <w:tcPr>
            <w:tcW w:w="1770" w:type="dxa"/>
          </w:tcPr>
          <w:p w14:paraId="3DAA768C"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178 (103 - 270)</w:t>
            </w:r>
          </w:p>
        </w:tc>
        <w:tc>
          <w:tcPr>
            <w:tcW w:w="1108" w:type="dxa"/>
          </w:tcPr>
          <w:p w14:paraId="4F92B339"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4.2%</w:t>
            </w:r>
          </w:p>
        </w:tc>
        <w:tc>
          <w:tcPr>
            <w:tcW w:w="1417" w:type="dxa"/>
          </w:tcPr>
          <w:p w14:paraId="49F26DCB"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c>
          <w:tcPr>
            <w:tcW w:w="1701" w:type="dxa"/>
          </w:tcPr>
          <w:p w14:paraId="746AE7A6"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151 (91 - 224)</w:t>
            </w:r>
          </w:p>
        </w:tc>
        <w:tc>
          <w:tcPr>
            <w:tcW w:w="1276" w:type="dxa"/>
          </w:tcPr>
          <w:p w14:paraId="4445C284"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9.2%</w:t>
            </w:r>
          </w:p>
        </w:tc>
        <w:tc>
          <w:tcPr>
            <w:tcW w:w="1417" w:type="dxa"/>
          </w:tcPr>
          <w:p w14:paraId="43441B7E" w14:textId="77777777" w:rsidR="003138BD" w:rsidRPr="00D36911" w:rsidRDefault="003138BD">
            <w:pPr>
              <w:keepNext/>
              <w:spacing w:after="0" w:line="240" w:lineRule="auto"/>
              <w:jc w:val="center"/>
              <w:rPr>
                <w:rFonts w:eastAsia="Times New Roman" w:cs="Calibri"/>
                <w:color w:val="000000"/>
              </w:rPr>
            </w:pPr>
            <w:r w:rsidRPr="00D36911">
              <w:rPr>
                <w:rFonts w:eastAsia="Times New Roman" w:cs="Calibri"/>
                <w:color w:val="000000"/>
              </w:rPr>
              <w:t>0%</w:t>
            </w:r>
          </w:p>
        </w:tc>
      </w:tr>
    </w:tbl>
    <w:p w14:paraId="692E96B2" w14:textId="77777777" w:rsidR="003138BD" w:rsidRDefault="003138BD" w:rsidP="003138BD"/>
    <w:p w14:paraId="3B581DC1" w14:textId="77777777" w:rsidR="003138BD" w:rsidRDefault="003138BD" w:rsidP="003138BD">
      <w:r>
        <w:t xml:space="preserve">A 2019 review of studies evaluating iodine status in pregnant and lactating women post-fortification found that mild deficiency remains an issue among the Australian population (Hurley et al 2019). Of the 7 studies identified, the majority (N=4) reported median UIC &lt;150 µg/L. Of the three studies that indicated iodine replete status (median UIC &gt;150 µg/L) two reported population sufficiency without use of an iodine supplement. </w:t>
      </w:r>
    </w:p>
    <w:p w14:paraId="3E7A4EF4" w14:textId="77777777" w:rsidR="003138BD" w:rsidRDefault="003138BD" w:rsidP="003138BD">
      <w:r>
        <w:lastRenderedPageBreak/>
        <w:t xml:space="preserve">A 2016 study comparing breast milk iodine concentration (BMIC) in lactating women pre- and post- fortification (Huynh et al 2016) found a significant increase in both BMIC and the percentage with BMIC &lt;100 µg/L (the epidemiological threshold for adequacy). However, the percentage of women with BMIC &lt;100 µg/L was significantly lower with use of an iodine supplement during pregnancy, suggesting an ongoing role of iodine supplementation in Australian women during pregnancy - and potentially lactation - to ensure that intakes are sufficient. </w:t>
      </w:r>
    </w:p>
    <w:p w14:paraId="7533B84F" w14:textId="77777777" w:rsidR="003138BD" w:rsidRPr="00C059F4" w:rsidRDefault="003138BD" w:rsidP="003138BD">
      <w:r>
        <w:t xml:space="preserve">These findings were echoed in a 2016 analysis of BMIC in 55 lactating women in Western Australia, which found that BMIC of most women indicated sufficiency. More than half of participants were taking an iodine supplement (57.4%), with supplementation associated with higher BMIC (Jorgensen et al 2016).  </w:t>
      </w:r>
    </w:p>
    <w:p w14:paraId="5C32AE73" w14:textId="77777777" w:rsidR="003138BD" w:rsidRPr="000331EA" w:rsidRDefault="003138BD" w:rsidP="00D36911">
      <w:pPr>
        <w:pStyle w:val="Heading5"/>
      </w:pPr>
      <w:r>
        <w:t>Sensitive or at-risk groups</w:t>
      </w:r>
    </w:p>
    <w:p w14:paraId="1F5B6671" w14:textId="77777777" w:rsidR="003138BD" w:rsidRPr="006A1B5F" w:rsidRDefault="003138BD" w:rsidP="00D36911">
      <w:pPr>
        <w:pStyle w:val="Heading6"/>
      </w:pPr>
      <w:r>
        <w:t>P</w:t>
      </w:r>
      <w:r w:rsidRPr="006A1B5F">
        <w:t>lant-</w:t>
      </w:r>
      <w:r>
        <w:t xml:space="preserve">forward </w:t>
      </w:r>
      <w:r w:rsidRPr="006A1B5F">
        <w:t>diets</w:t>
      </w:r>
    </w:p>
    <w:p w14:paraId="1075CFC6" w14:textId="77777777" w:rsidR="003138BD" w:rsidRDefault="003138BD" w:rsidP="003138BD">
      <w:r>
        <w:t>A recent pilot study examined median UIC in 57 women aged 18 to 50 years, comparing urinary iodine in those consuming a plant-based (vegan) diet with omnivorous diets (Whitbread et al 2021). Both groups had median UIC less than the 100 µg/L threshold for population sufficiency, with median UIC in vegan women &lt;50 µg/L. Urinary iodine was significantly lower in vegan women compared with those who ate an omnivorous diet (44 µg/L vs 64 µg/L, p=0.04). This study suggests that women who eat a plant-based (vegan) diet in Australia may be at greater risk of iodine deficiency. The authors suggested that further research was warranted to explore potential iodine deficiency in Australian women, particularly in those of reproductive age.</w:t>
      </w:r>
    </w:p>
    <w:p w14:paraId="12B0A6CA" w14:textId="77777777" w:rsidR="003138BD" w:rsidRDefault="003138BD" w:rsidP="003138BD">
      <w:r>
        <w:t xml:space="preserve">Data also suggests that consumers of plant-based milks may also be at increased risk of iodine deficiency, with 13.7% of dietary iodine intake from milk (ABS, 2025c). A recent analysis of Australian plant-based milks found significantly lower levels of iodine compared with </w:t>
      </w:r>
      <w:proofErr w:type="spellStart"/>
      <w:proofErr w:type="gramStart"/>
      <w:r>
        <w:t>cows</w:t>
      </w:r>
      <w:proofErr w:type="spellEnd"/>
      <w:proofErr w:type="gramEnd"/>
      <w:r>
        <w:t xml:space="preserve"> milk (Harmer et al 2025).</w:t>
      </w:r>
    </w:p>
    <w:p w14:paraId="1DFB4E47" w14:textId="77777777" w:rsidR="003138BD" w:rsidRDefault="003138BD" w:rsidP="003138BD">
      <w:pPr>
        <w:rPr>
          <w:rFonts w:eastAsia="Times New Roman"/>
          <w:szCs w:val="20"/>
        </w:rPr>
      </w:pPr>
      <w:r>
        <w:rPr>
          <w:rFonts w:eastAsia="Times New Roman"/>
          <w:szCs w:val="20"/>
        </w:rPr>
        <w:t xml:space="preserve">Ensuring that these groups achieve intakes aligned with recommendations is increasingly important, with growing interest in plant-forward diets with lower animal product consumption (Riverola et al. 2023). </w:t>
      </w:r>
    </w:p>
    <w:p w14:paraId="4CF6CACA" w14:textId="77777777" w:rsidR="003138BD" w:rsidRPr="006A1B5F" w:rsidRDefault="003138BD" w:rsidP="00D36911">
      <w:pPr>
        <w:pStyle w:val="Heading6"/>
      </w:pPr>
      <w:r>
        <w:t>Low bread intake</w:t>
      </w:r>
    </w:p>
    <w:p w14:paraId="32CE8EC9" w14:textId="77777777" w:rsidR="003138BD" w:rsidRDefault="003138BD" w:rsidP="003138BD">
      <w:r>
        <w:rPr>
          <w:rFonts w:eastAsia="Times New Roman"/>
          <w:szCs w:val="20"/>
        </w:rPr>
        <w:t xml:space="preserve">Recent national data suggests that bread consumption is in decline, with apparent consumption </w:t>
      </w:r>
      <w:r w:rsidRPr="00802820">
        <w:rPr>
          <w:rFonts w:eastAsia="Times New Roman"/>
          <w:szCs w:val="20"/>
        </w:rPr>
        <w:t xml:space="preserve">of breads and </w:t>
      </w:r>
      <w:proofErr w:type="gramStart"/>
      <w:r w:rsidRPr="00802820">
        <w:rPr>
          <w:rFonts w:eastAsia="Times New Roman"/>
          <w:szCs w:val="20"/>
        </w:rPr>
        <w:t>bread</w:t>
      </w:r>
      <w:proofErr w:type="gramEnd"/>
      <w:r w:rsidRPr="00802820">
        <w:rPr>
          <w:rFonts w:eastAsia="Times New Roman"/>
          <w:szCs w:val="20"/>
        </w:rPr>
        <w:t xml:space="preserve"> rolls 4.4g/day lower (down by 7.7%) in 2023-24 compared with 2018-19 data (ABS</w:t>
      </w:r>
      <w:r>
        <w:rPr>
          <w:rFonts w:eastAsia="Times New Roman"/>
          <w:szCs w:val="20"/>
        </w:rPr>
        <w:t>,</w:t>
      </w:r>
      <w:r w:rsidRPr="00802820">
        <w:rPr>
          <w:rFonts w:eastAsia="Times New Roman"/>
          <w:szCs w:val="20"/>
        </w:rPr>
        <w:t xml:space="preserve"> 2025b</w:t>
      </w:r>
      <w:r>
        <w:rPr>
          <w:rFonts w:eastAsia="Times New Roman"/>
          <w:szCs w:val="20"/>
        </w:rPr>
        <w:t xml:space="preserve">). These findings are echoed by results from the 2023 NNPAS (ABS, 2025c), which reported bread and bread roll consumption of 33.9g/day for 2 - </w:t>
      </w:r>
      <w:proofErr w:type="gramStart"/>
      <w:r>
        <w:rPr>
          <w:rFonts w:eastAsia="Times New Roman"/>
          <w:szCs w:val="20"/>
        </w:rPr>
        <w:t>17 year olds</w:t>
      </w:r>
      <w:proofErr w:type="gramEnd"/>
      <w:r>
        <w:rPr>
          <w:rFonts w:eastAsia="Times New Roman"/>
          <w:szCs w:val="20"/>
        </w:rPr>
        <w:t xml:space="preserve"> and 31.7g/day for adults aged 18 years and older. This is significantly lower than consumption reported in the 2011-12 NNPAS (ABS, 2015) of 66.8g/day in 2 - </w:t>
      </w:r>
      <w:proofErr w:type="gramStart"/>
      <w:r>
        <w:rPr>
          <w:rFonts w:eastAsia="Times New Roman"/>
          <w:szCs w:val="20"/>
        </w:rPr>
        <w:t>18 year olds</w:t>
      </w:r>
      <w:proofErr w:type="gramEnd"/>
      <w:r>
        <w:rPr>
          <w:rFonts w:eastAsia="Times New Roman"/>
          <w:szCs w:val="20"/>
        </w:rPr>
        <w:t xml:space="preserve"> and 69.8g/day in adults aged 19+ years.</w:t>
      </w:r>
      <w:r w:rsidRPr="001C5419">
        <w:rPr>
          <w:rStyle w:val="FootnoteReference"/>
          <w:rFonts w:eastAsia="Times New Roman"/>
          <w:szCs w:val="20"/>
        </w:rPr>
        <w:t xml:space="preserve"> </w:t>
      </w:r>
      <w:r>
        <w:rPr>
          <w:rStyle w:val="FootnoteReference"/>
          <w:rFonts w:eastAsia="Times New Roman"/>
          <w:szCs w:val="20"/>
        </w:rPr>
        <w:footnoteReference w:id="5"/>
      </w:r>
      <w:r>
        <w:rPr>
          <w:rFonts w:eastAsia="Times New Roman"/>
          <w:szCs w:val="20"/>
        </w:rPr>
        <w:t xml:space="preserve">  This downward trend in consumption patterns may have implications for the success of Australia’s </w:t>
      </w:r>
      <w:r>
        <w:t>mandatory iodine fortification program.</w:t>
      </w:r>
    </w:p>
    <w:p w14:paraId="394881F9" w14:textId="77777777" w:rsidR="003138BD" w:rsidRPr="006A1B5F" w:rsidRDefault="003138BD" w:rsidP="00D36911">
      <w:pPr>
        <w:pStyle w:val="Heading6"/>
      </w:pPr>
      <w:r>
        <w:lastRenderedPageBreak/>
        <w:t>Socioeconomic status</w:t>
      </w:r>
    </w:p>
    <w:p w14:paraId="2DAEF5D7" w14:textId="77777777" w:rsidR="003138BD" w:rsidRPr="00AA0DCD" w:rsidRDefault="003138BD" w:rsidP="003138BD">
      <w:r>
        <w:t xml:space="preserve">A 2016 study examining BMIC in 55 lactating women in Western Australia found a significant, negative correlation between </w:t>
      </w:r>
      <w:r w:rsidRPr="00037EED">
        <w:t>low household income (&lt;</w:t>
      </w:r>
      <w:r>
        <w:t>A$</w:t>
      </w:r>
      <w:r w:rsidRPr="00037EED">
        <w:t>50</w:t>
      </w:r>
      <w:r>
        <w:t>,000</w:t>
      </w:r>
      <w:r w:rsidRPr="00037EED">
        <w:t xml:space="preserve">) </w:t>
      </w:r>
      <w:r>
        <w:t xml:space="preserve">and </w:t>
      </w:r>
      <w:r w:rsidRPr="00037EED">
        <w:t>iodine supplement usage</w:t>
      </w:r>
      <w:r>
        <w:t xml:space="preserve"> (Jorgensen et al 2016). Several studies have suggested that supplementation is critical for ensuring maternal iodine requirements are met, even with iodine fortification in Australia. This finding suggests that mothers from low-income households may be at increased risk of deficiency, due to financial barriers to accessing supplementation.</w:t>
      </w:r>
    </w:p>
    <w:p w14:paraId="2C19FE6A" w14:textId="77777777" w:rsidR="003138BD" w:rsidRDefault="003138BD" w:rsidP="00D36911">
      <w:pPr>
        <w:pStyle w:val="Heading4"/>
      </w:pPr>
      <w:bookmarkStart w:id="70" w:name="_Toc202956843"/>
      <w:bookmarkStart w:id="71" w:name="_Toc210406367"/>
      <w:bookmarkStart w:id="72" w:name="_Toc212567866"/>
      <w:r>
        <w:t>New Zealand</w:t>
      </w:r>
      <w:bookmarkEnd w:id="70"/>
      <w:bookmarkEnd w:id="71"/>
      <w:bookmarkEnd w:id="72"/>
    </w:p>
    <w:p w14:paraId="7C420305" w14:textId="77777777" w:rsidR="003138BD" w:rsidRDefault="003138BD" w:rsidP="003138BD">
      <w:r>
        <w:t xml:space="preserve">As in Australia, mandatory iodine fortification was introduced in New Zealand in 2009. Comparison between the 2008/09 and 2014/15 </w:t>
      </w:r>
      <w:r w:rsidRPr="00DE1944">
        <w:t>New Zealand Health Survey</w:t>
      </w:r>
      <w:r>
        <w:t xml:space="preserve">s (NZHS) found that iodine levels for all ages, genders and ethnic groups had almost doubled following the introduction of fortification (NZ MoH 2020). At the time of writing, data from 2014/15 NZHS are the most up to date national data on iodine status and intakes available for New Zealand. Available data are presented in </w:t>
      </w:r>
      <w:r>
        <w:fldChar w:fldCharType="begin"/>
      </w:r>
      <w:r>
        <w:instrText xml:space="preserve"> REF _Ref173146105 \h </w:instrText>
      </w:r>
      <w:r>
        <w:fldChar w:fldCharType="separate"/>
      </w:r>
      <w:r>
        <w:t xml:space="preserve">Table </w:t>
      </w:r>
      <w:r>
        <w:rPr>
          <w:noProof/>
        </w:rPr>
        <w:t>7</w:t>
      </w:r>
      <w:r>
        <w:fldChar w:fldCharType="end"/>
      </w:r>
      <w:r>
        <w:t>.</w:t>
      </w:r>
    </w:p>
    <w:p w14:paraId="0B7AC0D8" w14:textId="77777777" w:rsidR="003138BD" w:rsidRDefault="003138BD" w:rsidP="00D36911">
      <w:pPr>
        <w:pStyle w:val="Heading5"/>
      </w:pPr>
      <w:r>
        <w:t>Adults</w:t>
      </w:r>
    </w:p>
    <w:p w14:paraId="7F44D2D7" w14:textId="77777777" w:rsidR="003138BD" w:rsidRDefault="003138BD" w:rsidP="003138BD">
      <w:r>
        <w:t>The 2014/15 NZHS found that the median UIC for all adults was 103 µg/L - marginally above the threshold for sufficiency of 100 µg/L (NZ MoH, 2020). One in five (20.3%) of those surveyed had UIC &lt;50 µg/L, slightly above ICCIDD recommended threshold of 20% (</w:t>
      </w:r>
      <w:r w:rsidRPr="003B685D">
        <w:t>WHO, 2007</w:t>
      </w:r>
      <w:r>
        <w:t>)</w:t>
      </w:r>
      <w:r w:rsidRPr="005743A1">
        <w:t>.</w:t>
      </w:r>
      <w:r>
        <w:t xml:space="preserve"> However, this value represents a marked decrease from the 2008/09 survey, which found that 46.8% of adults had UIC &lt;50 µg/L and almost half (48.3%) had UIC &lt;100 µg/L. The ICCIDD recommends that no more than 50% of the population have UIC in this range (</w:t>
      </w:r>
      <w:r w:rsidRPr="003B685D">
        <w:t>WHO, 2007</w:t>
      </w:r>
      <w:r>
        <w:t>).</w:t>
      </w:r>
    </w:p>
    <w:p w14:paraId="0E59810A" w14:textId="77777777" w:rsidR="003138BD" w:rsidRDefault="003138BD" w:rsidP="003138BD">
      <w:r>
        <w:t xml:space="preserve">Median UIC </w:t>
      </w:r>
      <w:r w:rsidRPr="00A2012B">
        <w:t>varied by gender, with men recording values &gt;100</w:t>
      </w:r>
      <w:r>
        <w:t xml:space="preserve"> µg/L</w:t>
      </w:r>
      <w:r w:rsidRPr="00A2012B">
        <w:t xml:space="preserve"> across all ages and ethnic groups. In contrast, median</w:t>
      </w:r>
      <w:r>
        <w:t xml:space="preserve"> UIC for women remained below the WHO threshold for sufficiency at 93</w:t>
      </w:r>
      <w:r>
        <w:rPr>
          <w:rFonts w:ascii="Arial" w:hAnsi="Arial" w:cs="Arial"/>
          <w:color w:val="333333"/>
          <w:sz w:val="21"/>
          <w:szCs w:val="21"/>
          <w:shd w:val="clear" w:color="auto" w:fill="FFFFFF"/>
        </w:rPr>
        <w:t xml:space="preserve"> µg/L</w:t>
      </w:r>
      <w:r>
        <w:t xml:space="preserve">, with only those women aged 15-24 years or of </w:t>
      </w:r>
      <w:r w:rsidRPr="00C21D17">
        <w:t>Māori, Pacific and Asian ethnic</w:t>
      </w:r>
      <w:r>
        <w:t>ities reporting concentrations &gt;100 µg/L (NZ MoH, 2020).</w:t>
      </w:r>
    </w:p>
    <w:p w14:paraId="1AB804B9" w14:textId="0EBE6A94" w:rsidR="003138BD" w:rsidRDefault="003138BD" w:rsidP="003138BD">
      <w:r>
        <w:t xml:space="preserve">These findings were echoed by a 2014 study examining the iodine status of 309 residential aged-care residents in New Zealand, aged 65 to 107 years (Miller et al 2016). Overall, the population was mildly deficient with median UIC of </w:t>
      </w:r>
      <w:r w:rsidR="1698941B">
        <w:t>72</w:t>
      </w:r>
      <w:r w:rsidR="1517661C">
        <w:t xml:space="preserve"> </w:t>
      </w:r>
      <w:proofErr w:type="spellStart"/>
      <w:r w:rsidR="1698941B">
        <w:t>μg</w:t>
      </w:r>
      <w:proofErr w:type="spellEnd"/>
      <w:r>
        <w:t xml:space="preserve">/L, and </w:t>
      </w:r>
      <w:r w:rsidRPr="003D4CF4">
        <w:t xml:space="preserve">29% </w:t>
      </w:r>
      <w:r>
        <w:t xml:space="preserve">of those analysed with </w:t>
      </w:r>
      <w:r w:rsidRPr="003D4CF4">
        <w:t>a UIC &lt;50</w:t>
      </w:r>
      <w:r>
        <w:t xml:space="preserve"> </w:t>
      </w:r>
      <w:proofErr w:type="spellStart"/>
      <w:r>
        <w:t>μg</w:t>
      </w:r>
      <w:proofErr w:type="spellEnd"/>
      <w:r>
        <w:t>/L. A 2012 study in also reported similar results, with median UIC of 73 µg/L observed in 301 New Zealand adults aged 18 to 64 (Edmonds et al 2016). Although median UIC was lower than the recommended WHO threshold of 100 µg/day, the authors noted that this parameter may not be appropriate for the population, in view of higher urinary volumes (2 litres per day). Instead, the authors suggested that median UIE of 127 µg/day was indicative of population adequacy.</w:t>
      </w:r>
    </w:p>
    <w:p w14:paraId="2099E781" w14:textId="77777777" w:rsidR="003138BD" w:rsidRDefault="003138BD" w:rsidP="00D36911">
      <w:pPr>
        <w:pStyle w:val="Heading5"/>
      </w:pPr>
      <w:r>
        <w:t>Children</w:t>
      </w:r>
    </w:p>
    <w:p w14:paraId="4B52FF7A" w14:textId="77777777" w:rsidR="003138BD" w:rsidRDefault="003138BD" w:rsidP="003138BD">
      <w:r>
        <w:t>The N</w:t>
      </w:r>
      <w:r w:rsidRPr="00FB15B0">
        <w:t>ew Zealand National Children’s Nutrition Survey</w:t>
      </w:r>
      <w:r>
        <w:t xml:space="preserve"> examined measures of population (UIC) and individual (thyroid hormones) biomarkers of iodine status in a representative sample of </w:t>
      </w:r>
      <w:r w:rsidRPr="00232CBF">
        <w:t>1</w:t>
      </w:r>
      <w:r>
        <w:t>,</w:t>
      </w:r>
      <w:r w:rsidRPr="00232CBF">
        <w:t xml:space="preserve">153 </w:t>
      </w:r>
      <w:r>
        <w:t>children aged 5 to 14 years (</w:t>
      </w:r>
      <w:proofErr w:type="spellStart"/>
      <w:r>
        <w:t>Skeaff</w:t>
      </w:r>
      <w:proofErr w:type="spellEnd"/>
      <w:r>
        <w:t xml:space="preserve"> et al 2012). Median UIC was 68 </w:t>
      </w:r>
      <w:proofErr w:type="spellStart"/>
      <w:r w:rsidRPr="00041B54">
        <w:t>μg</w:t>
      </w:r>
      <w:proofErr w:type="spellEnd"/>
      <w:r w:rsidRPr="00041B54">
        <w:t>/L</w:t>
      </w:r>
      <w:r>
        <w:t xml:space="preserve"> and 29% of those sampled had UIC &lt;50 </w:t>
      </w:r>
      <w:proofErr w:type="spellStart"/>
      <w:r w:rsidRPr="00041B54">
        <w:t>μg</w:t>
      </w:r>
      <w:proofErr w:type="spellEnd"/>
      <w:r w:rsidRPr="00041B54">
        <w:t>/L</w:t>
      </w:r>
      <w:r>
        <w:t xml:space="preserve">, indicating mild population iodine deficiency.  Median </w:t>
      </w:r>
      <w:proofErr w:type="spellStart"/>
      <w:r>
        <w:t>Tg</w:t>
      </w:r>
      <w:proofErr w:type="spellEnd"/>
      <w:r>
        <w:t xml:space="preserve"> concentration also suggested mild deficiency, although mean TSH, FT4 and FT3 concentrations were all within normal reference ranges.</w:t>
      </w:r>
    </w:p>
    <w:p w14:paraId="4A1FCD54" w14:textId="77777777" w:rsidR="003138BD" w:rsidRDefault="003138BD" w:rsidP="003138BD">
      <w:r>
        <w:lastRenderedPageBreak/>
        <w:t>The impact of iodine fortification on status in children was evaluated in a 2011 sub-National study of 147 New Zealand schoolchildren aged 8 to 10 years (</w:t>
      </w:r>
      <w:proofErr w:type="spellStart"/>
      <w:r>
        <w:t>Skeaff</w:t>
      </w:r>
      <w:proofErr w:type="spellEnd"/>
      <w:r>
        <w:t xml:space="preserve"> &amp; Lonsdale-Cooper, 2013). It reported that - following fortification - population urinary iodine was within recommended WHO ranges, with a median UIC of 113 µg/L, and 12% of children with UIC &lt;50 µg/L and 39% with UIC &lt;100 µg/L. However, it noted that elevated thyroglobulin concentrations pointed to residual insufficiency in children and recommended further fortification be considered. </w:t>
      </w:r>
    </w:p>
    <w:p w14:paraId="4114D978" w14:textId="77777777" w:rsidR="003138BD" w:rsidRDefault="003138BD" w:rsidP="003138BD">
      <w:r>
        <w:t>A 2015 study in 415 children aged 8 to 10 also reported population sufficiency, with median UIC of 116 µg/L and 5% of those sampled having UIC &lt;50 µg/L (Jones et al 2016). However, more recently, a smaller study in 84 children aged 9 to 11 measured intake using dietary assessment methods and 24-hour urine. Intake based on UIE was estimated at 74 µg/</w:t>
      </w:r>
      <w:proofErr w:type="gramStart"/>
      <w:r>
        <w:t>day;</w:t>
      </w:r>
      <w:proofErr w:type="gramEnd"/>
      <w:r>
        <w:t xml:space="preserve"> below the recommended dietary intake of 120 µg/day for this age group (</w:t>
      </w:r>
      <w:proofErr w:type="spellStart"/>
      <w:r>
        <w:t>Peniamina</w:t>
      </w:r>
      <w:proofErr w:type="spellEnd"/>
      <w:r>
        <w:t xml:space="preserve"> et al 2019). </w:t>
      </w:r>
    </w:p>
    <w:p w14:paraId="57E7B525" w14:textId="77777777" w:rsidR="003138BD" w:rsidRDefault="003138BD" w:rsidP="00D36911">
      <w:pPr>
        <w:pStyle w:val="Heading5"/>
      </w:pPr>
      <w:r w:rsidRPr="00237325">
        <w:t>Māori</w:t>
      </w:r>
    </w:p>
    <w:p w14:paraId="6F1D4380" w14:textId="77777777" w:rsidR="003138BD" w:rsidRPr="004E3542" w:rsidRDefault="003138BD" w:rsidP="003138BD">
      <w:r>
        <w:t xml:space="preserve">Median UIC reported in the 2014/15 NZHS indicated sufficient intakes in </w:t>
      </w:r>
      <w:r w:rsidRPr="004E3542">
        <w:t>Māori m</w:t>
      </w:r>
      <w:r>
        <w:t>en and women (</w:t>
      </w:r>
      <w:r w:rsidRPr="004E3542">
        <w:t>117</w:t>
      </w:r>
      <w:r>
        <w:t xml:space="preserve"> µg/L</w:t>
      </w:r>
      <w:r w:rsidRPr="004E3542">
        <w:t xml:space="preserve"> and 108</w:t>
      </w:r>
      <w:r>
        <w:t xml:space="preserve"> µg/L respectively). For Māori women of childbearing age (16-44 years) the median UIC </w:t>
      </w:r>
      <w:r w:rsidRPr="00437824">
        <w:t>was 114</w:t>
      </w:r>
      <w:r>
        <w:t xml:space="preserve"> µg/L.</w:t>
      </w:r>
    </w:p>
    <w:p w14:paraId="50B37764" w14:textId="77777777" w:rsidR="003138BD" w:rsidRPr="00075927" w:rsidRDefault="003138BD" w:rsidP="00D36911">
      <w:pPr>
        <w:pStyle w:val="Heading5"/>
      </w:pPr>
      <w:r w:rsidRPr="00075927">
        <w:t>Pregnancy and lactation</w:t>
      </w:r>
    </w:p>
    <w:p w14:paraId="0FF814C4" w14:textId="77777777" w:rsidR="003138BD" w:rsidRDefault="003138BD" w:rsidP="003138BD">
      <w:r>
        <w:t xml:space="preserve">Only a small number of pregnant women (N=110) were included in the 2014/15 NZHS, with median UIC of </w:t>
      </w:r>
      <w:r w:rsidRPr="001F45B3">
        <w:t>114</w:t>
      </w:r>
      <w:r>
        <w:t xml:space="preserve"> µg/L</w:t>
      </w:r>
      <w:r w:rsidRPr="001F45B3">
        <w:t xml:space="preserve"> (95% CI: 87, 141</w:t>
      </w:r>
      <w:r>
        <w:t xml:space="preserve"> µg/L</w:t>
      </w:r>
      <w:r w:rsidRPr="001F45B3">
        <w:t>)</w:t>
      </w:r>
      <w:r>
        <w:t xml:space="preserve">. This result is below the recommended 150 µg/L and indicates that intakes are </w:t>
      </w:r>
      <w:r w:rsidRPr="00256005">
        <w:t>inadequate to meet</w:t>
      </w:r>
      <w:r>
        <w:t xml:space="preserve"> increased requirements </w:t>
      </w:r>
      <w:r w:rsidRPr="00256005">
        <w:t xml:space="preserve">during pregnancy and </w:t>
      </w:r>
      <w:r>
        <w:t xml:space="preserve">lactation. </w:t>
      </w:r>
    </w:p>
    <w:p w14:paraId="3B416A16" w14:textId="77777777" w:rsidR="003138BD" w:rsidRDefault="003138BD" w:rsidP="003138BD">
      <w:r>
        <w:t xml:space="preserve">Although the overall median UIC in women of childbearing age (16-44 years) of 104 µg/L indicates sufficiency for non-pregnant populations, this value is inadequate to meet the needs during pregnancy and lactation, with the WHO defining sufficiency as UIC &gt;150 µg/L. Furthermore, although iodine concentrations for </w:t>
      </w:r>
      <w:r w:rsidRPr="00075927">
        <w:t>Māori</w:t>
      </w:r>
      <w:r>
        <w:t xml:space="preserve"> and</w:t>
      </w:r>
      <w:r w:rsidRPr="00075927">
        <w:t xml:space="preserve"> Pacific </w:t>
      </w:r>
      <w:r>
        <w:t xml:space="preserve">women of childbearing age were within the recommended range (with median UIC of </w:t>
      </w:r>
      <w:r w:rsidRPr="00075927">
        <w:t>114</w:t>
      </w:r>
      <w:r>
        <w:t xml:space="preserve"> µg/L and</w:t>
      </w:r>
      <w:r w:rsidRPr="00075927">
        <w:t xml:space="preserve"> 117</w:t>
      </w:r>
      <w:r>
        <w:t xml:space="preserve"> µg/L respectively), the median UIC for those of European origin was 96 µg/L, indicating deficiency in this group</w:t>
      </w:r>
      <w:r w:rsidRPr="00075927">
        <w:t>.</w:t>
      </w:r>
      <w:r>
        <w:t xml:space="preserve"> </w:t>
      </w:r>
    </w:p>
    <w:p w14:paraId="578FA163" w14:textId="77777777" w:rsidR="003138BD" w:rsidRDefault="003138BD" w:rsidP="003138BD">
      <w:r w:rsidRPr="00383B9F">
        <w:t>A New Zealand cohort study in 87 breastfeeding mother-infant pairs enrolled at 3 months postpartum and followed up to 12 months found</w:t>
      </w:r>
      <w:r>
        <w:t xml:space="preserve"> that two thirds had no- or low- iodine knowledge (Jin et al 2021). This knowledge was a key predictor of iodine supplement consumption, which was associated with significantly higher median UIC compared with non-users of supplements. </w:t>
      </w:r>
    </w:p>
    <w:p w14:paraId="3C2F332C" w14:textId="77777777" w:rsidR="003138BD" w:rsidRPr="000331EA" w:rsidRDefault="003138BD" w:rsidP="00D36911">
      <w:pPr>
        <w:pStyle w:val="Heading5"/>
      </w:pPr>
      <w:r>
        <w:t>Sensitive or at-risk groups</w:t>
      </w:r>
    </w:p>
    <w:p w14:paraId="79CB0183" w14:textId="77777777" w:rsidR="003138BD" w:rsidRDefault="003138BD" w:rsidP="003138BD">
      <w:r w:rsidRPr="001D7B10">
        <w:t xml:space="preserve">A recent study </w:t>
      </w:r>
      <w:r>
        <w:t>examined the iodine status of 46 mid-life women (40-63 years) living in New Zealand who consume less than 1 slice per day of iodine fortified bread (Finlayson 2019). It found that New Zealand women who avoid bread were at risk of inadequate dietary intakes, with median UIC of 49 µg/L and UIE of 108 µg/day, corresponding to an estimated median intake of 120 µg/</w:t>
      </w:r>
      <w:proofErr w:type="gramStart"/>
      <w:r>
        <w:t>day;</w:t>
      </w:r>
      <w:proofErr w:type="gramEnd"/>
      <w:r>
        <w:t xml:space="preserve"> below the RDI of 150 µg/day. Furthermore, 91% of those sampled had intakes below the EAR of 100 µg/day.</w:t>
      </w:r>
    </w:p>
    <w:p w14:paraId="7C05F952" w14:textId="77777777" w:rsidR="003138BD" w:rsidRPr="00AA0DCD" w:rsidRDefault="003138BD" w:rsidP="003138BD">
      <w:r>
        <w:rPr>
          <w:rFonts w:eastAsia="Times New Roman"/>
          <w:szCs w:val="20"/>
        </w:rPr>
        <w:t>Individuals with diets low in animal products are also expected to be at increased risk of deficiency, although there is conflicting data on the prevalence of plant-forward diets in New Zealand adults (Roy Morgan 2016; Kantar 2022, Greenwell et al 2023)</w:t>
      </w:r>
    </w:p>
    <w:p w14:paraId="420C070F" w14:textId="77777777" w:rsidR="003138BD" w:rsidRDefault="003138BD" w:rsidP="00D36911">
      <w:pPr>
        <w:pStyle w:val="Heading3"/>
      </w:pPr>
      <w:bookmarkStart w:id="73" w:name="_Toc202956844"/>
      <w:bookmarkStart w:id="74" w:name="_Toc210406368"/>
      <w:bookmarkStart w:id="75" w:name="_Toc212567867"/>
      <w:r>
        <w:lastRenderedPageBreak/>
        <w:t>Key health outcomes of relevance to the Australian and New Zealand context</w:t>
      </w:r>
      <w:bookmarkEnd w:id="73"/>
      <w:bookmarkEnd w:id="74"/>
      <w:bookmarkEnd w:id="75"/>
      <w:r>
        <w:t xml:space="preserve"> </w:t>
      </w:r>
    </w:p>
    <w:p w14:paraId="6277A26A" w14:textId="77777777" w:rsidR="003138BD" w:rsidRDefault="003138BD" w:rsidP="003138BD">
      <w:r>
        <w:t xml:space="preserve">Both the Australian and New Zealand populations have a history of mild deficiency, with iodine fortification introduced in 2009 to address this public health issue. However, post-fortification studies show some subgroups may still be mildly deficient, particularly women of child-bearing age. Accordingly, the primary outcomes of relevance to the Australian and New Zealand context relate to iodine deficiency disorders and associated health effects.  Although uncommon, a small proportion of the population will have usual dietary intakes exceeding the UL. It is therefore important to consider a range of health outcomes in the Australian and New Zealand context, when developing recommendations for nutritional adequacy and preventing excess, to optimise health.  This includes outcomes relating to thyroid function, thyroid disease and neurocognitive development. </w:t>
      </w:r>
    </w:p>
    <w:p w14:paraId="229E9FCA" w14:textId="77777777" w:rsidR="003138BD" w:rsidRDefault="003138BD" w:rsidP="00D36911">
      <w:pPr>
        <w:pStyle w:val="Heading4"/>
      </w:pPr>
      <w:bookmarkStart w:id="76" w:name="_Toc202956845"/>
      <w:bookmarkStart w:id="77" w:name="_Toc210406369"/>
      <w:bookmarkStart w:id="78" w:name="_Toc212567868"/>
      <w:r>
        <w:t>Thyroid disease in Australia and New Zealand</w:t>
      </w:r>
      <w:bookmarkEnd w:id="76"/>
      <w:bookmarkEnd w:id="77"/>
      <w:bookmarkEnd w:id="78"/>
    </w:p>
    <w:p w14:paraId="3A64D5B6" w14:textId="77777777" w:rsidR="003138BD" w:rsidRDefault="003138BD" w:rsidP="003138BD">
      <w:r>
        <w:t xml:space="preserve">A study conducted between 1997 and 2000 (pre-fortification) </w:t>
      </w:r>
      <w:r w:rsidRPr="000F4A23">
        <w:t>identified the prevalence of thyroid disease in Australians aged 49 years or older at 14%, with 4% of those having an undiagnosed thyroid disorder (Empson et al 2007). These findings are echoed by a 2017 study in community living adults aged 49 years or older, which reported thyroid disease prevalence of 13.6%, approximately a third of whom had not been previously diagnosed (Hickman et al. 2017).</w:t>
      </w:r>
    </w:p>
    <w:p w14:paraId="49676BFA" w14:textId="77777777" w:rsidR="003138BD" w:rsidRDefault="003138BD" w:rsidP="003138BD">
      <w:r>
        <w:t>Thyroid autoimmunity has also been estimated to occur in 10-15% the Australian population, with women more commonly affected than men (O’Leary et al 2006). However, these estimates are based on data from a single locality in WA collected in 1981 and may not reflect the current population prevalence.</w:t>
      </w:r>
    </w:p>
    <w:p w14:paraId="1FA62CE4" w14:textId="77777777" w:rsidR="003138BD" w:rsidRDefault="003138BD" w:rsidP="003138BD">
      <w:r>
        <w:t>AIHW data suggest that thyroid cancers are strong contributors to increases in cancer incidence in those aged 30 to 49 years and affect women significantly more than men, with 70% of cases in women (AIHW, 2024). The age-adjusted incidence of thyroid cancer has increased significantly in Australia between 2000 and 2024, up from 8.5 to 22 cases per 100,000 females and from 3.3 to 10.0 cases per 100,000 males. However, the extent to which this represents a true increase in prevalence, or improved detection, is unclear. Improved detection is unlikely to account for the full increase observed (Pandeya et al 2015). There are multiple aetiologic factors that may be associated with this increase. Overweight and obesity - rather than iodine status - have been identified as significant contributors in the Australian context (Laaksonen et al 2021).</w:t>
      </w:r>
    </w:p>
    <w:p w14:paraId="4514DCDA" w14:textId="77777777" w:rsidR="003138BD" w:rsidRDefault="003138BD" w:rsidP="003138BD">
      <w:r>
        <w:t>Despite this increase, age-adjusted mortality from thyroid cancer has remained stable, and thyroid cancer remains a high survival cancer. While males account for only 30% of cases, they are overrepresented in thyroid cancer mortality, with approximately 50% of deaths occurring in males (AIHW, 2024).</w:t>
      </w:r>
    </w:p>
    <w:p w14:paraId="4C696F9C" w14:textId="77777777" w:rsidR="003138BD" w:rsidRDefault="003138BD" w:rsidP="003138BD">
      <w:r>
        <w:t>In New Zealand, thyroid cancer accounts for 1% of all cancer cases, with pa</w:t>
      </w:r>
      <w:r w:rsidRPr="00372C5F">
        <w:t xml:space="preserve">pillary thyroid cancer </w:t>
      </w:r>
      <w:r>
        <w:t xml:space="preserve">the dominant subtype, accounting for </w:t>
      </w:r>
      <w:r w:rsidRPr="00372C5F">
        <w:t>80% of all thyroid cancers.</w:t>
      </w:r>
      <w:r>
        <w:t xml:space="preserve"> Thyroid cancer has a low mortality burden in New Zealand, with a 98% survival rate (IARC 2022, </w:t>
      </w:r>
      <w:proofErr w:type="spellStart"/>
      <w:r w:rsidRPr="00A004A2">
        <w:t>Te</w:t>
      </w:r>
      <w:proofErr w:type="spellEnd"/>
      <w:r w:rsidRPr="00A004A2">
        <w:t xml:space="preserve"> Aho o </w:t>
      </w:r>
      <w:proofErr w:type="spellStart"/>
      <w:r w:rsidRPr="00A004A2">
        <w:t>Te</w:t>
      </w:r>
      <w:proofErr w:type="spellEnd"/>
      <w:r w:rsidRPr="00A004A2">
        <w:t xml:space="preserve"> Kahu</w:t>
      </w:r>
      <w:r>
        <w:t>, 2025). Some groups are at increased risk of thyroid cancer, including Pacific populations and women.</w:t>
      </w:r>
    </w:p>
    <w:p w14:paraId="03EB9A67" w14:textId="77777777" w:rsidR="003138BD" w:rsidRDefault="003138BD" w:rsidP="003138BD">
      <w:r>
        <w:t xml:space="preserve">Although increasing incidence of congenital hypothyroidism was noted in New Zealand between 1993 and 2010, this change has been attributed to changes in the ethnic composition of the </w:t>
      </w:r>
      <w:r>
        <w:lastRenderedPageBreak/>
        <w:t xml:space="preserve">population, with ethnic-specific indices of congenital hypothyroidism remaining stable (Albert et al 2012). </w:t>
      </w:r>
    </w:p>
    <w:p w14:paraId="008F1606" w14:textId="77777777" w:rsidR="003138BD" w:rsidRDefault="003138BD" w:rsidP="003138BD">
      <w:r>
        <w:t>Beyond data on thyroid cancer, data on thyroid disease prevalence in New Zealand is largely from studies conducted prior to mandatory fortification (Thomson et al 2001, Gibbons et al 2008) and may not reflect current population prevalence.</w:t>
      </w:r>
    </w:p>
    <w:p w14:paraId="0C4C84ED" w14:textId="77777777" w:rsidR="003138BD" w:rsidRDefault="003138BD" w:rsidP="003138BD">
      <w:r>
        <w:t>Thyroid disorders and disease are prevalent within both the Australian and New Zealand populations. However, the aetiology of disease is multifactorial and is unlikely to be directly related to population iodine status. Nevertheless, the prevalence of thyroid diseases in Australia and New Zealand underscores the importance of developing NRVs based on the best available evidence, to optimise population health.</w:t>
      </w:r>
    </w:p>
    <w:p w14:paraId="6E943A09" w14:textId="77777777" w:rsidR="003138BD" w:rsidRDefault="003138BD" w:rsidP="003138BD">
      <w:r>
        <w:t>Studies have reported i</w:t>
      </w:r>
      <w:r w:rsidRPr="00C04239">
        <w:t>ncreased incidence of thyro</w:t>
      </w:r>
      <w:r>
        <w:t xml:space="preserve">id disease in Pacific and Māori populations </w:t>
      </w:r>
      <w:r w:rsidRPr="00C04239">
        <w:t xml:space="preserve">compared </w:t>
      </w:r>
      <w:r>
        <w:t>with European populations (Meredith et al 2014,</w:t>
      </w:r>
      <w:r w:rsidRPr="002554B8">
        <w:t xml:space="preserve"> </w:t>
      </w:r>
      <w:r>
        <w:t>Tamatea et al 2020, Angelo et al 2020)</w:t>
      </w:r>
      <w:r w:rsidRPr="00C04239">
        <w:t>.</w:t>
      </w:r>
      <w:r>
        <w:t xml:space="preserve"> Whilst aetiology has not been fully explored, determinants of health including stress and smoking history have been proposed as factors. A relationship between dietary sources of iodine, or iodine status and higher rates of thyrotoxicosis amongst Māori has not been proposed and is not indicated by the available population data which suggests median UIC in the sufficient range for Māori adults (NZ MoH, 2020). Nevertheless, the increased prevalence of thyrotoxicosis and thyroid eye disease (Tamatea et al 2020, Rapata et al 2023) in this population should be considered when making recommendations about iodine intakes to optimise thyroid function and health</w:t>
      </w:r>
      <w:r w:rsidRPr="00C04239">
        <w:t>.</w:t>
      </w:r>
    </w:p>
    <w:p w14:paraId="47834A9E" w14:textId="77777777" w:rsidR="003138BD" w:rsidRDefault="003138BD" w:rsidP="00D36911">
      <w:pPr>
        <w:pStyle w:val="Heading4"/>
      </w:pPr>
      <w:bookmarkStart w:id="79" w:name="_Toc202956846"/>
      <w:bookmarkStart w:id="80" w:name="_Toc210406370"/>
      <w:bookmarkStart w:id="81" w:name="_Toc212567869"/>
      <w:r>
        <w:t>Child neurocognitive development</w:t>
      </w:r>
      <w:bookmarkEnd w:id="79"/>
      <w:bookmarkEnd w:id="80"/>
      <w:bookmarkEnd w:id="81"/>
    </w:p>
    <w:p w14:paraId="12D25B74" w14:textId="77777777" w:rsidR="003138BD" w:rsidRDefault="003138BD" w:rsidP="00D36911">
      <w:pPr>
        <w:pStyle w:val="Heading5"/>
      </w:pPr>
      <w:r>
        <w:t>Supplementation during pregnancy</w:t>
      </w:r>
    </w:p>
    <w:p w14:paraId="2B0B32A1" w14:textId="77777777" w:rsidR="003138BD" w:rsidRDefault="003138BD" w:rsidP="003138BD">
      <w:r>
        <w:t>It is recommended that those who are pregnant and breastfeeding take a supplement containing 150 µg of daily iodine to ensure sufficient intake (NHMRC 2010). However, studies suggest that Australians’ knowledge of - and adherence to - recommendations is low (El-mani et al 2014, Lucas et al 2014, Martin et al 2014, Malek et al 2016, Guess et al 2017, Hine et al 2018, Nolan et al 2022). Affordability of supplements has also been identified as a barrier to use (Nolan et al 2022). Furthermore, although iodine supplementation has been associated with adequate iodine status in pregnant Australian women (Hurley et al 2019), some studies suggest that supplementation may not address deficiency during pregnancy, unless commenced during pre-conception and continued throughout pregnancy (Hynes et al 2019).</w:t>
      </w:r>
    </w:p>
    <w:p w14:paraId="67A21AE2" w14:textId="77777777" w:rsidR="003138BD" w:rsidRPr="00BF589A" w:rsidRDefault="003138BD" w:rsidP="003138BD">
      <w:proofErr w:type="gramStart"/>
      <w:r>
        <w:t>Similar to</w:t>
      </w:r>
      <w:proofErr w:type="gramEnd"/>
      <w:r>
        <w:t xml:space="preserve"> findings in Australian women, a 2017 study reported low adherence to iodine supplementation recommendations during pregnancy and breastfeeding, with only 52% of 535 New Zealand women sampled adhering to recommendations (Reynolds and </w:t>
      </w:r>
      <w:proofErr w:type="spellStart"/>
      <w:r>
        <w:t>Skeaff</w:t>
      </w:r>
      <w:proofErr w:type="spellEnd"/>
      <w:r>
        <w:t xml:space="preserve"> 2017). This highlights the importance of ensuring iodine sufficiency in women of childbearing age, before they enter pregnancy.</w:t>
      </w:r>
    </w:p>
    <w:p w14:paraId="50EE4C7B" w14:textId="77777777" w:rsidR="003138BD" w:rsidRPr="00854D0B" w:rsidRDefault="003138BD" w:rsidP="003138BD">
      <w:pPr>
        <w:pStyle w:val="Heading3"/>
      </w:pPr>
      <w:r w:rsidRPr="00854D0B">
        <w:br w:type="page"/>
      </w:r>
    </w:p>
    <w:p w14:paraId="60F8F89A" w14:textId="77777777" w:rsidR="003138BD" w:rsidRPr="00923AE9" w:rsidRDefault="003138BD" w:rsidP="00D36911">
      <w:pPr>
        <w:pStyle w:val="Heading2"/>
      </w:pPr>
      <w:bookmarkStart w:id="82" w:name="_Toc202956847"/>
      <w:bookmarkStart w:id="83" w:name="_Toc210406371"/>
      <w:bookmarkStart w:id="84" w:name="_Toc212567870"/>
      <w:r>
        <w:lastRenderedPageBreak/>
        <w:t>Summary of Evidence</w:t>
      </w:r>
      <w:bookmarkEnd w:id="82"/>
      <w:bookmarkEnd w:id="83"/>
      <w:bookmarkEnd w:id="84"/>
    </w:p>
    <w:p w14:paraId="4A6617B1" w14:textId="77777777" w:rsidR="003138BD" w:rsidRDefault="003138BD" w:rsidP="00D36911">
      <w:pPr>
        <w:pStyle w:val="Heading3"/>
      </w:pPr>
      <w:bookmarkStart w:id="85" w:name="_Toc202956848"/>
      <w:bookmarkStart w:id="86" w:name="_Toc210406372"/>
      <w:bookmarkStart w:id="87" w:name="_Toc212567871"/>
      <w:r>
        <w:t>Physiological requirements</w:t>
      </w:r>
      <w:bookmarkEnd w:id="85"/>
      <w:bookmarkEnd w:id="86"/>
      <w:bookmarkEnd w:id="87"/>
    </w:p>
    <w:p w14:paraId="49A7C2C8" w14:textId="77777777" w:rsidR="003138BD" w:rsidRPr="00674FF3" w:rsidRDefault="003138BD" w:rsidP="00D36911">
      <w:pPr>
        <w:pStyle w:val="Heading4"/>
      </w:pPr>
      <w:bookmarkStart w:id="88" w:name="_Toc202956849"/>
      <w:bookmarkStart w:id="89" w:name="_Toc210406373"/>
      <w:bookmarkStart w:id="90" w:name="_Toc212567872"/>
      <w:r>
        <w:t>Balance and thyroid accumulation studies</w:t>
      </w:r>
      <w:bookmarkEnd w:id="88"/>
      <w:bookmarkEnd w:id="89"/>
      <w:bookmarkEnd w:id="90"/>
    </w:p>
    <w:p w14:paraId="43E8588F" w14:textId="77777777" w:rsidR="003138BD" w:rsidRDefault="003138BD" w:rsidP="003138BD">
      <w:pPr>
        <w:rPr>
          <w:szCs w:val="20"/>
        </w:rPr>
      </w:pPr>
      <w:r>
        <w:t xml:space="preserve">Previous analysis of balance and thyroid accumulation studies suggests that neutral iodine balance is achieved at intakes of around 100 µg/day, and </w:t>
      </w:r>
      <w:r w:rsidRPr="00BA3BE1">
        <w:t>not below 40</w:t>
      </w:r>
      <w:r>
        <w:t xml:space="preserve"> µg/day (US IOM 2001, NHMRC 2006). However, studies of thyroid iodine </w:t>
      </w:r>
      <w:r w:rsidRPr="00434801">
        <w:t xml:space="preserve">accumulation may not </w:t>
      </w:r>
      <w:r>
        <w:t xml:space="preserve">be </w:t>
      </w:r>
      <w:r w:rsidRPr="00434801">
        <w:t xml:space="preserve">sufficiently reliable, with evidence suggesting </w:t>
      </w:r>
      <w:r>
        <w:t xml:space="preserve">that </w:t>
      </w:r>
      <w:r w:rsidRPr="00434801">
        <w:t xml:space="preserve">downregulation of thyroid iodine capture </w:t>
      </w:r>
      <w:r>
        <w:t xml:space="preserve">occurs </w:t>
      </w:r>
      <w:r w:rsidRPr="00434801">
        <w:t>as iodine intake increases</w:t>
      </w:r>
      <w:r>
        <w:t xml:space="preserve"> (EFSA 2014, Bernard et al 1970; Hooper et al 1980; Tovar et al 1969; Follis et al 1962; Milakovic et al 2006)</w:t>
      </w:r>
      <w:r w:rsidRPr="00434801">
        <w:t xml:space="preserve">.  Thyroid accumulation studies upon which previous recommendations were based were conducted in populations with average urinary iodine excretion of </w:t>
      </w:r>
      <w:r>
        <w:t>410 µg/day</w:t>
      </w:r>
      <w:r w:rsidRPr="00434801">
        <w:t xml:space="preserve"> </w:t>
      </w:r>
      <w:r>
        <w:t xml:space="preserve">and </w:t>
      </w:r>
      <w:r w:rsidRPr="00434801">
        <w:t>280</w:t>
      </w:r>
      <w:r>
        <w:t xml:space="preserve"> µg/day</w:t>
      </w:r>
      <w:r w:rsidRPr="00434801">
        <w:t xml:space="preserve"> </w:t>
      </w:r>
      <w:r>
        <w:t>(</w:t>
      </w:r>
      <w:r w:rsidRPr="00C23DB1">
        <w:rPr>
          <w:rFonts w:eastAsia="Times New Roman"/>
          <w:szCs w:val="20"/>
        </w:rPr>
        <w:t xml:space="preserve">Fisher and Oddie, 1969a, </w:t>
      </w:r>
      <w:r>
        <w:rPr>
          <w:rFonts w:eastAsia="Times New Roman"/>
          <w:szCs w:val="20"/>
        </w:rPr>
        <w:t xml:space="preserve">Fisher and Oddie, </w:t>
      </w:r>
      <w:r w:rsidRPr="00C23DB1">
        <w:rPr>
          <w:rFonts w:eastAsia="Times New Roman"/>
          <w:szCs w:val="20"/>
        </w:rPr>
        <w:t>1969b</w:t>
      </w:r>
      <w:r>
        <w:rPr>
          <w:rFonts w:eastAsia="Times New Roman"/>
          <w:szCs w:val="20"/>
        </w:rPr>
        <w:t xml:space="preserve">), suggestive of higher iodine intakes. These studies </w:t>
      </w:r>
      <w:r w:rsidRPr="00434801">
        <w:t xml:space="preserve">may underestimate </w:t>
      </w:r>
      <w:r>
        <w:t>requirements for nutritional adequacy</w:t>
      </w:r>
      <w:r>
        <w:rPr>
          <w:szCs w:val="20"/>
        </w:rPr>
        <w:t xml:space="preserve">. </w:t>
      </w:r>
    </w:p>
    <w:p w14:paraId="439A40FD" w14:textId="77777777" w:rsidR="003138BD" w:rsidRPr="00255FCF" w:rsidRDefault="003138BD" w:rsidP="003138BD">
      <w:r>
        <w:t>EFSA (2014) have also raised concerns about the reliability of balance studies for estimating requirements, concluding that evidence from balance studies was insufficient to derive an NRV. In view of concerns about the suitability of balance studies for estimating requirements (</w:t>
      </w:r>
      <w:r w:rsidRPr="00DD3912">
        <w:t xml:space="preserve">see </w:t>
      </w:r>
      <w:r w:rsidRPr="00757C52">
        <w:t xml:space="preserve">‘International comparisons’ for a summary of concerns raised by EFSA) we sought balance studies published since 2014 that comprehensively measured iodine losses and included an adequate ‘run in’ period. One balance study was identified in adults (Tan 2019). Total iodine intake (including food, water and air) and excretion (urine, faeces, respiration and sweat) were measured in 25 young Chinese women (mean age 22 years) over a </w:t>
      </w:r>
      <w:proofErr w:type="gramStart"/>
      <w:r w:rsidRPr="00757C52">
        <w:t>4 week</w:t>
      </w:r>
      <w:proofErr w:type="gramEnd"/>
      <w:r w:rsidRPr="00757C52">
        <w:t xml:space="preserve"> period. Median (IQR) UIC at baseline was 129.4</w:t>
      </w:r>
      <w:r>
        <w:t xml:space="preserve"> µg/L</w:t>
      </w:r>
      <w:r w:rsidRPr="00757C52">
        <w:t xml:space="preserve"> (102.1 </w:t>
      </w:r>
      <w:r>
        <w:t>-</w:t>
      </w:r>
      <w:r w:rsidRPr="00757C52">
        <w:t xml:space="preserve"> 149.1). Non-iodised salt was provided for the first 3 weeks of the intervention period, followed by 1 week with iodised salt provision. Analysis was restricted to the last 3 days of each </w:t>
      </w:r>
      <w:proofErr w:type="gramStart"/>
      <w:r w:rsidRPr="00757C52">
        <w:t>7 day</w:t>
      </w:r>
      <w:proofErr w:type="gramEnd"/>
      <w:r w:rsidRPr="00757C52">
        <w:t xml:space="preserve"> intervention period, to account for the effects of preceding days’ intake on UIC. Neutral balance was calculated by regression to zero, calculated to occur with iodine intakes of 110.5</w:t>
      </w:r>
      <w:r>
        <w:t>μg/day</w:t>
      </w:r>
      <w:r w:rsidRPr="00757C52">
        <w:t>, equating to a RDI of 154·7</w:t>
      </w:r>
      <w:r>
        <w:t>μg/day</w:t>
      </w:r>
      <w:r w:rsidRPr="00757C52">
        <w:t>, when a 20% co-efficient of variation (CV) was applied.</w:t>
      </w:r>
    </w:p>
    <w:p w14:paraId="0FBBF7FD" w14:textId="77777777" w:rsidR="003138BD" w:rsidRDefault="003138BD" w:rsidP="003138BD">
      <w:r w:rsidRPr="00634D34">
        <w:t>Despite the comprehensive approach to measuring losses, concerns remain</w:t>
      </w:r>
      <w:r>
        <w:t xml:space="preserve"> about the duration of intervention, as the study included no run-in period and the dietary iodine intake varied between weeks 1 - 3 (period 1) and week 4 (period 2). The study was conducted in young female students and may be limited in generalisability to males and older adults within the Australian and New Zealand populations. </w:t>
      </w:r>
      <w:r w:rsidRPr="00634D34">
        <w:t xml:space="preserve">Overall, </w:t>
      </w:r>
      <w:r>
        <w:t xml:space="preserve">while evidence from balance studies may provide supportive evidence for recommendations, the evidence remains </w:t>
      </w:r>
      <w:r w:rsidRPr="00634D34">
        <w:t xml:space="preserve">insufficient </w:t>
      </w:r>
      <w:r>
        <w:t xml:space="preserve">for the purposes of deriving an </w:t>
      </w:r>
      <w:r w:rsidRPr="00634D34">
        <w:t>NRV.</w:t>
      </w:r>
    </w:p>
    <w:p w14:paraId="392562BA" w14:textId="77777777" w:rsidR="003138BD" w:rsidRDefault="003138BD" w:rsidP="00D36911">
      <w:pPr>
        <w:pStyle w:val="Heading4"/>
      </w:pPr>
      <w:bookmarkStart w:id="91" w:name="_Toc202956850"/>
      <w:bookmarkStart w:id="92" w:name="_Toc210406374"/>
      <w:bookmarkStart w:id="93" w:name="_Toc212567873"/>
      <w:r>
        <w:t>Requirements to support thyroid hormone synthesis and basal losses</w:t>
      </w:r>
      <w:bookmarkEnd w:id="91"/>
      <w:bookmarkEnd w:id="92"/>
      <w:bookmarkEnd w:id="93"/>
    </w:p>
    <w:p w14:paraId="6A494DCA" w14:textId="77777777" w:rsidR="003138BD" w:rsidRDefault="003138BD" w:rsidP="003138BD">
      <w:r>
        <w:t xml:space="preserve">Studies suggest that thyroid hormone synthesis (T3 and T4) in adult euthyroid subjects requires approximately 50 to 70 µg/day of bioavailable iodine (EFSA 2014, Nicoloff et al 1972, Chopra 1976, Kirkegaard et al 1990, </w:t>
      </w:r>
      <w:proofErr w:type="spellStart"/>
      <w:r>
        <w:t>Bregengard</w:t>
      </w:r>
      <w:proofErr w:type="spellEnd"/>
      <w:r>
        <w:t xml:space="preserve"> et al 1987, Cardoso and Rosenthal 1987, Faber et al 1988, Gavin et al 1977). This value represents the amount of iodine required for thyroid hormone production and does not account for unabsorbed iodine excreted via faeces, saliva, urine or sweat. EFSA </w:t>
      </w:r>
      <w:r>
        <w:lastRenderedPageBreak/>
        <w:t>(2014) estimated these losses at approximately 60 µg of iodine per day, although substantial uncertainty surrounds these estimates.</w:t>
      </w:r>
    </w:p>
    <w:p w14:paraId="193A1E85" w14:textId="77777777" w:rsidR="003138BD" w:rsidRDefault="003138BD" w:rsidP="003138BD">
      <w:r>
        <w:t>Allowing for an absorption efficiency of 92%, a required iodine intake of 130 µg/day can be derived, using the factorial approach (EFSA 2014). This value can guide recommendations about daily iodine requirements in adults. However, it should not be used to establish an EAR due to uncertainty in the evidence for underlying inputs.</w:t>
      </w:r>
    </w:p>
    <w:p w14:paraId="65B18983" w14:textId="77777777" w:rsidR="003138BD" w:rsidRPr="00A44090" w:rsidRDefault="003138BD" w:rsidP="00D36911">
      <w:pPr>
        <w:pStyle w:val="Heading4"/>
      </w:pPr>
      <w:bookmarkStart w:id="94" w:name="_Toc202956851"/>
      <w:bookmarkStart w:id="95" w:name="_Toc210406375"/>
      <w:bookmarkStart w:id="96" w:name="_Toc212567874"/>
      <w:r>
        <w:t>Requirements during pregnancy</w:t>
      </w:r>
      <w:bookmarkEnd w:id="94"/>
      <w:bookmarkEnd w:id="95"/>
      <w:bookmarkEnd w:id="96"/>
    </w:p>
    <w:p w14:paraId="66F56571" w14:textId="77777777" w:rsidR="003138BD" w:rsidRPr="000E7D07" w:rsidRDefault="003138BD" w:rsidP="00D36911">
      <w:pPr>
        <w:pStyle w:val="Heading5"/>
      </w:pPr>
      <w:r w:rsidRPr="000E7D07">
        <w:t>Neutral balance during pregnancy</w:t>
      </w:r>
    </w:p>
    <w:p w14:paraId="6F418DBE" w14:textId="77777777" w:rsidR="003138BD" w:rsidRDefault="003138BD" w:rsidP="003138BD">
      <w:r>
        <w:t xml:space="preserve">One balance study in 93 pregnant Chinese women examined iodine intakes from usual diet and measured excretion via urine and faeces (Chen et al 2023). The home-based study involved participants maintaining their usual diet and recording food intake using the duplicate portion method. Participants were also trained to collect urine and faecal samples for the duration of the study period. Estimated excretion via sweat was also accounted for based on body surface area and assuming sweat iodine concentration of </w:t>
      </w:r>
      <w:r w:rsidRPr="00AA643A">
        <w:t>37</w:t>
      </w:r>
      <w:r>
        <w:t xml:space="preserve">μg/L based on BMI and (estimated) sweat. Simple linear regression was used to examine the association between intake and retention/excretion for the whole population, and for two subpopulations from areas with a lower (Hebei and Tianjin) and higher (Shandong) habitual intake.  The authors noted that negative balance occurred with iodine intakes </w:t>
      </w:r>
      <w:r w:rsidRPr="00183D3F">
        <w:t>&lt;150</w:t>
      </w:r>
      <w:r>
        <w:t xml:space="preserve">μg/day, with positive balance observed with intakes </w:t>
      </w:r>
      <w:r w:rsidRPr="00183D3F">
        <w:t>&gt;550</w:t>
      </w:r>
      <w:r>
        <w:t>μg/day</w:t>
      </w:r>
      <w:r w:rsidRPr="00183D3F">
        <w:t xml:space="preserve">. </w:t>
      </w:r>
      <w:r>
        <w:t xml:space="preserve">Neutral balance occurred at intakes of </w:t>
      </w:r>
      <w:r w:rsidRPr="00183D3F">
        <w:t>343</w:t>
      </w:r>
      <w:r>
        <w:t>μg/day</w:t>
      </w:r>
      <w:r w:rsidRPr="00183D3F">
        <w:t xml:space="preserve">, </w:t>
      </w:r>
      <w:r>
        <w:t xml:space="preserve">although this figure reduced to </w:t>
      </w:r>
      <w:r w:rsidRPr="00183D3F">
        <w:t>202</w:t>
      </w:r>
      <w:r>
        <w:t>μg/day (N=40) when the Shandong population with high habitual intake was excluded</w:t>
      </w:r>
      <w:r w:rsidRPr="00183D3F">
        <w:t>.</w:t>
      </w:r>
      <w:r>
        <w:t xml:space="preserve"> This corresponded with a RDI of 280μg/day when applying a 20% CV. </w:t>
      </w:r>
    </w:p>
    <w:p w14:paraId="40E7AF3B" w14:textId="77777777" w:rsidR="003138BD" w:rsidRDefault="003138BD" w:rsidP="003138BD">
      <w:r>
        <w:t xml:space="preserve">This balance study overcame some limitations of classical iodine balance studies, with participants maintaining their typical diet, rather than implementing an experimental diet. This negated the requirement for adequate ‘run in’ periods, </w:t>
      </w:r>
      <w:proofErr w:type="gramStart"/>
      <w:r>
        <w:t>provided that</w:t>
      </w:r>
      <w:proofErr w:type="gramEnd"/>
      <w:r>
        <w:t xml:space="preserve"> participants did not alter their diets in response to the experimental conditions. Nevertheless, this approach also has some limitations, including that participants may alter their diet - or omit some foods from the duplicate portions - due to social desirability bias. Furthermore, while participants were trained in sample collection methodology, there is no information provided about adherence to these protocols. Consequently, the potential for sampling errors cannot be ruled out. </w:t>
      </w:r>
    </w:p>
    <w:p w14:paraId="133A31FE" w14:textId="77777777" w:rsidR="003138BD" w:rsidRDefault="003138BD" w:rsidP="003138BD">
      <w:r>
        <w:t>Similarly, the authors note that experimentally derived estimates of iodine balance have been found to increase with higher habitual iodine intake - potentially due to in increased iodine storage with high habitual intake. Consequently, the lower estimate of neutral balance (202μg/day) derived from 40 pregnant women in Tianjin and Hebei likely provides a more accurate estimate of minimum requirements for preventing deficiency. The intake at which neutral balance occurred was also higher in the third trimester compared with the first trimester, suggesting that iodine requirements may vary during pregnancy. Finally, the authors noted that missing data due to loss to follow-up or missed sample collection may have impacted findings, with only 55 of the 85 enrolled participants providing samples across all 7 days.</w:t>
      </w:r>
    </w:p>
    <w:p w14:paraId="3A9CA2A8" w14:textId="77777777" w:rsidR="003138BD" w:rsidRDefault="003138BD" w:rsidP="00D36911">
      <w:pPr>
        <w:pStyle w:val="Heading5"/>
      </w:pPr>
      <w:r>
        <w:t xml:space="preserve">Additional requirements during pregnancy </w:t>
      </w:r>
    </w:p>
    <w:p w14:paraId="2618E884" w14:textId="77777777" w:rsidR="003138BD" w:rsidRPr="00763B92" w:rsidRDefault="003138BD" w:rsidP="003138BD">
      <w:pPr>
        <w:rPr>
          <w:u w:val="single"/>
        </w:rPr>
      </w:pPr>
      <w:r>
        <w:t xml:space="preserve">Iodine intake during pregnancy must be sufficient to support maternal thyroid function and </w:t>
      </w:r>
      <w:proofErr w:type="spellStart"/>
      <w:r>
        <w:t>fetal</w:t>
      </w:r>
      <w:proofErr w:type="spellEnd"/>
      <w:r>
        <w:t xml:space="preserve"> development. Production of maternal thyroid hormones increase during pregnancy, with studies </w:t>
      </w:r>
      <w:r>
        <w:lastRenderedPageBreak/>
        <w:t xml:space="preserve">suggesting increased requirements of 40 to 60 µg/day of exogenous thyroxine in fully T4-substituted patients, equating to approximately 20 - 29 µg/day of iodine capture (EFSA 2014, Mandel et al 1990, Alexander et al 2004, Kaplan 1992, Yassa et al 2010). To meet this need, EFSA (2014) estimated additional thyroid iodine capture to be 25 µg/day, equating to an increase of 44 µg/day in iodine intake. Additional iodine is also required to support </w:t>
      </w:r>
      <w:proofErr w:type="spellStart"/>
      <w:r>
        <w:t>fetal</w:t>
      </w:r>
      <w:proofErr w:type="spellEnd"/>
      <w:r>
        <w:t xml:space="preserve"> development, including production of thyroid hormone for storage in the </w:t>
      </w:r>
      <w:proofErr w:type="spellStart"/>
      <w:r>
        <w:t>fetal</w:t>
      </w:r>
      <w:proofErr w:type="spellEnd"/>
      <w:r>
        <w:t xml:space="preserve"> thyroid, placenta and amniotic fluid, although these requirements are estimated to be very low, equating to 1μg/day throughout pregnancy (EFSA 2014). </w:t>
      </w:r>
    </w:p>
    <w:p w14:paraId="249CCF7F" w14:textId="77777777" w:rsidR="003138BD" w:rsidRPr="00A44090" w:rsidRDefault="003138BD" w:rsidP="00D36911">
      <w:pPr>
        <w:pStyle w:val="Heading4"/>
      </w:pPr>
      <w:bookmarkStart w:id="97" w:name="_Toc202956852"/>
      <w:bookmarkStart w:id="98" w:name="_Toc210406376"/>
      <w:bookmarkStart w:id="99" w:name="_Toc212567875"/>
      <w:r>
        <w:t>Requirements during lactation</w:t>
      </w:r>
      <w:bookmarkEnd w:id="97"/>
      <w:bookmarkEnd w:id="98"/>
      <w:bookmarkEnd w:id="99"/>
    </w:p>
    <w:p w14:paraId="2ED0EFD0" w14:textId="77777777" w:rsidR="003138BD" w:rsidRDefault="003138BD" w:rsidP="00D36911">
      <w:pPr>
        <w:pStyle w:val="Heading5"/>
      </w:pPr>
      <w:r>
        <w:t>Neutral balance in infants</w:t>
      </w:r>
    </w:p>
    <w:p w14:paraId="208CCCA4" w14:textId="77777777" w:rsidR="003138BD" w:rsidRDefault="003138BD" w:rsidP="003138BD">
      <w:r>
        <w:t xml:space="preserve">A 2016 </w:t>
      </w:r>
      <w:r w:rsidRPr="00FF16CE">
        <w:t xml:space="preserve">crossover </w:t>
      </w:r>
      <w:r>
        <w:t xml:space="preserve">study examining iodine balance in 11 healthy, formula-fed infants aged 2 to 5 months found that </w:t>
      </w:r>
      <w:r w:rsidRPr="00FF16CE">
        <w:t>null balance</w:t>
      </w:r>
      <w:r>
        <w:t xml:space="preserve"> occurred with intakes of </w:t>
      </w:r>
      <w:r w:rsidRPr="00FF16CE">
        <w:t>70</w:t>
      </w:r>
      <w:r>
        <w:t>μg/day (Dold et al 2016). However, it has been suggested that intakes should exceed that required for nutritional adequacy of infants during this life stage, to support accumulation of thyroidal iodine (Dror &amp; Allen 2018).</w:t>
      </w:r>
    </w:p>
    <w:p w14:paraId="54936D65" w14:textId="77777777" w:rsidR="003138BD" w:rsidRPr="00763B92" w:rsidRDefault="003138BD" w:rsidP="00D36911">
      <w:pPr>
        <w:pStyle w:val="Heading5"/>
      </w:pPr>
      <w:r w:rsidRPr="00763B92">
        <w:t>Breast milk composition</w:t>
      </w:r>
    </w:p>
    <w:p w14:paraId="36D88FE9" w14:textId="77777777" w:rsidR="003138BD" w:rsidRDefault="003138BD" w:rsidP="003138BD">
      <w:r>
        <w:t xml:space="preserve">The linear relationship between maternal iodine intake and breast milk iodine concentration (BMIC) in the range 50 - 400 µg/L (Azizi and Smyth, 2009) suggests that BMIC varies with maternal intake, rather than reflecting infant requirements. Nevertheless, an understanding of the levels of iodine excreted in breast milk is informative for determining intake requirements during lactation.  In populations with adequate thyroid status and iodine intakes, EFSA (2014) iodinated </w:t>
      </w:r>
      <w:proofErr w:type="spellStart"/>
      <w:r>
        <w:t>Tg</w:t>
      </w:r>
      <w:proofErr w:type="spellEnd"/>
      <w:r>
        <w:t xml:space="preserve"> reserves mean that intake is not required to fully compensate for iodine losses in breast milk. Furthermore, in the Australian and New Zealand context - in which many women of childbearing age enter pregnancy in a state of mild deficiency - thyroidal iodine stores may be limited, and recommendations may need to approach full replacement to avoid deficiency states. </w:t>
      </w:r>
    </w:p>
    <w:p w14:paraId="2D15BDC7" w14:textId="77777777" w:rsidR="003138BD" w:rsidRDefault="003138BD" w:rsidP="003138BD">
      <w:r>
        <w:t>There is no established reference range for breast milk iodine concentration (BMIC), and significant variation in BMIC is noted both between populations, and over the course of lactation (Dror &amp; Allen 2018).  A systematic review of the iodine content in human breast milk found that - in the first 6 months of lactation - infant requirements would be met with BMIC of 150μg/L (Dror &amp; Allen 2018). This finding supports the conclusions of EFSA (2014) which suggested that positive balance was reached with BMIC between 100 and 200 µg/L.</w:t>
      </w:r>
      <w:r w:rsidRPr="00D8191A">
        <w:t xml:space="preserve"> </w:t>
      </w:r>
      <w:r>
        <w:t>Assuming an average breast milk volume of 0.8L / day, EFSA suggested that an additional 120 µg/day of iodine would be required to achieve BMIC of 150μg/L (EFSA 2014).</w:t>
      </w:r>
    </w:p>
    <w:p w14:paraId="361E56DB" w14:textId="77777777" w:rsidR="003138BD" w:rsidRPr="00287C20" w:rsidRDefault="003138BD" w:rsidP="003138BD">
      <w:pPr>
        <w:rPr>
          <w:rFonts w:asciiTheme="majorHAnsi" w:hAnsiTheme="majorHAnsi"/>
          <w:color w:val="379AC4" w:themeColor="accent1" w:themeShade="BF"/>
          <w:sz w:val="32"/>
        </w:rPr>
      </w:pPr>
      <w:r>
        <w:br w:type="page"/>
      </w:r>
    </w:p>
    <w:p w14:paraId="44F6E80D" w14:textId="77777777" w:rsidR="003138BD" w:rsidRDefault="003138BD" w:rsidP="00D36911">
      <w:pPr>
        <w:pStyle w:val="Heading3"/>
      </w:pPr>
      <w:bookmarkStart w:id="100" w:name="_Toc202956853"/>
      <w:bookmarkStart w:id="101" w:name="_Toc210406377"/>
      <w:bookmarkStart w:id="102" w:name="_Toc212567876"/>
      <w:r>
        <w:lastRenderedPageBreak/>
        <w:t>Intake, status and health relationships</w:t>
      </w:r>
      <w:bookmarkEnd w:id="100"/>
      <w:bookmarkEnd w:id="101"/>
      <w:bookmarkEnd w:id="102"/>
    </w:p>
    <w:p w14:paraId="4F31020E" w14:textId="77777777" w:rsidR="003138BD" w:rsidRDefault="003138BD" w:rsidP="00D36911">
      <w:pPr>
        <w:pStyle w:val="Heading4"/>
      </w:pPr>
      <w:bookmarkStart w:id="103" w:name="_Toc202956854"/>
      <w:bookmarkStart w:id="104" w:name="_Toc210406378"/>
      <w:bookmarkStart w:id="105" w:name="_Toc212567877"/>
      <w:r>
        <w:t>Intake and status</w:t>
      </w:r>
      <w:bookmarkEnd w:id="103"/>
      <w:bookmarkEnd w:id="104"/>
      <w:bookmarkEnd w:id="105"/>
      <w:r>
        <w:t xml:space="preserve"> </w:t>
      </w:r>
    </w:p>
    <w:p w14:paraId="2628A9EE" w14:textId="77777777" w:rsidR="003138BD" w:rsidRDefault="003138BD" w:rsidP="00BB0205">
      <w:pPr>
        <w:pStyle w:val="Heading5"/>
      </w:pPr>
      <w:r w:rsidRPr="00B4528B">
        <w:t xml:space="preserve">Goitre prevalence </w:t>
      </w:r>
    </w:p>
    <w:p w14:paraId="010BD6F2" w14:textId="77777777" w:rsidR="003138BD" w:rsidRPr="00A8621D" w:rsidRDefault="003138BD" w:rsidP="003138BD">
      <w:r>
        <w:t xml:space="preserve">We sought studies that measured median UIC (MUIC) and goitre prevalence, to identify MUIC levels associated with population sufficiency (goitre prevalence &lt;5%) (WHO 2007).  Substantial variation in the </w:t>
      </w:r>
      <w:r w:rsidRPr="00356139">
        <w:t>MUIC values and prevalence rates</w:t>
      </w:r>
      <w:r>
        <w:t xml:space="preserve"> reported across studies was noted</w:t>
      </w:r>
      <w:r w:rsidRPr="00356139">
        <w:t xml:space="preserve">. This may be explained by a range of variables including differing geographic </w:t>
      </w:r>
      <w:r>
        <w:t xml:space="preserve">or nutrition </w:t>
      </w:r>
      <w:r w:rsidRPr="00356139">
        <w:t>contexts and related factors such as historical intakes (and delays in thyroid volume adjusting to adequacy where history of deficiency),</w:t>
      </w:r>
      <w:r w:rsidRPr="0066748C">
        <w:t xml:space="preserve"> methods for assessing goitre prevalence or thyroid volume, or failure to account for body surface area or age during thyroid volume assessment. For this reason, consideration was limited to studies conducted in regions comparable to the </w:t>
      </w:r>
      <w:r w:rsidRPr="003150C1">
        <w:t>Australian or New Zealand context, for which robust measurement methods were reported.</w:t>
      </w:r>
      <w:r>
        <w:t xml:space="preserve"> </w:t>
      </w:r>
      <w:r w:rsidRPr="00A8621D">
        <w:t xml:space="preserve">Studies in populations with UIC &gt; 100 and a recent history of deficiency were not considered, given the prolonged </w:t>
      </w:r>
      <w:r>
        <w:t xml:space="preserve">duration </w:t>
      </w:r>
      <w:r w:rsidRPr="00A8621D">
        <w:t xml:space="preserve">required for thyroid volume to return to normal following chronic deficiency. </w:t>
      </w:r>
    </w:p>
    <w:p w14:paraId="3E41C054" w14:textId="77777777" w:rsidR="003138BD" w:rsidRPr="00720C4E" w:rsidRDefault="003138BD" w:rsidP="003138BD">
      <w:pPr>
        <w:rPr>
          <w:highlight w:val="yellow"/>
        </w:rPr>
      </w:pPr>
      <w:r w:rsidRPr="003150C1">
        <w:t>EFSA (2014) recommendations are based on a study in 7,599 European school children across 57 sites in 12 countries (</w:t>
      </w:r>
      <w:r w:rsidRPr="00741CDB">
        <w:t>Delange et al 1997). Participants were aged 6 to 17 years, including a broader range of age groups than the WHO recommended school aged children of 6 to 12 years old (WHO 2007). Total goitre prevalence was more than 5% even in countries with median UIC &gt;100</w:t>
      </w:r>
      <w:r>
        <w:t>μg/L</w:t>
      </w:r>
      <w:r w:rsidRPr="00741CDB">
        <w:t>.  However, when adjusted for age and body-surface area, the 5% prevalence cut off was associated with median UIC of between 60 and 70</w:t>
      </w:r>
      <w:r>
        <w:t>μg/L</w:t>
      </w:r>
      <w:r w:rsidRPr="00741CDB">
        <w:t>.</w:t>
      </w:r>
      <w:r>
        <w:t xml:space="preserve"> On this basis, the reference UIC value of 100μg/L was selected from which AI values were derived.</w:t>
      </w:r>
    </w:p>
    <w:p w14:paraId="7B7C3C1E" w14:textId="77777777" w:rsidR="003138BD" w:rsidRDefault="003138BD" w:rsidP="003138BD">
      <w:r w:rsidRPr="002A3249">
        <w:t>In the Australian and New Zealand context, studies measuring median UIC and total goitre prevalence in children have reported mixed results. One study in 324 Australian children aged 5 to 13 years residing on the Central Coast of NSW reported a goitre prevalence of 0 with median UIC of 82</w:t>
      </w:r>
      <w:r>
        <w:t xml:space="preserve"> µg/L (Guttikonda et al. 2003)</w:t>
      </w:r>
      <w:r w:rsidRPr="002A3249">
        <w:t xml:space="preserve">. During a similar </w:t>
      </w:r>
      <w:proofErr w:type="gramStart"/>
      <w:r w:rsidRPr="002A3249">
        <w:t>time period</w:t>
      </w:r>
      <w:proofErr w:type="gramEnd"/>
      <w:r w:rsidRPr="002A3249">
        <w:t xml:space="preserve">, but in Melbourne, a study in </w:t>
      </w:r>
      <w:r>
        <w:t xml:space="preserve">577 </w:t>
      </w:r>
      <w:r w:rsidRPr="002A3249">
        <w:t>older school children aged 11 to 18 years reported a goitre prevalence of 19% with median UIC of 70</w:t>
      </w:r>
      <w:r>
        <w:t>μg/L</w:t>
      </w:r>
      <w:r w:rsidRPr="002A3249">
        <w:t xml:space="preserve"> (McDonnell et al 2003).</w:t>
      </w:r>
    </w:p>
    <w:p w14:paraId="681B3BE3" w14:textId="77777777" w:rsidR="003138BD" w:rsidRPr="00B4528B" w:rsidRDefault="003138BD" w:rsidP="00BB0205">
      <w:pPr>
        <w:pStyle w:val="Heading4"/>
      </w:pPr>
      <w:bookmarkStart w:id="106" w:name="_Toc202956855"/>
      <w:bookmarkStart w:id="107" w:name="_Toc210406379"/>
      <w:bookmarkStart w:id="108" w:name="_Toc212567878"/>
      <w:r>
        <w:t>Health outcomes in adults</w:t>
      </w:r>
      <w:bookmarkEnd w:id="106"/>
      <w:bookmarkEnd w:id="107"/>
      <w:bookmarkEnd w:id="108"/>
    </w:p>
    <w:p w14:paraId="77D5705E" w14:textId="77777777" w:rsidR="003138BD" w:rsidRDefault="003138BD" w:rsidP="00BB0205">
      <w:pPr>
        <w:pStyle w:val="Heading5"/>
      </w:pPr>
      <w:r w:rsidRPr="00EA3713">
        <w:t>Thyroid function</w:t>
      </w:r>
    </w:p>
    <w:p w14:paraId="5244BE7C" w14:textId="77777777" w:rsidR="003138BD" w:rsidRPr="00EE2171" w:rsidRDefault="003138BD" w:rsidP="00BB0205">
      <w:pPr>
        <w:pStyle w:val="Heading6"/>
      </w:pPr>
      <w:r>
        <w:t>Iodine deficiency</w:t>
      </w:r>
    </w:p>
    <w:p w14:paraId="324C6A19" w14:textId="77777777" w:rsidR="003138BD" w:rsidRDefault="003138BD" w:rsidP="003138BD">
      <w:r>
        <w:t xml:space="preserve">Iodine is an essential nutrient for thyroid hormone synthesis, and consequently severe deficiency affects thyroid hormone production ad thyroid function. However, the association between mild-to-moderate deficiency and thyroid function is less well-established. A recent systematic review explored this </w:t>
      </w:r>
      <w:proofErr w:type="gramStart"/>
      <w:r>
        <w:t>relationship, and</w:t>
      </w:r>
      <w:proofErr w:type="gramEnd"/>
      <w:r>
        <w:t xml:space="preserve"> found that comparative studies including individuals with both mild-to-moderate deficiency and adequate iodine status were lacking (Aarsland et al 2025). A total of 20 cross-sectional studies were identified that examined the effects of mild-to-moderate deficiency on thyroid function in the general adult population. Narrative synthesis was performed, with no consistent evidence of an effect reported across studies for the various thyroid function parameters reported (TSH, T3 and T4). These findings accorded with those of a 2020 analysis undertaken by the </w:t>
      </w:r>
      <w:r w:rsidRPr="0005509E">
        <w:t>Norwegian Scientific Committee on Food and Environment</w:t>
      </w:r>
      <w:r>
        <w:t xml:space="preserve"> (VKM, 2020) which </w:t>
      </w:r>
      <w:r>
        <w:lastRenderedPageBreak/>
        <w:t xml:space="preserve">found insufficient evidence to determine whether mild-to-moderate iodine deficiency was associated with thyroid dysfunction in nonpregnant adults. </w:t>
      </w:r>
    </w:p>
    <w:p w14:paraId="388F0CC3" w14:textId="77777777" w:rsidR="003138BD" w:rsidRPr="00EE2171" w:rsidRDefault="003138BD" w:rsidP="00BB0205">
      <w:pPr>
        <w:pStyle w:val="Heading6"/>
      </w:pPr>
      <w:r>
        <w:t>Excess intakes</w:t>
      </w:r>
    </w:p>
    <w:p w14:paraId="62E959D9" w14:textId="77777777" w:rsidR="003138BD" w:rsidRPr="002C0ED0" w:rsidRDefault="003138BD" w:rsidP="00BB0205">
      <w:pPr>
        <w:spacing w:before="60"/>
      </w:pPr>
      <w:r>
        <w:t>Evidence scoping (see ‘</w:t>
      </w:r>
      <w:r>
        <w:fldChar w:fldCharType="begin"/>
      </w:r>
      <w:r>
        <w:instrText xml:space="preserve"> REF _Ref208829521 \h </w:instrText>
      </w:r>
      <w:r>
        <w:fldChar w:fldCharType="separate"/>
      </w:r>
      <w:r>
        <w:t>Appendix D - Outcomes from review of primary studies</w:t>
      </w:r>
      <w:r>
        <w:fldChar w:fldCharType="end"/>
      </w:r>
      <w:r>
        <w:t xml:space="preserve">’) identified five interventional studies </w:t>
      </w:r>
      <w:r w:rsidRPr="002C0ED0">
        <w:t>in healthy</w:t>
      </w:r>
      <w:r>
        <w:t>, euthyroid</w:t>
      </w:r>
      <w:r w:rsidRPr="002C0ED0">
        <w:t xml:space="preserve"> adults </w:t>
      </w:r>
      <w:r>
        <w:t xml:space="preserve">that explored the effect of supplementation with </w:t>
      </w:r>
      <w:r w:rsidRPr="002C0ED0">
        <w:t xml:space="preserve">iodine </w:t>
      </w:r>
      <w:r>
        <w:t xml:space="preserve">on </w:t>
      </w:r>
      <w:r w:rsidRPr="009464B0">
        <w:t>status and thyroid function measures. However, studies were not combined in analysis due to significant heterogeneity in the setting, baseline and historical iodine status, and challenges with combining estimates of effect across varying urinary iodine measures. One study (Sang 2012) assessed</w:t>
      </w:r>
      <w:r>
        <w:t xml:space="preserve"> a broad range of supplementation doses and reported both the </w:t>
      </w:r>
      <w:r w:rsidRPr="002C0ED0">
        <w:t xml:space="preserve">supplementation amount and a measure of dietary </w:t>
      </w:r>
      <w:r>
        <w:t>i</w:t>
      </w:r>
      <w:r w:rsidRPr="002C0ED0">
        <w:t xml:space="preserve">odine intake to </w:t>
      </w:r>
      <w:r>
        <w:t xml:space="preserve">enable calculation of </w:t>
      </w:r>
      <w:r w:rsidRPr="002C0ED0">
        <w:t xml:space="preserve">overall </w:t>
      </w:r>
      <w:r>
        <w:t>i</w:t>
      </w:r>
      <w:r w:rsidRPr="002C0ED0">
        <w:t xml:space="preserve">odine intakes. Data from this publication was </w:t>
      </w:r>
      <w:r>
        <w:t xml:space="preserve">analysed </w:t>
      </w:r>
      <w:r w:rsidRPr="002C0ED0">
        <w:t xml:space="preserve">further to inform </w:t>
      </w:r>
      <w:r>
        <w:t>nutrient recommendations for i</w:t>
      </w:r>
      <w:r w:rsidRPr="002C0ED0">
        <w:t>odine.</w:t>
      </w:r>
    </w:p>
    <w:p w14:paraId="2D28BED6" w14:textId="77777777" w:rsidR="003138BD" w:rsidRPr="00F165A6" w:rsidRDefault="003138BD" w:rsidP="00BB0205">
      <w:pPr>
        <w:spacing w:before="60"/>
        <w:rPr>
          <w:highlight w:val="yellow"/>
        </w:rPr>
      </w:pPr>
      <w:r w:rsidRPr="00942BB6">
        <w:t xml:space="preserve">Sang </w:t>
      </w:r>
      <w:r>
        <w:t>et al. (</w:t>
      </w:r>
      <w:r w:rsidRPr="00942BB6">
        <w:t xml:space="preserve">2012) evaluated the effect of varying levels of supplementation (0 </w:t>
      </w:r>
      <w:r>
        <w:t>-</w:t>
      </w:r>
      <w:r w:rsidRPr="00942BB6">
        <w:t xml:space="preserve"> 2000</w:t>
      </w:r>
      <w:r>
        <w:t xml:space="preserve"> µg/day</w:t>
      </w:r>
      <w:r w:rsidRPr="00942BB6">
        <w:t xml:space="preserve">) on thyroid function parameters in 256 young, euthyroid Chinese adults aged 19 to 25 years. Participants with thyroid dysfunction, </w:t>
      </w:r>
      <w:proofErr w:type="spellStart"/>
      <w:r w:rsidRPr="00942BB6">
        <w:t>TPOAb</w:t>
      </w:r>
      <w:proofErr w:type="spellEnd"/>
      <w:r w:rsidRPr="00942BB6">
        <w:t xml:space="preserve">, </w:t>
      </w:r>
      <w:proofErr w:type="spellStart"/>
      <w:r w:rsidRPr="00942BB6">
        <w:t>TGAb</w:t>
      </w:r>
      <w:proofErr w:type="spellEnd"/>
      <w:r w:rsidRPr="00942BB6">
        <w:t xml:space="preserve"> or low urinary iodine (&lt;</w:t>
      </w:r>
      <w:r w:rsidRPr="00942BB6">
        <w:rPr>
          <w:iCs/>
        </w:rPr>
        <w:t>100</w:t>
      </w:r>
      <w:r>
        <w:rPr>
          <w:iCs/>
        </w:rPr>
        <w:t xml:space="preserve"> µg/L</w:t>
      </w:r>
      <w:r w:rsidRPr="00942BB6">
        <w:rPr>
          <w:iCs/>
        </w:rPr>
        <w:t xml:space="preserve">) </w:t>
      </w:r>
      <w:r w:rsidRPr="00942BB6">
        <w:t>were excluded from participation.</w:t>
      </w:r>
    </w:p>
    <w:p w14:paraId="0F2DEBE4" w14:textId="77777777" w:rsidR="003138BD" w:rsidRDefault="003138BD" w:rsidP="00BB0205">
      <w:pPr>
        <w:spacing w:before="60"/>
      </w:pPr>
      <w:r>
        <w:t xml:space="preserve">The trial was performed in two phases, with the initial phase conducted in 2004 (iodine supplement &gt;500 </w:t>
      </w:r>
      <w:proofErr w:type="spellStart"/>
      <w:r>
        <w:t>μg</w:t>
      </w:r>
      <w:proofErr w:type="spellEnd"/>
      <w:r>
        <w:t xml:space="preserve">/day) and the second phase (iodine supplement 0-400 </w:t>
      </w:r>
      <w:proofErr w:type="spellStart"/>
      <w:r>
        <w:t>μg</w:t>
      </w:r>
      <w:proofErr w:type="spellEnd"/>
      <w:r>
        <w:t xml:space="preserve">/day) in 2008. Participants were randomised to one of twelve interventions of iodine supplementation ranging from 0-2000 ug/day for a </w:t>
      </w:r>
      <w:proofErr w:type="gramStart"/>
      <w:r>
        <w:t>four week</w:t>
      </w:r>
      <w:proofErr w:type="gramEnd"/>
      <w:r>
        <w:t xml:space="preserve"> period.</w:t>
      </w:r>
    </w:p>
    <w:p w14:paraId="6FBF3CA0" w14:textId="77777777" w:rsidR="003138BD" w:rsidRDefault="003138BD" w:rsidP="00BB0205">
      <w:pPr>
        <w:spacing w:before="60"/>
        <w:rPr>
          <w:lang w:val="en-GB"/>
        </w:rPr>
      </w:pPr>
      <w:r w:rsidRPr="00816F65">
        <w:rPr>
          <w:lang w:val="en-GB"/>
        </w:rPr>
        <w:t xml:space="preserve">Dietary </w:t>
      </w:r>
      <w:r>
        <w:rPr>
          <w:lang w:val="en-GB"/>
        </w:rPr>
        <w:t>i</w:t>
      </w:r>
      <w:r w:rsidRPr="00816F65">
        <w:rPr>
          <w:lang w:val="en-GB"/>
        </w:rPr>
        <w:t>odine intake was assessed with self-administered 24-hour recalls</w:t>
      </w:r>
      <w:r>
        <w:rPr>
          <w:lang w:val="en-GB"/>
        </w:rPr>
        <w:t xml:space="preserve">. </w:t>
      </w:r>
      <w:r w:rsidRPr="00816F65">
        <w:rPr>
          <w:lang w:val="en-GB"/>
        </w:rPr>
        <w:t>Most participants obtained their food from cafeteria at the Tianjin Medical University, limiting the range of foods reported.</w:t>
      </w:r>
      <w:r>
        <w:rPr>
          <w:lang w:val="en-GB"/>
        </w:rPr>
        <w:t xml:space="preserve">  </w:t>
      </w:r>
      <w:r w:rsidRPr="00816F65">
        <w:rPr>
          <w:lang w:val="en-GB"/>
        </w:rPr>
        <w:t xml:space="preserve">Iodine content of reported foods consumed was calculated from Chinese food composition tables and informed by sampling 169 samples of 36 commonly reported foods as well as 15 drinking water and salt samples from </w:t>
      </w:r>
      <w:proofErr w:type="gramStart"/>
      <w:r>
        <w:rPr>
          <w:lang w:val="en-GB"/>
        </w:rPr>
        <w:t>U</w:t>
      </w:r>
      <w:r w:rsidRPr="00816F65">
        <w:rPr>
          <w:lang w:val="en-GB"/>
        </w:rPr>
        <w:t>niversity</w:t>
      </w:r>
      <w:proofErr w:type="gramEnd"/>
      <w:r w:rsidRPr="00816F65">
        <w:rPr>
          <w:lang w:val="en-GB"/>
        </w:rPr>
        <w:t xml:space="preserve"> cafeterias.</w:t>
      </w:r>
      <w:r>
        <w:rPr>
          <w:lang w:val="en-GB"/>
        </w:rPr>
        <w:t xml:space="preserve"> UIC from spot urine also measured at each timepoint.</w:t>
      </w:r>
    </w:p>
    <w:p w14:paraId="1685CC2D" w14:textId="77777777" w:rsidR="003138BD" w:rsidRPr="00816F65" w:rsidRDefault="003138BD" w:rsidP="00BB0205">
      <w:pPr>
        <w:spacing w:before="60"/>
        <w:rPr>
          <w:lang w:val="en-GB"/>
        </w:rPr>
      </w:pPr>
      <w:r w:rsidRPr="00202124">
        <w:t>Serum concentrations of FT</w:t>
      </w:r>
      <w:r w:rsidRPr="00202124">
        <w:rPr>
          <w:vertAlign w:val="subscript"/>
        </w:rPr>
        <w:t>4</w:t>
      </w:r>
      <w:r w:rsidRPr="00202124">
        <w:t>, FT</w:t>
      </w:r>
      <w:r w:rsidRPr="00202124">
        <w:rPr>
          <w:vertAlign w:val="subscript"/>
        </w:rPr>
        <w:t>3</w:t>
      </w:r>
      <w:r w:rsidRPr="00202124">
        <w:t xml:space="preserve">, and TSH were measured </w:t>
      </w:r>
      <w:r>
        <w:rPr>
          <w:lang w:val="en-GB"/>
        </w:rPr>
        <w:t xml:space="preserve">by </w:t>
      </w:r>
      <w:r w:rsidRPr="00816F65">
        <w:rPr>
          <w:lang w:val="en-GB"/>
        </w:rPr>
        <w:t>automated chemiluminescent immunoassay</w:t>
      </w:r>
      <w:r>
        <w:rPr>
          <w:lang w:val="en-GB"/>
        </w:rPr>
        <w:t xml:space="preserve">, with reference ranges </w:t>
      </w:r>
      <w:proofErr w:type="gramStart"/>
      <w:r>
        <w:rPr>
          <w:lang w:val="en-GB"/>
        </w:rPr>
        <w:t>of:</w:t>
      </w:r>
      <w:proofErr w:type="gramEnd"/>
      <w:r>
        <w:rPr>
          <w:lang w:val="en-GB"/>
        </w:rPr>
        <w:t xml:space="preserve"> </w:t>
      </w:r>
      <w:r w:rsidRPr="00A73165">
        <w:t xml:space="preserve">11.5-23.5 </w:t>
      </w:r>
      <w:proofErr w:type="spellStart"/>
      <w:r w:rsidRPr="00A73165">
        <w:t>pmol</w:t>
      </w:r>
      <w:proofErr w:type="spellEnd"/>
      <w:r w:rsidRPr="00A73165">
        <w:t>/L</w:t>
      </w:r>
      <w:r>
        <w:t xml:space="preserve"> (</w:t>
      </w:r>
      <w:r w:rsidRPr="00A73165">
        <w:t>FT</w:t>
      </w:r>
      <w:r w:rsidRPr="00A73165">
        <w:rPr>
          <w:vertAlign w:val="subscript"/>
        </w:rPr>
        <w:t>4</w:t>
      </w:r>
      <w:r>
        <w:t>);</w:t>
      </w:r>
      <w:r w:rsidRPr="00A73165">
        <w:t xml:space="preserve"> 3.5-615 </w:t>
      </w:r>
      <w:proofErr w:type="spellStart"/>
      <w:r w:rsidRPr="00A73165">
        <w:t>pmol</w:t>
      </w:r>
      <w:proofErr w:type="spellEnd"/>
      <w:r w:rsidRPr="00A73165">
        <w:t xml:space="preserve">/L </w:t>
      </w:r>
      <w:r>
        <w:t>(</w:t>
      </w:r>
      <w:r w:rsidRPr="00A73165">
        <w:t>FT</w:t>
      </w:r>
      <w:r w:rsidRPr="00A73165">
        <w:rPr>
          <w:vertAlign w:val="subscript"/>
        </w:rPr>
        <w:t>3</w:t>
      </w:r>
      <w:r>
        <w:t xml:space="preserve">) </w:t>
      </w:r>
      <w:r w:rsidRPr="00A73165">
        <w:t>and 0.3-</w:t>
      </w:r>
      <w:r>
        <w:t> </w:t>
      </w:r>
      <w:r w:rsidRPr="00A73165">
        <w:t>5.0</w:t>
      </w:r>
      <w:r>
        <w:t xml:space="preserve"> </w:t>
      </w:r>
      <w:proofErr w:type="spellStart"/>
      <w:r>
        <w:t>mU</w:t>
      </w:r>
      <w:proofErr w:type="spellEnd"/>
      <w:r>
        <w:t>/L</w:t>
      </w:r>
      <w:r w:rsidRPr="00A73165">
        <w:t xml:space="preserve"> </w:t>
      </w:r>
      <w:r>
        <w:t>(</w:t>
      </w:r>
      <w:r w:rsidRPr="00A73165">
        <w:t>TSH</w:t>
      </w:r>
      <w:r>
        <w:t>)</w:t>
      </w:r>
      <w:r w:rsidRPr="00816F65">
        <w:rPr>
          <w:lang w:val="en-GB"/>
        </w:rPr>
        <w:t xml:space="preserve">. Baseline </w:t>
      </w:r>
      <w:r>
        <w:rPr>
          <w:lang w:val="en-GB"/>
        </w:rPr>
        <w:t xml:space="preserve">median UIC </w:t>
      </w:r>
      <w:r w:rsidRPr="00816F65">
        <w:rPr>
          <w:lang w:val="en-GB"/>
        </w:rPr>
        <w:t>was 272 and 304</w:t>
      </w:r>
      <w:r>
        <w:rPr>
          <w:lang w:val="en-GB"/>
        </w:rPr>
        <w:t xml:space="preserve"> </w:t>
      </w:r>
      <w:proofErr w:type="spellStart"/>
      <w:r>
        <w:rPr>
          <w:lang w:val="en-GB"/>
        </w:rPr>
        <w:t>μg</w:t>
      </w:r>
      <w:proofErr w:type="spellEnd"/>
      <w:r>
        <w:rPr>
          <w:lang w:val="en-GB"/>
        </w:rPr>
        <w:t>/L</w:t>
      </w:r>
      <w:r w:rsidRPr="00816F65">
        <w:rPr>
          <w:lang w:val="en-GB"/>
        </w:rPr>
        <w:t xml:space="preserve"> in 2004 </w:t>
      </w:r>
      <w:r>
        <w:rPr>
          <w:lang w:val="en-GB"/>
        </w:rPr>
        <w:t xml:space="preserve">(phase I) </w:t>
      </w:r>
      <w:r w:rsidRPr="00816F65">
        <w:rPr>
          <w:lang w:val="en-GB"/>
        </w:rPr>
        <w:t>and 2008</w:t>
      </w:r>
      <w:r>
        <w:rPr>
          <w:lang w:val="en-GB"/>
        </w:rPr>
        <w:t xml:space="preserve"> (phase II)</w:t>
      </w:r>
      <w:r w:rsidRPr="00816F65">
        <w:rPr>
          <w:lang w:val="en-GB"/>
        </w:rPr>
        <w:t>, respectively.</w:t>
      </w:r>
    </w:p>
    <w:p w14:paraId="25F68C2D" w14:textId="77777777" w:rsidR="003138BD" w:rsidRDefault="003138BD" w:rsidP="00BB0205">
      <w:pPr>
        <w:spacing w:before="60"/>
      </w:pPr>
      <w:r>
        <w:t>We extracted n</w:t>
      </w:r>
      <w:r w:rsidRPr="002B7877">
        <w:t xml:space="preserve">umerical data and plotted </w:t>
      </w:r>
      <w:r>
        <w:t xml:space="preserve">it </w:t>
      </w:r>
      <w:r w:rsidRPr="002B7877">
        <w:t xml:space="preserve">to show associations between total </w:t>
      </w:r>
      <w:r>
        <w:t>i</w:t>
      </w:r>
      <w:r w:rsidRPr="002B7877">
        <w:t xml:space="preserve">odine intake (supplementation and dietary sources) </w:t>
      </w:r>
      <w:r w:rsidRPr="0067618F">
        <w:t xml:space="preserve">and measures of thyroid function and size with a locally weighted regression curve </w:t>
      </w:r>
      <w:r>
        <w:t>(</w:t>
      </w:r>
      <w:r w:rsidRPr="0067618F">
        <w:t>or bar graph for incidence of subclinical hypothyroidism</w:t>
      </w:r>
      <w:r>
        <w:t>)</w:t>
      </w:r>
      <w:r w:rsidRPr="0067618F">
        <w:t>.</w:t>
      </w:r>
      <w:r>
        <w:t xml:space="preserve"> The resulting graphs for other thyroid function measures are shown at </w:t>
      </w:r>
      <w:r>
        <w:fldChar w:fldCharType="begin"/>
      </w:r>
      <w:r>
        <w:instrText xml:space="preserve"> REF _Ref208829552 \h </w:instrText>
      </w:r>
      <w:r>
        <w:fldChar w:fldCharType="separate"/>
      </w:r>
      <w:r>
        <w:t xml:space="preserve">Appendix B - Supplementary analyses, </w:t>
      </w:r>
      <w:proofErr w:type="gramStart"/>
      <w:r>
        <w:t>Sang</w:t>
      </w:r>
      <w:proofErr w:type="gramEnd"/>
      <w:r>
        <w:t xml:space="preserve"> et al (2012)</w:t>
      </w:r>
      <w:r>
        <w:fldChar w:fldCharType="end"/>
      </w:r>
      <w:r>
        <w:t>, with results for elevated TSH and subclinical hypothyroidism shown here.</w:t>
      </w:r>
      <w:r w:rsidRPr="0067618F">
        <w:t xml:space="preserve"> Measures of variance, either confidence intervals or 25</w:t>
      </w:r>
      <w:r w:rsidRPr="0067618F">
        <w:rPr>
          <w:vertAlign w:val="superscript"/>
        </w:rPr>
        <w:t>th</w:t>
      </w:r>
      <w:r w:rsidRPr="0067618F">
        <w:t>/75</w:t>
      </w:r>
      <w:r w:rsidRPr="0067618F">
        <w:rPr>
          <w:vertAlign w:val="superscript"/>
        </w:rPr>
        <w:t>th</w:t>
      </w:r>
      <w:r w:rsidRPr="0067618F">
        <w:t xml:space="preserve"> percentiles, are shown as dashed lines around the regression line. The mean results for the twelve </w:t>
      </w:r>
      <w:r>
        <w:t>i</w:t>
      </w:r>
      <w:r w:rsidRPr="0067618F">
        <w:t>odine interventions that inform the line are shown as grey circles.</w:t>
      </w:r>
    </w:p>
    <w:p w14:paraId="34EA2A3B" w14:textId="5925999B" w:rsidR="00BB0205" w:rsidRDefault="003138BD" w:rsidP="00BB0205">
      <w:pPr>
        <w:spacing w:before="60"/>
        <w:rPr>
          <w:rFonts w:eastAsia="Times New Roman"/>
          <w:szCs w:val="20"/>
        </w:rPr>
      </w:pPr>
      <w:r>
        <w:rPr>
          <w:rFonts w:eastAsia="Times New Roman"/>
          <w:szCs w:val="20"/>
        </w:rPr>
        <w:t xml:space="preserve">Overall, </w:t>
      </w:r>
      <w:r w:rsidRPr="00AC4519">
        <w:rPr>
          <w:rFonts w:eastAsia="Times New Roman"/>
          <w:szCs w:val="20"/>
        </w:rPr>
        <w:t xml:space="preserve">the results </w:t>
      </w:r>
      <w:r>
        <w:rPr>
          <w:rFonts w:eastAsia="Times New Roman"/>
          <w:szCs w:val="20"/>
        </w:rPr>
        <w:t xml:space="preserve">from Sang et. al. (2012) </w:t>
      </w:r>
      <w:proofErr w:type="gramStart"/>
      <w:r w:rsidRPr="00AC4519">
        <w:rPr>
          <w:rFonts w:eastAsia="Times New Roman"/>
          <w:szCs w:val="20"/>
        </w:rPr>
        <w:t>demonstrate</w:t>
      </w:r>
      <w:proofErr w:type="gramEnd"/>
      <w:r w:rsidRPr="00AC4519">
        <w:rPr>
          <w:rFonts w:eastAsia="Times New Roman"/>
          <w:szCs w:val="20"/>
        </w:rPr>
        <w:t xml:space="preserve"> significant capacity for the thyroid to adapt to high intakes of iodine </w:t>
      </w:r>
      <w:r>
        <w:rPr>
          <w:rFonts w:eastAsia="Times New Roman"/>
          <w:szCs w:val="20"/>
        </w:rPr>
        <w:t>-</w:t>
      </w:r>
      <w:r w:rsidRPr="00AC4519">
        <w:rPr>
          <w:rFonts w:eastAsia="Times New Roman"/>
          <w:szCs w:val="20"/>
        </w:rPr>
        <w:t xml:space="preserve"> including intakes </w:t>
      </w:r>
      <w:r>
        <w:rPr>
          <w:rFonts w:eastAsia="Times New Roman"/>
          <w:szCs w:val="20"/>
        </w:rPr>
        <w:t xml:space="preserve">substantially exceeding </w:t>
      </w:r>
      <w:r w:rsidRPr="00AC4519">
        <w:rPr>
          <w:rFonts w:eastAsia="Times New Roman"/>
          <w:szCs w:val="20"/>
        </w:rPr>
        <w:t>current UL recommendations.</w:t>
      </w:r>
      <w:r>
        <w:rPr>
          <w:rFonts w:eastAsia="Times New Roman"/>
          <w:szCs w:val="20"/>
        </w:rPr>
        <w:t xml:space="preserve"> However, elevated </w:t>
      </w:r>
      <w:r w:rsidRPr="00AC4519">
        <w:rPr>
          <w:rFonts w:eastAsia="Times New Roman"/>
          <w:szCs w:val="20"/>
        </w:rPr>
        <w:t>TSH</w:t>
      </w:r>
      <w:r>
        <w:rPr>
          <w:rFonts w:eastAsia="Times New Roman"/>
          <w:szCs w:val="20"/>
        </w:rPr>
        <w:t xml:space="preserve"> and increasing rates of subclinical hypothyroidism were observed </w:t>
      </w:r>
      <w:r w:rsidRPr="00AC4519">
        <w:rPr>
          <w:rFonts w:eastAsia="Times New Roman"/>
          <w:szCs w:val="20"/>
        </w:rPr>
        <w:t>with iodine intakes</w:t>
      </w:r>
      <w:r>
        <w:rPr>
          <w:rFonts w:eastAsia="Times New Roman"/>
          <w:szCs w:val="20"/>
        </w:rPr>
        <w:t xml:space="preserve"> of 869 µg/day or greater.  At this level of intake, cases of subclinical hypothyroidism became significantly increased, and the upper bound of the 95% CI for TSH was elevated beyond the top of the reference range, which Sang et. al. (2012) stated to be 0.3-5.0 </w:t>
      </w:r>
      <w:proofErr w:type="spellStart"/>
      <w:r>
        <w:rPr>
          <w:rFonts w:eastAsia="Times New Roman"/>
          <w:szCs w:val="20"/>
        </w:rPr>
        <w:t>mU</w:t>
      </w:r>
      <w:proofErr w:type="spellEnd"/>
      <w:r>
        <w:rPr>
          <w:rFonts w:eastAsia="Times New Roman"/>
          <w:szCs w:val="20"/>
        </w:rPr>
        <w:t>/L for the TSH assay used.</w:t>
      </w:r>
    </w:p>
    <w:p w14:paraId="5EA2884C" w14:textId="1C53B5C9" w:rsidR="00391F3D" w:rsidRPr="00BB0205" w:rsidRDefault="00BB0205" w:rsidP="00391F3D">
      <w:pPr>
        <w:pStyle w:val="NoSpacing"/>
        <w:rPr>
          <w:rFonts w:eastAsia="Times New Roman"/>
          <w:szCs w:val="20"/>
        </w:rPr>
      </w:pPr>
      <w:r w:rsidRPr="00AB2A07">
        <w:rPr>
          <w:noProof/>
        </w:rPr>
        <w:lastRenderedPageBreak/>
        <w:drawing>
          <wp:inline distT="0" distB="0" distL="0" distR="0" wp14:anchorId="275E9C2F" wp14:editId="3CBFCA9F">
            <wp:extent cx="4539727" cy="3256343"/>
            <wp:effectExtent l="0" t="0" r="0" b="1270"/>
            <wp:docPr id="2079305506" name="Picture 14" descr="Linear regression line showing that mean TSH concentration in study participants increased from 2.6 mlU/L to approximately 4.0 mlU/L as total iodine intake increased from approximately 375 to 1250 µg/day. At intakes higher than 1250 µg/day, mean TSH concentration plateaued between 3.6 and 4.6 ml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05506" name="Picture 14" descr="Linear regression line showing that mean TSH concentration in study participants increased from 2.6 mlU/L to approximately 4.0 mlU/L as total iodine intake increased from approximately 375 to 1250 µg/day. At intakes higher than 1250 µg/day, mean TSH concentration plateaued between 3.6 and 4.6 mlU/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0967" cy="3293098"/>
                    </a:xfrm>
                    <a:prstGeom prst="rect">
                      <a:avLst/>
                    </a:prstGeom>
                    <a:noFill/>
                    <a:ln>
                      <a:noFill/>
                    </a:ln>
                  </pic:spPr>
                </pic:pic>
              </a:graphicData>
            </a:graphic>
          </wp:inline>
        </w:drawing>
      </w:r>
    </w:p>
    <w:p w14:paraId="3324F456" w14:textId="1282AA33" w:rsidR="003138BD" w:rsidRPr="00BB0205" w:rsidRDefault="003138BD" w:rsidP="00391F3D">
      <w:pPr>
        <w:pStyle w:val="FigureTitle"/>
        <w:spacing w:before="120" w:after="0" w:line="240" w:lineRule="auto"/>
        <w:rPr>
          <w:rFonts w:eastAsia="Times New Roman"/>
          <w:szCs w:val="20"/>
        </w:rPr>
      </w:pPr>
      <w:r w:rsidRPr="00BB0205">
        <w:t>Mean TSH concentration with 95% confidence intervals and total Iodine intakes from 256 euthyroid adults after being randomized to one of twelve Iodine supplementation levels (0-2000ug) for four weeks.</w:t>
      </w:r>
    </w:p>
    <w:p w14:paraId="65D2D77C" w14:textId="77777777" w:rsidR="00391F3D" w:rsidRDefault="00391F3D" w:rsidP="00391F3D">
      <w:pPr>
        <w:pStyle w:val="NoSpacing"/>
      </w:pPr>
      <w:r w:rsidRPr="00AB2A07">
        <w:rPr>
          <w:noProof/>
        </w:rPr>
        <w:drawing>
          <wp:inline distT="0" distB="0" distL="0" distR="0" wp14:anchorId="3419D1C2" wp14:editId="3F26A927">
            <wp:extent cx="4589145" cy="3291840"/>
            <wp:effectExtent l="0" t="0" r="1905" b="3810"/>
            <wp:docPr id="1483147692" name="Picture 13" descr="Linear regression line showing that change in TSH concentration in study participants increased approximately threefold from 0.5 to 1.5 mlU/L as total iodine intake increased from approximately 375 µg/day to 1250 µg/day. At intakes higher than 1250 µg/day, change in TSH plateaued between 1.5 and 2 ml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47692" name="Picture 13" descr="Linear regression line showing that change in TSH concentration in study participants increased approximately threefold from 0.5 to 1.5 mlU/L as total iodine intake increased from approximately 375 µg/day to 1250 µg/day. At intakes higher than 1250 µg/day, change in TSH plateaued between 1.5 and 2 mlU/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9145" cy="3291840"/>
                    </a:xfrm>
                    <a:prstGeom prst="rect">
                      <a:avLst/>
                    </a:prstGeom>
                    <a:noFill/>
                    <a:ln>
                      <a:noFill/>
                    </a:ln>
                  </pic:spPr>
                </pic:pic>
              </a:graphicData>
            </a:graphic>
          </wp:inline>
        </w:drawing>
      </w:r>
    </w:p>
    <w:p w14:paraId="24B21573" w14:textId="77777777" w:rsidR="00391F3D" w:rsidRDefault="00391F3D" w:rsidP="00391F3D">
      <w:pPr>
        <w:pStyle w:val="NoSpacing"/>
      </w:pPr>
    </w:p>
    <w:p w14:paraId="40AADF4B" w14:textId="60353A42" w:rsidR="003138BD" w:rsidRDefault="003138BD" w:rsidP="00391F3D">
      <w:pPr>
        <w:pStyle w:val="FigureTitle"/>
      </w:pPr>
      <w:r w:rsidRPr="00AB2A07">
        <w:t>Change in TSH concentration with 95% confidence intervals and total Iodine intakes over four weeks in 256 euthyroid adults randomized to one of twelve Iodine supplementation levels (0-2000ug).</w:t>
      </w:r>
    </w:p>
    <w:p w14:paraId="5C450DF4" w14:textId="77777777" w:rsidR="00391F3D" w:rsidRPr="00AB2A07" w:rsidRDefault="00391F3D" w:rsidP="00391F3D">
      <w:pPr>
        <w:pStyle w:val="NoSpacing"/>
      </w:pPr>
    </w:p>
    <w:p w14:paraId="76451EA7" w14:textId="77777777" w:rsidR="003138BD" w:rsidRDefault="003138BD" w:rsidP="00AB2A07">
      <w:r w:rsidRPr="00AB2A07">
        <w:rPr>
          <w:noProof/>
        </w:rPr>
        <w:lastRenderedPageBreak/>
        <w:drawing>
          <wp:inline distT="0" distB="0" distL="0" distR="0" wp14:anchorId="16DA0207" wp14:editId="448C74B3">
            <wp:extent cx="5390000" cy="3851456"/>
            <wp:effectExtent l="0" t="0" r="1270" b="0"/>
            <wp:docPr id="195095935" name="Picture 10" descr="A bar graph showing that among the study population, 1 incident of subclinical hypothyroidism is observed at total iodine intakes of 658 and 762 µg/day. This increases slightly to 3 incidents at 869 µg/day, and increases further to between 5 and 11 cases of subclinical hypothyroidism at total iodine intakes between 1118 and 2375 µg/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5935" name="Picture 10" descr="A bar graph showing that among the study population, 1 incident of subclinical hypothyroidism is observed at total iodine intakes of 658 and 762 µg/day. This increases slightly to 3 incidents at 869 µg/day, and increases further to between 5 and 11 cases of subclinical hypothyroidism at total iodine intakes between 1118 and 2375 µg/day.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3676" cy="3875519"/>
                    </a:xfrm>
                    <a:prstGeom prst="rect">
                      <a:avLst/>
                    </a:prstGeom>
                    <a:noFill/>
                    <a:ln>
                      <a:noFill/>
                    </a:ln>
                  </pic:spPr>
                </pic:pic>
              </a:graphicData>
            </a:graphic>
          </wp:inline>
        </w:drawing>
      </w:r>
    </w:p>
    <w:p w14:paraId="54B5E7C6" w14:textId="1C0E506A" w:rsidR="003138BD" w:rsidRPr="00835622" w:rsidRDefault="003138BD" w:rsidP="00835622">
      <w:pPr>
        <w:pStyle w:val="FigureTitle"/>
        <w:numPr>
          <w:ilvl w:val="0"/>
          <w:numId w:val="39"/>
        </w:numPr>
        <w:rPr>
          <w:lang w:val="en-GB"/>
        </w:rPr>
      </w:pPr>
      <w:r w:rsidRPr="00C37688">
        <w:t>Incidence cases subclinical hypothyroidism by total Iodine intakes within four weeks in 256 euthyroid adults randomized to one of twelve Iodine supplementation levels (0-2000ug).</w:t>
      </w:r>
    </w:p>
    <w:p w14:paraId="6189818D" w14:textId="77777777" w:rsidR="003138BD" w:rsidRPr="00625DA9" w:rsidRDefault="003138BD" w:rsidP="00835622">
      <w:pPr>
        <w:pStyle w:val="Heading5"/>
      </w:pPr>
      <w:r w:rsidRPr="00625DA9">
        <w:t>Thyroid disease</w:t>
      </w:r>
    </w:p>
    <w:p w14:paraId="733BEA44" w14:textId="77777777" w:rsidR="003138BD" w:rsidRDefault="003138BD" w:rsidP="003138BD">
      <w:r w:rsidRPr="00A375BC">
        <w:t>A 2017 systematic review</w:t>
      </w:r>
      <w:r>
        <w:t xml:space="preserve"> and meta-analysis evaluating the relationship between iodine intake and thyroid disease (including thyroid cancer, nodules, hyperthyroidism and hypothyroidism) found that thyroid disease (any) prevalence was lowest when median UIC was between 100 - 299 µg/L (Weng et al 2017). </w:t>
      </w:r>
    </w:p>
    <w:p w14:paraId="5C97300F" w14:textId="77777777" w:rsidR="003138BD" w:rsidRDefault="003138BD" w:rsidP="003138BD">
      <w:r w:rsidRPr="005717D7">
        <w:t>Reviews examining the effect of iodine intake on thyroid cancer report mixed results. Cao et al (2017) sought case-control or cohort studies examining the effects of excess iodine intake (≥300</w:t>
      </w:r>
      <w:r>
        <w:t xml:space="preserve"> µg/day</w:t>
      </w:r>
      <w:r w:rsidRPr="005717D7">
        <w:t xml:space="preserve">) or deficient intake (≤74mg/day) on odds of thyroid cancer. Only three studies were identified that reported iodine intake. Meta analysis of 2 studies found that odds of thyroid cancer were reduced with excess iodine intake (OR 0.74; 95% CI 0.60, 0.92; p=0.007). No significant effect was observed when for deficient intakes and thyroid cancer odds (OR 1.22; 95% CI 0.94, 1.58; p=0.13). </w:t>
      </w:r>
    </w:p>
    <w:p w14:paraId="2F1B84F2" w14:textId="77777777" w:rsidR="003138BD" w:rsidRPr="0086565E" w:rsidRDefault="003138BD" w:rsidP="003138BD">
      <w:r>
        <w:t>Weng et al (2017) identified four studies examining the prevalence of thyroid cancer among groups with low (UIC &lt;100</w:t>
      </w:r>
      <w:r>
        <w:rPr>
          <w:rFonts w:ascii="AdvP7DA6" w:hAnsi="AdvP7DA6" w:cs="AdvP7DA6"/>
          <w:sz w:val="18"/>
        </w:rPr>
        <w:t xml:space="preserve"> µg/L</w:t>
      </w:r>
      <w:r>
        <w:t>), medium (UIC 100 - 299 µg/L), and high (UIC ≥300</w:t>
      </w:r>
      <w:r>
        <w:rPr>
          <w:rFonts w:ascii="AdvP7DA6" w:hAnsi="AdvP7DA6" w:cs="AdvP7DA6"/>
          <w:sz w:val="18"/>
        </w:rPr>
        <w:t xml:space="preserve"> µg/L</w:t>
      </w:r>
      <w:r>
        <w:t xml:space="preserve">) iodine groups. No significant </w:t>
      </w:r>
      <w:r w:rsidRPr="0086565E">
        <w:t>difference in thyroid cancer prevalence was observed between the medium or high iodine groups (no studies were identified in low iodine groups).</w:t>
      </w:r>
    </w:p>
    <w:p w14:paraId="4DC7F50E" w14:textId="77777777" w:rsidR="003138BD" w:rsidRDefault="003138BD" w:rsidP="003138BD">
      <w:r w:rsidRPr="0086565E">
        <w:t xml:space="preserve">Finally, Lee et al (2017) examined the relationship between iodine exposure and papillary thyroid carcinoma. Iodine exposure was determined using a range of measures including UIC, population </w:t>
      </w:r>
      <w:r w:rsidRPr="0086565E">
        <w:lastRenderedPageBreak/>
        <w:t xml:space="preserve">median UIC based on geographic location, regional salt iodization status, or dietary intake assessment. Overall, 16 studies evaluating iodine exposure and PTC odds were identified and pooled in meta-analysis. High iodine exposure was associated with increased odds of PTC (OR 1.418; 95% CI 1.054,1.909; p=0.02). However, subgroup analyses stratifying by iodine exposure measurement revealed inconsistent effects, with effects greatest when exposure was assessed by UIC or salt iodization. Consistent with the findings of Cao et al (2017), subgroup analyses revealed an inverse association between high iodine intake (based on dietary intake) and </w:t>
      </w:r>
      <w:r w:rsidRPr="00136CDA">
        <w:t>PTC (OR 0.842; 95% CI 0.608</w:t>
      </w:r>
      <w:r w:rsidRPr="0086565E">
        <w:t xml:space="preserve">, </w:t>
      </w:r>
      <w:r w:rsidRPr="00136CDA">
        <w:t xml:space="preserve">1.177; </w:t>
      </w:r>
      <w:r w:rsidRPr="0086565E">
        <w:t>p=NR</w:t>
      </w:r>
      <w:r w:rsidRPr="00136CDA">
        <w:t>)</w:t>
      </w:r>
      <w:r w:rsidRPr="0086565E">
        <w:t xml:space="preserve">. Results from subgroup analysis were not statistically significant for any group. </w:t>
      </w:r>
    </w:p>
    <w:p w14:paraId="0B10FC52" w14:textId="77777777" w:rsidR="003138BD" w:rsidRPr="00B4528B" w:rsidRDefault="003138BD" w:rsidP="00835622">
      <w:pPr>
        <w:pStyle w:val="Heading4"/>
      </w:pPr>
      <w:bookmarkStart w:id="109" w:name="_Toc202956856"/>
      <w:bookmarkStart w:id="110" w:name="_Toc210406380"/>
      <w:bookmarkStart w:id="111" w:name="_Toc212567879"/>
      <w:r>
        <w:t>Health outcomes during pregnancy</w:t>
      </w:r>
      <w:bookmarkEnd w:id="109"/>
      <w:r>
        <w:t xml:space="preserve"> and lactation</w:t>
      </w:r>
      <w:bookmarkEnd w:id="110"/>
      <w:bookmarkEnd w:id="111"/>
    </w:p>
    <w:p w14:paraId="25AC8E49" w14:textId="77777777" w:rsidR="003138BD" w:rsidRDefault="003138BD" w:rsidP="00835622">
      <w:pPr>
        <w:pStyle w:val="Heading5"/>
      </w:pPr>
      <w:r>
        <w:t>Maternal thyroid parameters</w:t>
      </w:r>
    </w:p>
    <w:p w14:paraId="67DB5EB5" w14:textId="77777777" w:rsidR="003138BD" w:rsidRPr="00EE2171" w:rsidRDefault="003138BD" w:rsidP="00835622">
      <w:pPr>
        <w:pStyle w:val="Heading6"/>
      </w:pPr>
      <w:r>
        <w:t>Iodine deficiency</w:t>
      </w:r>
    </w:p>
    <w:p w14:paraId="65CD3DF0" w14:textId="77777777" w:rsidR="003138BD" w:rsidRDefault="003138BD" w:rsidP="003138BD">
      <w:r>
        <w:t xml:space="preserve">A recent systematic review (Aarsland et al 2025) examined the relationship between mild-to-moderate deficiency in pregnant and lactating women (Aarsland et al 2025). A total of 43 studies were identified, comprising 30 cross-sectional studies, 12 repeated cross-sectional studies, and 1 cohort study.  Studies comparing thyroid function data in mild-to-moderately deficient and adequate groups were included in a meta-analysis. No significant differences were found between groups for TSH (8 studies), T3 (4 studies) or T4 (6 studies). Narrative synthesis across studies also found inconsistent results across the thyroid function parameters reported (TSH, T3, T4 and thyroid dysfunction). </w:t>
      </w:r>
    </w:p>
    <w:p w14:paraId="0DCE0784" w14:textId="77777777" w:rsidR="003138BD" w:rsidRPr="000150C2" w:rsidRDefault="003138BD" w:rsidP="00835622">
      <w:pPr>
        <w:pStyle w:val="Heading6"/>
      </w:pPr>
      <w:r>
        <w:t>Supplementation and maternal thyroid function</w:t>
      </w:r>
    </w:p>
    <w:p w14:paraId="340318F0" w14:textId="77777777" w:rsidR="003138BD" w:rsidRPr="0035697F" w:rsidRDefault="003138BD" w:rsidP="003138BD">
      <w:pPr>
        <w:rPr>
          <w:rFonts w:eastAsia="Times New Roman"/>
          <w:szCs w:val="20"/>
        </w:rPr>
      </w:pPr>
      <w:r>
        <w:rPr>
          <w:rFonts w:eastAsia="Times New Roman"/>
          <w:szCs w:val="20"/>
        </w:rPr>
        <w:t xml:space="preserve">A 2024 systematic review identified 4 studies that examined the effect of iodine supplementation on thyroid measures in post-partum women (Nazeri et al 2024). Two of the four studies were conducted in New Zealand, with the remaining studies in Morocco and Germany. Iodine dose varied from 75 to </w:t>
      </w:r>
      <w:r w:rsidRPr="003D67A6">
        <w:rPr>
          <w:rFonts w:eastAsia="Times New Roman"/>
          <w:szCs w:val="20"/>
        </w:rPr>
        <w:t xml:space="preserve">300 </w:t>
      </w:r>
      <w:proofErr w:type="spellStart"/>
      <w:r w:rsidRPr="003D67A6">
        <w:rPr>
          <w:rFonts w:eastAsia="Times New Roman" w:hint="eastAsia"/>
          <w:szCs w:val="20"/>
        </w:rPr>
        <w:t>μ</w:t>
      </w:r>
      <w:r w:rsidRPr="003D67A6">
        <w:rPr>
          <w:rFonts w:eastAsia="Times New Roman"/>
          <w:szCs w:val="20"/>
        </w:rPr>
        <w:t>g</w:t>
      </w:r>
      <w:proofErr w:type="spellEnd"/>
      <w:r w:rsidRPr="003D67A6">
        <w:rPr>
          <w:rFonts w:eastAsia="Times New Roman"/>
          <w:szCs w:val="20"/>
        </w:rPr>
        <w:t xml:space="preserve"> </w:t>
      </w:r>
      <w:r>
        <w:rPr>
          <w:rFonts w:eastAsia="Times New Roman"/>
          <w:szCs w:val="20"/>
        </w:rPr>
        <w:t xml:space="preserve">/day oral iodine or a single </w:t>
      </w:r>
      <w:r w:rsidRPr="00CC5CA0">
        <w:rPr>
          <w:rFonts w:eastAsia="Times New Roman"/>
          <w:szCs w:val="20"/>
        </w:rPr>
        <w:t xml:space="preserve">400 mg dose of </w:t>
      </w:r>
      <w:r>
        <w:rPr>
          <w:rFonts w:eastAsia="Times New Roman"/>
          <w:szCs w:val="20"/>
        </w:rPr>
        <w:t xml:space="preserve">iodised </w:t>
      </w:r>
      <w:r w:rsidRPr="00CC5CA0">
        <w:rPr>
          <w:rFonts w:eastAsia="Times New Roman"/>
          <w:szCs w:val="20"/>
        </w:rPr>
        <w:t>oil</w:t>
      </w:r>
      <w:r>
        <w:rPr>
          <w:rFonts w:eastAsia="Times New Roman"/>
          <w:szCs w:val="20"/>
        </w:rPr>
        <w:t>. No significant difference in thyroid measures was reported between iodine supplementation and control groups.</w:t>
      </w:r>
    </w:p>
    <w:p w14:paraId="75E07BB0" w14:textId="77777777" w:rsidR="003138BD" w:rsidRPr="00EE2171" w:rsidRDefault="003138BD" w:rsidP="00835622">
      <w:pPr>
        <w:pStyle w:val="Heading6"/>
      </w:pPr>
      <w:r>
        <w:t>Excess intakes</w:t>
      </w:r>
    </w:p>
    <w:p w14:paraId="3FF5FA3C" w14:textId="77777777" w:rsidR="003138BD" w:rsidRDefault="003138BD" w:rsidP="003138BD">
      <w:pPr>
        <w:rPr>
          <w:rFonts w:eastAsia="Times New Roman"/>
          <w:szCs w:val="20"/>
        </w:rPr>
      </w:pPr>
      <w:r w:rsidRPr="0066465F">
        <w:rPr>
          <w:rFonts w:eastAsia="Times New Roman"/>
          <w:szCs w:val="20"/>
        </w:rPr>
        <w:t>Data from cross-sectional studies suggest that intakes &gt;500</w:t>
      </w:r>
      <w:r>
        <w:rPr>
          <w:rFonts w:eastAsia="Times New Roman"/>
          <w:szCs w:val="20"/>
        </w:rPr>
        <w:t xml:space="preserve"> µg/day</w:t>
      </w:r>
      <w:r w:rsidRPr="0066465F">
        <w:rPr>
          <w:rFonts w:eastAsia="Times New Roman"/>
          <w:szCs w:val="20"/>
        </w:rPr>
        <w:t xml:space="preserve"> during pregnancy may be associated with maternal thyroid dysfunction (Wu et al 2023, Sang et al 2012, Guo et al 2025</w:t>
      </w:r>
      <w:r>
        <w:rPr>
          <w:rFonts w:eastAsia="Times New Roman"/>
          <w:szCs w:val="20"/>
        </w:rPr>
        <w:t>)</w:t>
      </w:r>
      <w:r w:rsidRPr="0066465F">
        <w:rPr>
          <w:rFonts w:eastAsia="Times New Roman"/>
          <w:szCs w:val="20"/>
        </w:rPr>
        <w:t xml:space="preserve">. </w:t>
      </w:r>
      <w:r>
        <w:rPr>
          <w:rFonts w:eastAsia="Times New Roman"/>
          <w:szCs w:val="20"/>
        </w:rPr>
        <w:t>However, a systematic review on the effects of excess iodine on thyroid disease reported inconsistent findings across studies (</w:t>
      </w:r>
      <w:proofErr w:type="spellStart"/>
      <w:r>
        <w:rPr>
          <w:rFonts w:eastAsia="Times New Roman"/>
          <w:szCs w:val="20"/>
        </w:rPr>
        <w:t>Katigiri</w:t>
      </w:r>
      <w:proofErr w:type="spellEnd"/>
      <w:r>
        <w:rPr>
          <w:rFonts w:eastAsia="Times New Roman"/>
          <w:szCs w:val="20"/>
        </w:rPr>
        <w:t xml:space="preserve"> 2018). In many studies, iodine intake is estimated from urinary iodine concentration from spot urine, or UIE. These estimates rely on the assumption that </w:t>
      </w:r>
      <w:r w:rsidRPr="0066465F">
        <w:rPr>
          <w:rFonts w:eastAsia="Times New Roman"/>
          <w:szCs w:val="20"/>
        </w:rPr>
        <w:t xml:space="preserve">the rate of iodine uptake </w:t>
      </w:r>
      <w:r>
        <w:rPr>
          <w:rFonts w:eastAsia="Times New Roman"/>
          <w:szCs w:val="20"/>
        </w:rPr>
        <w:t xml:space="preserve">is 90-92% based on observations under </w:t>
      </w:r>
      <w:r w:rsidRPr="0066465F">
        <w:rPr>
          <w:rFonts w:eastAsia="Times New Roman"/>
          <w:szCs w:val="20"/>
        </w:rPr>
        <w:t>steady state condition</w:t>
      </w:r>
      <w:r>
        <w:rPr>
          <w:rFonts w:eastAsia="Times New Roman"/>
          <w:szCs w:val="20"/>
        </w:rPr>
        <w:t>s, which may not hold during pregnancy (see ‘</w:t>
      </w:r>
      <w:r w:rsidRPr="009C3BC3">
        <w:rPr>
          <w:rFonts w:eastAsia="Times New Roman"/>
          <w:szCs w:val="20"/>
        </w:rPr>
        <w:t>Urinary iodine excretion (UIE)</w:t>
      </w:r>
      <w:r>
        <w:rPr>
          <w:rFonts w:eastAsia="Times New Roman"/>
          <w:szCs w:val="20"/>
        </w:rPr>
        <w:t xml:space="preserve">’ above).  </w:t>
      </w:r>
    </w:p>
    <w:p w14:paraId="5A8DADD5" w14:textId="77777777" w:rsidR="003138BD" w:rsidRDefault="003138BD" w:rsidP="003138BD">
      <w:pPr>
        <w:rPr>
          <w:rFonts w:eastAsia="Times New Roman"/>
          <w:szCs w:val="20"/>
        </w:rPr>
      </w:pPr>
      <w:r>
        <w:rPr>
          <w:rFonts w:eastAsia="Times New Roman"/>
          <w:szCs w:val="20"/>
        </w:rPr>
        <w:t xml:space="preserve">Furthermore, pregnancy results in transient fluctuations in thyroid hormone levels - particularly early in gestation - and gestation-specific reference intervals for both UIC </w:t>
      </w:r>
      <w:r>
        <w:t xml:space="preserve">(Stilwell et al 2008) </w:t>
      </w:r>
      <w:r>
        <w:rPr>
          <w:rFonts w:eastAsia="Times New Roman"/>
          <w:szCs w:val="20"/>
        </w:rPr>
        <w:t>and thyroid measures (Gilbert et al 2008; Stricker et al 2007) should be adopted to account for such variation. Cross-sectional studies typically include women at varying gestational stages, which may lead to confounding of thyroid measures if analyses fail to account for gestational age (along with other important confounders). Finally</w:t>
      </w:r>
      <w:r w:rsidRPr="0066465F">
        <w:rPr>
          <w:rFonts w:eastAsia="Times New Roman"/>
          <w:szCs w:val="20"/>
        </w:rPr>
        <w:t xml:space="preserve">, these studies rely on urinary iodine measures for estimating </w:t>
      </w:r>
      <w:r w:rsidRPr="0066465F">
        <w:rPr>
          <w:rFonts w:eastAsia="Times New Roman"/>
          <w:szCs w:val="20"/>
        </w:rPr>
        <w:lastRenderedPageBreak/>
        <w:t xml:space="preserve">iodine intake, including single spot urine analysis. This may lead to imprecise or inaccurate estimates of intake, </w:t>
      </w:r>
      <w:r>
        <w:rPr>
          <w:rFonts w:eastAsia="Times New Roman"/>
          <w:szCs w:val="20"/>
        </w:rPr>
        <w:t>b</w:t>
      </w:r>
      <w:r w:rsidRPr="0066465F">
        <w:rPr>
          <w:rFonts w:eastAsia="Times New Roman"/>
          <w:szCs w:val="20"/>
        </w:rPr>
        <w:t>ecause the rate of iodine uptake observed under steady state conditions (around 90-92%) may not hold</w:t>
      </w:r>
      <w:r>
        <w:rPr>
          <w:rFonts w:eastAsia="Times New Roman"/>
          <w:szCs w:val="20"/>
        </w:rPr>
        <w:t xml:space="preserve">, due to associated physical alterations during </w:t>
      </w:r>
      <w:r w:rsidRPr="0066465F">
        <w:rPr>
          <w:rFonts w:eastAsia="Times New Roman"/>
          <w:szCs w:val="20"/>
        </w:rPr>
        <w:t xml:space="preserve">pregnancy </w:t>
      </w:r>
      <w:r>
        <w:rPr>
          <w:rFonts w:eastAsia="Times New Roman"/>
          <w:szCs w:val="20"/>
        </w:rPr>
        <w:t>(NNR 2023, Stilwell et al 2008). Consequently, the evidence for adverse effects with intakes &gt;500 µg/day during pregnancy is not compelling, for the purposes of establishing an UL for the Australian and New Zealand population.</w:t>
      </w:r>
    </w:p>
    <w:p w14:paraId="08529CA6" w14:textId="77777777" w:rsidR="003138BD" w:rsidRDefault="003138BD" w:rsidP="003138BD">
      <w:pPr>
        <w:rPr>
          <w:rFonts w:eastAsia="Times New Roman"/>
          <w:szCs w:val="20"/>
        </w:rPr>
      </w:pPr>
      <w:r>
        <w:rPr>
          <w:rFonts w:eastAsia="Times New Roman"/>
          <w:szCs w:val="20"/>
        </w:rPr>
        <w:t xml:space="preserve">The evidence for the relationship between maternal iodine status and thyroid function in lactating women is also limited. A 2024 systematic review of cross sectional and cohort studies found no significant differences in thyroid hormone levels (except for TSH) when comparing studies with median UIC </w:t>
      </w:r>
      <w:r w:rsidRPr="003B4F0A">
        <w:rPr>
          <w:rFonts w:eastAsia="Times New Roman"/>
          <w:szCs w:val="20"/>
        </w:rPr>
        <w:t>&lt; 50, 50</w:t>
      </w:r>
      <w:r>
        <w:rPr>
          <w:rFonts w:eastAsia="Times New Roman"/>
          <w:szCs w:val="20"/>
        </w:rPr>
        <w:t>-</w:t>
      </w:r>
      <w:r w:rsidRPr="003B4F0A">
        <w:rPr>
          <w:rFonts w:eastAsia="Times New Roman"/>
          <w:szCs w:val="20"/>
        </w:rPr>
        <w:t>100, 100</w:t>
      </w:r>
      <w:r>
        <w:rPr>
          <w:rFonts w:eastAsia="Times New Roman"/>
          <w:szCs w:val="20"/>
        </w:rPr>
        <w:t>-</w:t>
      </w:r>
      <w:r w:rsidRPr="003B4F0A">
        <w:rPr>
          <w:rFonts w:eastAsia="Times New Roman"/>
          <w:szCs w:val="20"/>
        </w:rPr>
        <w:t xml:space="preserve">200, and &gt; 200 </w:t>
      </w:r>
      <w:proofErr w:type="spellStart"/>
      <w:r w:rsidRPr="003B4F0A">
        <w:rPr>
          <w:rFonts w:eastAsia="Times New Roman" w:hint="eastAsia"/>
          <w:szCs w:val="20"/>
        </w:rPr>
        <w:t>μ</w:t>
      </w:r>
      <w:r w:rsidRPr="003B4F0A">
        <w:rPr>
          <w:rFonts w:eastAsia="Times New Roman"/>
          <w:szCs w:val="20"/>
        </w:rPr>
        <w:t>g</w:t>
      </w:r>
      <w:proofErr w:type="spellEnd"/>
      <w:r w:rsidRPr="003B4F0A">
        <w:rPr>
          <w:rFonts w:eastAsia="Times New Roman"/>
          <w:szCs w:val="20"/>
        </w:rPr>
        <w:t>/</w:t>
      </w:r>
      <w:r>
        <w:rPr>
          <w:rFonts w:eastAsia="Times New Roman"/>
          <w:szCs w:val="20"/>
        </w:rPr>
        <w:t xml:space="preserve">L in post-partum women (Nazeri et al 2024). However, although some studies were reported as being in lactating women (or inferred, through inclusion of BMIC data), it was unclear whether the review included both lactating and non-lactating post-partum women. Although median UIC &gt;200 </w:t>
      </w:r>
      <w:proofErr w:type="spellStart"/>
      <w:r w:rsidRPr="003B4F0A">
        <w:rPr>
          <w:rFonts w:eastAsia="Times New Roman" w:hint="eastAsia"/>
          <w:szCs w:val="20"/>
        </w:rPr>
        <w:t>μ</w:t>
      </w:r>
      <w:r w:rsidRPr="003B4F0A">
        <w:rPr>
          <w:rFonts w:eastAsia="Times New Roman"/>
          <w:szCs w:val="20"/>
        </w:rPr>
        <w:t>g</w:t>
      </w:r>
      <w:proofErr w:type="spellEnd"/>
      <w:r w:rsidRPr="003B4F0A">
        <w:rPr>
          <w:rFonts w:eastAsia="Times New Roman"/>
          <w:szCs w:val="20"/>
        </w:rPr>
        <w:t>/</w:t>
      </w:r>
      <w:r>
        <w:rPr>
          <w:rFonts w:eastAsia="Times New Roman"/>
          <w:szCs w:val="20"/>
        </w:rPr>
        <w:t>L was associated with significantly higher TSH concentrations compared with median UIC of 50- 100 </w:t>
      </w:r>
      <w:proofErr w:type="spellStart"/>
      <w:r w:rsidRPr="003B4F0A">
        <w:rPr>
          <w:rFonts w:eastAsia="Times New Roman" w:hint="eastAsia"/>
          <w:szCs w:val="20"/>
        </w:rPr>
        <w:t>μ</w:t>
      </w:r>
      <w:r w:rsidRPr="003B4F0A">
        <w:rPr>
          <w:rFonts w:eastAsia="Times New Roman"/>
          <w:szCs w:val="20"/>
        </w:rPr>
        <w:t>g</w:t>
      </w:r>
      <w:proofErr w:type="spellEnd"/>
      <w:r w:rsidRPr="003B4F0A">
        <w:rPr>
          <w:rFonts w:eastAsia="Times New Roman"/>
          <w:szCs w:val="20"/>
        </w:rPr>
        <w:t>/</w:t>
      </w:r>
      <w:r>
        <w:rPr>
          <w:rFonts w:eastAsia="Times New Roman"/>
          <w:szCs w:val="20"/>
        </w:rPr>
        <w:t>L or &lt;50</w:t>
      </w:r>
      <w:r w:rsidRPr="006551A1">
        <w:rPr>
          <w:rFonts w:eastAsia="Times New Roman" w:hint="eastAsia"/>
          <w:szCs w:val="20"/>
        </w:rPr>
        <w:t xml:space="preserve"> </w:t>
      </w:r>
      <w:proofErr w:type="spellStart"/>
      <w:r w:rsidRPr="003B4F0A">
        <w:rPr>
          <w:rFonts w:eastAsia="Times New Roman" w:hint="eastAsia"/>
          <w:szCs w:val="20"/>
        </w:rPr>
        <w:t>μ</w:t>
      </w:r>
      <w:r w:rsidRPr="003B4F0A">
        <w:rPr>
          <w:rFonts w:eastAsia="Times New Roman"/>
          <w:szCs w:val="20"/>
        </w:rPr>
        <w:t>g</w:t>
      </w:r>
      <w:proofErr w:type="spellEnd"/>
      <w:r w:rsidRPr="003B4F0A">
        <w:rPr>
          <w:rFonts w:eastAsia="Times New Roman"/>
          <w:szCs w:val="20"/>
        </w:rPr>
        <w:t>/</w:t>
      </w:r>
      <w:r>
        <w:rPr>
          <w:rFonts w:eastAsia="Times New Roman"/>
          <w:szCs w:val="20"/>
        </w:rPr>
        <w:t>L, TSH remained within the normal range.  Similarly, no significant difference in thyroid measures were reported in post-partum women with BMIC &lt;100</w:t>
      </w:r>
      <w:r w:rsidRPr="00DF49DE">
        <w:rPr>
          <w:rFonts w:eastAsia="Times New Roman" w:hint="eastAsia"/>
          <w:szCs w:val="20"/>
        </w:rPr>
        <w:t xml:space="preserve"> </w:t>
      </w:r>
      <w:proofErr w:type="spellStart"/>
      <w:r w:rsidRPr="003B4F0A">
        <w:rPr>
          <w:rFonts w:eastAsia="Times New Roman" w:hint="eastAsia"/>
          <w:szCs w:val="20"/>
        </w:rPr>
        <w:t>μ</w:t>
      </w:r>
      <w:r w:rsidRPr="003B4F0A">
        <w:rPr>
          <w:rFonts w:eastAsia="Times New Roman"/>
          <w:szCs w:val="20"/>
        </w:rPr>
        <w:t>g</w:t>
      </w:r>
      <w:proofErr w:type="spellEnd"/>
      <w:r w:rsidRPr="003B4F0A">
        <w:rPr>
          <w:rFonts w:eastAsia="Times New Roman"/>
          <w:szCs w:val="20"/>
        </w:rPr>
        <w:t>/</w:t>
      </w:r>
      <w:r>
        <w:rPr>
          <w:rFonts w:eastAsia="Times New Roman"/>
          <w:szCs w:val="20"/>
        </w:rPr>
        <w:t>L compared with BMIC ≥100</w:t>
      </w:r>
      <w:r w:rsidRPr="00DF49DE">
        <w:rPr>
          <w:rFonts w:eastAsia="Times New Roman" w:hint="eastAsia"/>
          <w:szCs w:val="20"/>
        </w:rPr>
        <w:t xml:space="preserve"> </w:t>
      </w:r>
      <w:proofErr w:type="spellStart"/>
      <w:r w:rsidRPr="003B4F0A">
        <w:rPr>
          <w:rFonts w:eastAsia="Times New Roman" w:hint="eastAsia"/>
          <w:szCs w:val="20"/>
        </w:rPr>
        <w:t>μ</w:t>
      </w:r>
      <w:r w:rsidRPr="003B4F0A">
        <w:rPr>
          <w:rFonts w:eastAsia="Times New Roman"/>
          <w:szCs w:val="20"/>
        </w:rPr>
        <w:t>g</w:t>
      </w:r>
      <w:proofErr w:type="spellEnd"/>
      <w:r w:rsidRPr="003B4F0A">
        <w:rPr>
          <w:rFonts w:eastAsia="Times New Roman"/>
          <w:szCs w:val="20"/>
        </w:rPr>
        <w:t>/</w:t>
      </w:r>
      <w:r>
        <w:rPr>
          <w:rFonts w:eastAsia="Times New Roman"/>
          <w:szCs w:val="20"/>
        </w:rPr>
        <w:t>L, with measures within the normal ranges.  However, these findings should be interpreted with caution, due to the methodological limitations of cross-sectional and cohort studies, significant heterogeneity across studies, wide variability in intakes and status (median UIC ranging from 23 to 504</w:t>
      </w:r>
      <w:r w:rsidRPr="00505E9C">
        <w:rPr>
          <w:rFonts w:eastAsia="Times New Roman" w:hint="eastAsia"/>
          <w:szCs w:val="20"/>
        </w:rPr>
        <w:t xml:space="preserve"> </w:t>
      </w:r>
      <w:proofErr w:type="spellStart"/>
      <w:r w:rsidRPr="003B4F0A">
        <w:rPr>
          <w:rFonts w:eastAsia="Times New Roman" w:hint="eastAsia"/>
          <w:szCs w:val="20"/>
        </w:rPr>
        <w:t>μ</w:t>
      </w:r>
      <w:r w:rsidRPr="003B4F0A">
        <w:rPr>
          <w:rFonts w:eastAsia="Times New Roman"/>
          <w:szCs w:val="20"/>
        </w:rPr>
        <w:t>g</w:t>
      </w:r>
      <w:proofErr w:type="spellEnd"/>
      <w:r w:rsidRPr="003B4F0A">
        <w:rPr>
          <w:rFonts w:eastAsia="Times New Roman"/>
          <w:szCs w:val="20"/>
        </w:rPr>
        <w:t>/</w:t>
      </w:r>
      <w:r>
        <w:rPr>
          <w:rFonts w:eastAsia="Times New Roman"/>
          <w:szCs w:val="20"/>
        </w:rPr>
        <w:t>L) and in the background nutrition setting of countries.</w:t>
      </w:r>
    </w:p>
    <w:p w14:paraId="64503EBB" w14:textId="77777777" w:rsidR="003138BD" w:rsidRDefault="003138BD" w:rsidP="00835622">
      <w:pPr>
        <w:pStyle w:val="Heading5"/>
      </w:pPr>
      <w:r>
        <w:t>Child n</w:t>
      </w:r>
      <w:r w:rsidRPr="008364FB">
        <w:t>eurocognitive development</w:t>
      </w:r>
    </w:p>
    <w:p w14:paraId="75836F23" w14:textId="77777777" w:rsidR="003138BD" w:rsidRDefault="003138BD" w:rsidP="003138BD">
      <w:r w:rsidRPr="00CB2D29">
        <w:t>The</w:t>
      </w:r>
      <w:r>
        <w:t xml:space="preserve"> association between severe iodine deficiency during pregnancy and global impairments in child cognitive development has long been established. More recently, concerns have been raised about the potential effects of mild iodine deficiency on neurocognition. Researchers have proposed the concept of ‘Gestational Iodine Deficiency Processing Disorder (GIDPD)’ as a </w:t>
      </w:r>
      <w:proofErr w:type="spellStart"/>
      <w:r>
        <w:t>nosological</w:t>
      </w:r>
      <w:proofErr w:type="spellEnd"/>
      <w:r>
        <w:t xml:space="preserve"> entity describing the more subtle effects of mild-to-moderate iodine deficiency (Hay et al 2019). The authors analysed four recent, robust, longitudinal studies in mild to moderate deficiency, to identify common patterns in the neurodevelopment of children born to mothers with mild-to-moderate gestational iodine deficiency. Key features identified included difficulties with processing speed and working memory, and difficulties with attention and response inhibition, manifesting as disorders such as </w:t>
      </w:r>
      <w:proofErr w:type="gramStart"/>
      <w:r>
        <w:t>Autism Spectrum Disorder</w:t>
      </w:r>
      <w:proofErr w:type="gramEnd"/>
      <w:r>
        <w:t xml:space="preserve"> (ASD), </w:t>
      </w:r>
      <w:proofErr w:type="gramStart"/>
      <w:r>
        <w:t>Attention Deficit Hyperactivity Disorder</w:t>
      </w:r>
      <w:proofErr w:type="gramEnd"/>
      <w:r>
        <w:t xml:space="preserve"> (ADHD), learning disabilities and dyslexia. However, this study aimed to present a conceptual, phenomenological examination of the literature, and findings are not based on a systematic examination of the literature. The risk of bias of underlying studies, and quantitative synthesis of studies, was not undertaken. </w:t>
      </w:r>
    </w:p>
    <w:p w14:paraId="4E4B7E6F" w14:textId="77777777" w:rsidR="003138BD" w:rsidRDefault="003138BD" w:rsidP="003138BD">
      <w:r>
        <w:t xml:space="preserve">Robust supportive evidence of consistent adverse neurocognitive effects associated with mild-to-moderate iodine deficiency are lacking. </w:t>
      </w:r>
      <w:r w:rsidRPr="00447B3B">
        <w:t>A</w:t>
      </w:r>
      <w:r>
        <w:t xml:space="preserve"> recent systematic review exploring the a</w:t>
      </w:r>
      <w:r w:rsidRPr="00447B3B">
        <w:t xml:space="preserve">ssociation between maternal </w:t>
      </w:r>
      <w:r>
        <w:t xml:space="preserve">UIC, </w:t>
      </w:r>
      <w:r w:rsidRPr="00447B3B">
        <w:t xml:space="preserve">dietary </w:t>
      </w:r>
      <w:r>
        <w:t xml:space="preserve">iodine </w:t>
      </w:r>
      <w:r w:rsidRPr="00447B3B">
        <w:t>intake</w:t>
      </w:r>
      <w:r>
        <w:t xml:space="preserve"> and child </w:t>
      </w:r>
      <w:r w:rsidRPr="00447B3B">
        <w:t>neurodevelopme</w:t>
      </w:r>
      <w:r>
        <w:t>nt</w:t>
      </w:r>
      <w:r w:rsidRPr="00447B3B">
        <w:t xml:space="preserve"> </w:t>
      </w:r>
      <w:r>
        <w:t>identified 12 reports of 9 studies, comprising large sub-national or national cohorts (Monaghan 2021). While lower urinary iodine was associated with reduced performance across a range of neurodevelopmental measures in some studies, others found no significant effects. Where findings were significant, these were inconsistent across measures. The authors noted significant heterogeneity in the body of evidence, including in the cognitive outcomes measured.</w:t>
      </w:r>
    </w:p>
    <w:p w14:paraId="413E57BE" w14:textId="77777777" w:rsidR="003138BD" w:rsidRDefault="003138BD" w:rsidP="003138BD">
      <w:r>
        <w:lastRenderedPageBreak/>
        <w:t xml:space="preserve">It has also been suggested that excess habitual iodine intake may have adverse effects on child intellectual development, although evidence for this relationship is also limited (Li et al 2022). </w:t>
      </w:r>
    </w:p>
    <w:p w14:paraId="0FB8F1B0" w14:textId="77777777" w:rsidR="003138BD" w:rsidRPr="00901E60" w:rsidRDefault="003138BD" w:rsidP="003138BD">
      <w:r>
        <w:t xml:space="preserve">Finally, a 2023 </w:t>
      </w:r>
      <w:r w:rsidRPr="00013E00">
        <w:t xml:space="preserve">review </w:t>
      </w:r>
      <w:r>
        <w:t xml:space="preserve">examined </w:t>
      </w:r>
      <w:r w:rsidRPr="00013E00">
        <w:t xml:space="preserve">the effects of iodine exposure </w:t>
      </w:r>
      <w:r>
        <w:t>during pregnancy on development of hearing in children (</w:t>
      </w:r>
      <w:proofErr w:type="spellStart"/>
      <w:r>
        <w:t>Dineva</w:t>
      </w:r>
      <w:proofErr w:type="spellEnd"/>
      <w:r>
        <w:t xml:space="preserve"> et al 2023)</w:t>
      </w:r>
      <w:r w:rsidRPr="00013E00">
        <w:t xml:space="preserve">. </w:t>
      </w:r>
      <w:r>
        <w:t xml:space="preserve">Four studies were identified </w:t>
      </w:r>
      <w:r w:rsidRPr="00013E00">
        <w:t xml:space="preserve">comprising </w:t>
      </w:r>
      <w:r>
        <w:t>1</w:t>
      </w:r>
      <w:r w:rsidRPr="00013E00">
        <w:t xml:space="preserve"> RCT</w:t>
      </w:r>
      <w:r>
        <w:t xml:space="preserve"> in 302 participants (low </w:t>
      </w:r>
      <w:proofErr w:type="spellStart"/>
      <w:r>
        <w:t>RoB</w:t>
      </w:r>
      <w:proofErr w:type="spellEnd"/>
      <w:r>
        <w:t>) and 1 cohort study in 45 mother-child pairs (good quality)- both in mild to moderately deficient populations. No significant effects were observed, except for one measure (b</w:t>
      </w:r>
      <w:r w:rsidRPr="0022411C">
        <w:t>inaural integration</w:t>
      </w:r>
      <w:r>
        <w:t xml:space="preserve">) with deficiency associated with significantly lower scores for one ear but not the other, when compared with the sufficient group. Notably, the sample size was small (N= 15 participants in the sufficient group). Two case reports were also described, documenting excessively high iodine intake during pregnancy, with one case resulting in sensorineural hearing loss, whilst the other - treated with intra-amniotic levothyroxine during pregnancy - resulting in a euthyroid </w:t>
      </w:r>
      <w:proofErr w:type="spellStart"/>
      <w:r>
        <w:t>fetus</w:t>
      </w:r>
      <w:proofErr w:type="spellEnd"/>
      <w:r>
        <w:t xml:space="preserve"> with neonatal hearing screenings results within the normal range.</w:t>
      </w:r>
      <w:r w:rsidRPr="00013E00">
        <w:t xml:space="preserve"> </w:t>
      </w:r>
    </w:p>
    <w:p w14:paraId="451CA25D" w14:textId="77777777" w:rsidR="003138BD" w:rsidRPr="000150C2" w:rsidRDefault="003138BD" w:rsidP="00835622">
      <w:pPr>
        <w:pStyle w:val="Heading6"/>
      </w:pPr>
      <w:r>
        <w:t>Supplementation and neurocognitive development</w:t>
      </w:r>
    </w:p>
    <w:p w14:paraId="768D90D0" w14:textId="77777777" w:rsidR="003138BD" w:rsidRDefault="003138BD" w:rsidP="003138BD">
      <w:r w:rsidRPr="00CE7F8E">
        <w:t>S</w:t>
      </w:r>
      <w:r>
        <w:t>everal s</w:t>
      </w:r>
      <w:r w:rsidRPr="00CE7F8E">
        <w:t xml:space="preserve">ystematic reviews </w:t>
      </w:r>
      <w:r>
        <w:t xml:space="preserve">have examined the relationship between iodine supplementation during pregnancy and child neurocognitive development (Harding 2017, </w:t>
      </w:r>
      <w:proofErr w:type="spellStart"/>
      <w:r>
        <w:t>Dineva</w:t>
      </w:r>
      <w:proofErr w:type="spellEnd"/>
      <w:r>
        <w:t xml:space="preserve"> 2020, </w:t>
      </w:r>
      <w:proofErr w:type="spellStart"/>
      <w:r>
        <w:t>Machamba</w:t>
      </w:r>
      <w:proofErr w:type="spellEnd"/>
      <w:r>
        <w:t xml:space="preserve"> 2021, Nazeri 2021). Meta-analysis of the limited available evidence found that supplementation does not significantly improve neurocognitive development outcomes (Nazeri 2021). However, the authors suggested that these findings may reflect the late introduction of supplementation, along with variation in the degree of sufficiency prior to supplementation. These reviews generally </w:t>
      </w:r>
      <w:r w:rsidRPr="00CE7F8E">
        <w:t>concluded that there was a lack of high-quality evidence on the effect of supplementation on child neurocognitive development</w:t>
      </w:r>
      <w:r>
        <w:t xml:space="preserve"> (</w:t>
      </w:r>
      <w:proofErr w:type="spellStart"/>
      <w:r>
        <w:t>Dineva</w:t>
      </w:r>
      <w:proofErr w:type="spellEnd"/>
      <w:r>
        <w:t xml:space="preserve"> 2020, Harding 2017).</w:t>
      </w:r>
    </w:p>
    <w:p w14:paraId="2FF98342" w14:textId="77777777" w:rsidR="003138BD" w:rsidRDefault="003138BD" w:rsidP="003138BD">
      <w:r>
        <w:t xml:space="preserve">The importance of pre-conception iodine supplementation has previously been noted, including in a 2019 Australian study which reported significantly higher UIC with pre-conception supplementation compared with those who commenced supplementation during pregnancy (Median UIC </w:t>
      </w:r>
      <w:r w:rsidRPr="001A25BC">
        <w:t>196 (98</w:t>
      </w:r>
      <w:r>
        <w:t xml:space="preserve"> - </w:t>
      </w:r>
      <w:r w:rsidRPr="001A25BC">
        <w:t>315)</w:t>
      </w:r>
      <w:r>
        <w:t xml:space="preserve"> µg/L</w:t>
      </w:r>
      <w:r w:rsidRPr="001A25BC">
        <w:t xml:space="preserve"> </w:t>
      </w:r>
      <w:r>
        <w:t xml:space="preserve">vs </w:t>
      </w:r>
      <w:r w:rsidRPr="001A25BC">
        <w:t>137.5 (82.5</w:t>
      </w:r>
      <w:r>
        <w:rPr>
          <w:rFonts w:ascii="Cambria Math" w:hAnsi="Cambria Math" w:cs="Cambria Math"/>
        </w:rPr>
        <w:t xml:space="preserve"> - </w:t>
      </w:r>
      <w:r w:rsidRPr="001A25BC">
        <w:t>233.5)</w:t>
      </w:r>
      <w:r>
        <w:t xml:space="preserve"> µg/L</w:t>
      </w:r>
      <w:r w:rsidRPr="001A25BC">
        <w:t>, </w:t>
      </w:r>
      <w:r w:rsidRPr="001A25BC">
        <w:rPr>
          <w:i/>
          <w:iCs/>
        </w:rPr>
        <w:t>p</w:t>
      </w:r>
      <w:r w:rsidRPr="001A25BC">
        <w:t> = 0.032</w:t>
      </w:r>
      <w:r>
        <w:t>) (Hynes 2019). Accordingly, although evidence suggests that child neurocognitive development outcomes may not improve with maternal iodine supplementation, this may relate to the timing at which supplementation occurred. Further research is required to characterise the relationship between maternal iodine intake and status, and child neurocognitive development in greater detail.</w:t>
      </w:r>
    </w:p>
    <w:p w14:paraId="122D5305" w14:textId="77777777" w:rsidR="003138BD" w:rsidRPr="000150C2" w:rsidRDefault="003138BD" w:rsidP="00835622">
      <w:pPr>
        <w:pStyle w:val="Heading6"/>
      </w:pPr>
      <w:r>
        <w:t>Australian and New Zealand studies</w:t>
      </w:r>
    </w:p>
    <w:p w14:paraId="6FD6AAB3" w14:textId="77777777" w:rsidR="003138BD" w:rsidRDefault="003138BD" w:rsidP="003138BD">
      <w:r>
        <w:t>The Australian G</w:t>
      </w:r>
      <w:r w:rsidRPr="00C05BE2">
        <w:t>estational Iodine Cohort</w:t>
      </w:r>
      <w:r>
        <w:t xml:space="preserve"> study followed children born to mothers during a period of mild population iodine deficiency who then grew up in an iodine replete environment. It found that children born to mothers with UIC &lt;150 µg/L had lower school performance scores (NAPLAN) across all tests at every time point (school year 3, 5, 7 and 9) compared with those with UIC ≥150 µg/L (Hynes et al 2013, Hynes et al 2017). When adjusted for confounders, these effects remained significant for spelling at all time points. Significantly higher scores were associated with UIC ≥150 µg/L up to year 9 for grammar, and in years 3 and 5 for reading. </w:t>
      </w:r>
    </w:p>
    <w:p w14:paraId="195F8499" w14:textId="77777777" w:rsidR="003138BD" w:rsidRDefault="003138BD" w:rsidP="003138BD">
      <w:r>
        <w:t xml:space="preserve">A subset of this cohort </w:t>
      </w:r>
      <w:proofErr w:type="gramStart"/>
      <w:r>
        <w:t>were</w:t>
      </w:r>
      <w:proofErr w:type="gramEnd"/>
      <w:r>
        <w:t xml:space="preserve"> traced and assessed for language development using the </w:t>
      </w:r>
      <w:r w:rsidRPr="009A13EA">
        <w:t>Comprehensive Evaluation of Language Fundamentals </w:t>
      </w:r>
      <w:r>
        <w:t>(CELF-4) tool. Although the sample was small (N=46), adjusted regression modelling reported that children born to mothers with UIC &lt;150 µg/L had reduced scores for language across all indices, however the differences were not statistically significant (Hynes 2017).</w:t>
      </w:r>
    </w:p>
    <w:p w14:paraId="006EA6E5" w14:textId="77777777" w:rsidR="003138BD" w:rsidRDefault="003138BD" w:rsidP="003138BD">
      <w:r>
        <w:lastRenderedPageBreak/>
        <w:t xml:space="preserve">In contrast, a 2019 Australian study examining the association between mild iodine deficiency and child neurodevelopment at 18 months found no association between UIC &lt;150 µg/day during pregnancy and </w:t>
      </w:r>
      <w:r w:rsidRPr="005468D8">
        <w:t>Bayley Scales of Infant and Toddler Development, Third Edition</w:t>
      </w:r>
      <w:r>
        <w:t xml:space="preserve"> (Bayley-III) scores (Zhou et al 2019). The authors suggested that these differing findings may be explained by the failure of Hynes (2013) to adjust for key confounders including maternal IQ and home environment. The authors also note that this lack of association may also reflect the unsuitability of UIC as a marker of individual habitual intakes, rather than a lack of association between maternal intake and child neurocognitive development.  Notably, although no association was observed between mild deficiency (MUIC &lt;150 µg/day) and child neurocognitive outcomes, analysis comparing intake - measured using a validated food frequency questionnaire - and Bayley-III scores reported lower cognitive, language and motor scores and higher odds of cognitive developmental delay with maternal intakes in the lowest and highest quartiles (</w:t>
      </w:r>
      <w:r w:rsidRPr="00CA2A58">
        <w:t xml:space="preserve">&lt;220μg/day or </w:t>
      </w:r>
      <w:r>
        <w:t>&gt;</w:t>
      </w:r>
      <w:r w:rsidRPr="00CA2A58">
        <w:t>39</w:t>
      </w:r>
      <w:r>
        <w:t>0</w:t>
      </w:r>
      <w:r w:rsidRPr="00CA2A58">
        <w:t>μg/day</w:t>
      </w:r>
      <w:r>
        <w:t>)</w:t>
      </w:r>
      <w:r w:rsidRPr="00CA2A58">
        <w:t xml:space="preserve"> </w:t>
      </w:r>
      <w:r>
        <w:t xml:space="preserve">compared with intakes between 220 µg/day and 390 µg/day (Q2 and Q3). </w:t>
      </w:r>
    </w:p>
    <w:p w14:paraId="30055358" w14:textId="77777777" w:rsidR="003138BD" w:rsidRDefault="003138BD" w:rsidP="003138BD">
      <w:r>
        <w:t xml:space="preserve">More recently, Sullivan et al (2024) published a re-analysis of 2013 data from an Australian cohort of 699 pregnant women and their offspring, with the aim of identifying the range of iodine intakes associated with optimal neurocognitive development. Analysis was restricted to participants for whom data on child neurocognitive assessment at 18 months were available, with models adjusted for maternal factors including IQ, age, parity, smoking, educational status, and quality of maternal caregiving. Maternal intake was measured using a validated dietary assessment questionnaire at </w:t>
      </w:r>
      <w:proofErr w:type="gramStart"/>
      <w:r>
        <w:t>16 and 28 weeks</w:t>
      </w:r>
      <w:proofErr w:type="gramEnd"/>
      <w:r>
        <w:t xml:space="preserve"> gestation, with cognitive and language development measured at 18 months using </w:t>
      </w:r>
      <w:r w:rsidRPr="005468D8">
        <w:t xml:space="preserve">the </w:t>
      </w:r>
      <w:r>
        <w:t>Bayley-III. A curvilinear relationship between iodine intake during pregnancy and cognitive (p=0.001) and language scores (p=0.004) was reported, with lower scores observed in the lowest and highest quartiles. This observation remained when multiple imputation analysis was performed to address missing data.</w:t>
      </w:r>
    </w:p>
    <w:p w14:paraId="575B1AA1" w14:textId="08BE4051" w:rsidR="00835622" w:rsidRDefault="003138BD" w:rsidP="003138BD">
      <w:r>
        <w:t>The authors reported that iodine intakes between 185 and 365 µg/day during pregnancy were optimal for cognitive and language development.</w:t>
      </w:r>
    </w:p>
    <w:p w14:paraId="5D1978A7" w14:textId="1A6AC9EB" w:rsidR="003138BD" w:rsidRDefault="00835622" w:rsidP="00835622">
      <w:pPr>
        <w:spacing w:before="0" w:after="0"/>
      </w:pPr>
      <w:r>
        <w:br w:type="page"/>
      </w:r>
      <w:r w:rsidR="003138BD" w:rsidRPr="00835622">
        <w:rPr>
          <w:noProof/>
        </w:rPr>
        <w:lastRenderedPageBreak/>
        <w:drawing>
          <wp:inline distT="0" distB="0" distL="0" distR="0" wp14:anchorId="5B65CCAB" wp14:editId="7D108B0E">
            <wp:extent cx="4140485" cy="3029444"/>
            <wp:effectExtent l="0" t="0" r="0" b="0"/>
            <wp:docPr id="831519874" name="Picture 1" descr="A graph with dots representing iodine intake during pregnancy and associated Bayley-III cognitive scores for 524 participants with complete data. &#10;A concave curve has been fitted to suit the dot distribution, showing a curvilinear relationship with lower cognitive scores with iodine intakes below 185 µg/day or above 365 µg/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19874" name="Picture 1" descr="A graph with dots representing iodine intake during pregnancy and associated Bayley-III cognitive scores for 524 participants with complete data. &#10;A concave curve has been fitted to suit the dot distribution, showing a curvilinear relationship with lower cognitive scores with iodine intakes below 185 µg/day or above 365 µg/day"/>
                    <pic:cNvPicPr/>
                  </pic:nvPicPr>
                  <pic:blipFill>
                    <a:blip r:embed="rId16"/>
                    <a:stretch>
                      <a:fillRect/>
                    </a:stretch>
                  </pic:blipFill>
                  <pic:spPr>
                    <a:xfrm>
                      <a:off x="0" y="0"/>
                      <a:ext cx="4182686" cy="3060321"/>
                    </a:xfrm>
                    <a:prstGeom prst="rect">
                      <a:avLst/>
                    </a:prstGeom>
                  </pic:spPr>
                </pic:pic>
              </a:graphicData>
            </a:graphic>
          </wp:inline>
        </w:drawing>
      </w:r>
    </w:p>
    <w:p w14:paraId="35367EE0" w14:textId="7498105C" w:rsidR="003138BD" w:rsidRPr="00DE3AA9" w:rsidRDefault="003138BD" w:rsidP="00835622">
      <w:pPr>
        <w:pStyle w:val="FigureTitle"/>
        <w:spacing w:before="0"/>
      </w:pPr>
      <w:r w:rsidRPr="00DE3AA9">
        <w:t xml:space="preserve">Figure from Sullivan et al (2024) showing curvilinear relationship between iodine intake during pregnancy and Bayley-III cognitive scores. </w:t>
      </w:r>
    </w:p>
    <w:p w14:paraId="64F04DA6" w14:textId="2E82E258" w:rsidR="003138BD" w:rsidRPr="00835622" w:rsidRDefault="003138BD" w:rsidP="00835622">
      <w:r w:rsidRPr="00835622">
        <w:t>Shaded area is a 95% confidence interval around the fitted curve, whereas the vertical dashed lines are the proposed thresholds for iodine intake. Adjustments were made for maternal IQ, age, parity, smoking in pregnancy, years of education, and Home Screening Questionnaire score. Analysis based on n ¼ 524 participants with complete data.</w:t>
      </w:r>
    </w:p>
    <w:p w14:paraId="71DFC75F" w14:textId="77777777" w:rsidR="003138BD" w:rsidRDefault="003138BD" w:rsidP="00835622">
      <w:r w:rsidRPr="00835622">
        <w:rPr>
          <w:noProof/>
        </w:rPr>
        <w:drawing>
          <wp:inline distT="0" distB="0" distL="0" distR="0" wp14:anchorId="5034474D" wp14:editId="74764C45">
            <wp:extent cx="4356243" cy="2667511"/>
            <wp:effectExtent l="0" t="0" r="6350" b="0"/>
            <wp:docPr id="684943704" name="Picture 1" descr="A graph with dots representing iodine intake during pregnancy and associated Bayley-III language scores for 522 participants with complete data. &#10;A concave curve has been fitted to suit the dot distribution, showing a curvilinear relationship with lower cognitive scores with iodine intakes below 185 µg/day or above 365 µg/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43704" name="Picture 1" descr="A graph with dots representing iodine intake during pregnancy and associated Bayley-III language scores for 522 participants with complete data. &#10;A concave curve has been fitted to suit the dot distribution, showing a curvilinear relationship with lower cognitive scores with iodine intakes below 185 µg/day or above 365 µg/day"/>
                    <pic:cNvPicPr/>
                  </pic:nvPicPr>
                  <pic:blipFill>
                    <a:blip r:embed="rId17"/>
                    <a:stretch>
                      <a:fillRect/>
                    </a:stretch>
                  </pic:blipFill>
                  <pic:spPr>
                    <a:xfrm>
                      <a:off x="0" y="0"/>
                      <a:ext cx="4388346" cy="2687169"/>
                    </a:xfrm>
                    <a:prstGeom prst="rect">
                      <a:avLst/>
                    </a:prstGeom>
                  </pic:spPr>
                </pic:pic>
              </a:graphicData>
            </a:graphic>
          </wp:inline>
        </w:drawing>
      </w:r>
    </w:p>
    <w:p w14:paraId="51A6B14A" w14:textId="77777777" w:rsidR="00835622" w:rsidRDefault="003138BD" w:rsidP="003138BD">
      <w:pPr>
        <w:pStyle w:val="FigureTitle"/>
        <w:spacing w:before="0"/>
      </w:pPr>
      <w:r w:rsidRPr="00DE3AA9">
        <w:t>Figure from Sullivan et al (2024) showing curvilinear relationship between iodine intake during pregnancy and Bayley-III language scores. The shaded area represents the 95% confidence interval around the fitted curve, with vertical dashed lines</w:t>
      </w:r>
      <w:r w:rsidR="00835622">
        <w:t xml:space="preserve"> </w:t>
      </w:r>
      <w:r w:rsidRPr="00DE3AA9">
        <w:t>showing the proposed thresholds for iodine intake. Based on N = 522 participants with complete data. (Sullivan et al 2024)</w:t>
      </w:r>
    </w:p>
    <w:p w14:paraId="15993468" w14:textId="35351D02" w:rsidR="003138BD" w:rsidRDefault="003138BD" w:rsidP="00835622">
      <w:r>
        <w:t xml:space="preserve">These findings underscore the need to ensure that women of childbearing age enter pregnancy in a state of sufficiency and that this status is maintained throughout pregnancy and lactation. </w:t>
      </w:r>
      <w:r>
        <w:lastRenderedPageBreak/>
        <w:t>Although the available evidence for maternal intake during pregnancy and child neurocognitive development is insufficient to derive a NRV for pregnant women, it provides complementary data that can inform decision-making when setting iodine recommendations.</w:t>
      </w:r>
    </w:p>
    <w:p w14:paraId="317C3A12" w14:textId="77777777" w:rsidR="003138BD" w:rsidRDefault="003138BD" w:rsidP="00835622">
      <w:pPr>
        <w:pStyle w:val="Heading5"/>
      </w:pPr>
      <w:bookmarkStart w:id="112" w:name="_Toc179801748"/>
      <w:r>
        <w:t>Birth outcomes</w:t>
      </w:r>
      <w:bookmarkEnd w:id="112"/>
    </w:p>
    <w:p w14:paraId="05CC988A" w14:textId="77777777" w:rsidR="003138BD" w:rsidRDefault="003138BD" w:rsidP="003138BD">
      <w:r w:rsidRPr="0054645D">
        <w:t>Several recent systematic reviews have examined the relationship between urinary iodine concentration and birth outcomes, including birth parameters (weight, length, head circumference) and pregnancy outcomes (</w:t>
      </w:r>
      <w:r>
        <w:t xml:space="preserve">pre-eclampsia, </w:t>
      </w:r>
      <w:r w:rsidRPr="0054645D">
        <w:t>miscarriage, pre-term birth, still birth, infant mortality). These</w:t>
      </w:r>
      <w:r>
        <w:t xml:space="preserve"> reviews compared the effect of various levels of urinary iodine including UIC ≥</w:t>
      </w:r>
      <w:r w:rsidRPr="00952A6F">
        <w:t>150</w:t>
      </w:r>
      <w:r>
        <w:t xml:space="preserve"> µg vs &lt;150</w:t>
      </w:r>
      <w:r w:rsidRPr="00906D88">
        <w:t xml:space="preserve"> </w:t>
      </w:r>
      <w:r>
        <w:t xml:space="preserve">µg (Nazeri et al 2020b, Greenwood et al 2023, Businge et al 2021, </w:t>
      </w:r>
      <w:proofErr w:type="spellStart"/>
      <w:r>
        <w:t>Bolfi</w:t>
      </w:r>
      <w:proofErr w:type="spellEnd"/>
      <w:r>
        <w:t xml:space="preserve"> et al 2025), </w:t>
      </w:r>
      <w:r w:rsidRPr="00FE0771">
        <w:t>UIC &lt; 100</w:t>
      </w:r>
      <w:r>
        <w:t xml:space="preserve"> vs </w:t>
      </w:r>
      <w:r w:rsidRPr="00FE0771">
        <w:t>100</w:t>
      </w:r>
      <w:r>
        <w:t>-</w:t>
      </w:r>
      <w:r w:rsidRPr="00FE0771">
        <w:t>149</w:t>
      </w:r>
      <w:r>
        <w:t xml:space="preserve"> vs</w:t>
      </w:r>
      <w:r w:rsidRPr="00FE0771">
        <w:t xml:space="preserve"> 150</w:t>
      </w:r>
      <w:r>
        <w:t>-</w:t>
      </w:r>
      <w:r w:rsidRPr="00FE0771">
        <w:t>249</w:t>
      </w:r>
      <w:r>
        <w:t xml:space="preserve"> vs</w:t>
      </w:r>
      <w:r w:rsidRPr="00FE0771">
        <w:t xml:space="preserve"> &gt; 250</w:t>
      </w:r>
      <w:r>
        <w:t>μg/L</w:t>
      </w:r>
      <w:r w:rsidRPr="00FE0771">
        <w:t xml:space="preserve"> </w:t>
      </w:r>
      <w:r>
        <w:t>(</w:t>
      </w:r>
      <w:proofErr w:type="spellStart"/>
      <w:r>
        <w:t>Nazarpour</w:t>
      </w:r>
      <w:proofErr w:type="spellEnd"/>
      <w:r>
        <w:t xml:space="preserve"> et al 2020 and iodine supplementation vs control (Nazeri et al 2021) on a range of birth outcomes. No consistent association between higher urinary iodine and improved birth outcomes were reported across reviews. </w:t>
      </w:r>
    </w:p>
    <w:p w14:paraId="15048B00" w14:textId="77777777" w:rsidR="003138BD" w:rsidRDefault="003138BD" w:rsidP="003138BD">
      <w:proofErr w:type="spellStart"/>
      <w:r>
        <w:t>Bolfi</w:t>
      </w:r>
      <w:proofErr w:type="spellEnd"/>
      <w:r>
        <w:t xml:space="preserve"> et al (2025) assessed the certainty of evidence using the GRADE approach, noting that evidence was low or very low certainty across all outcomes, although reasons for downgrading were not reported. Limitations in the evidence base include failure of observational studies to measure or account for all relevant confounders, and heterogeneity in population </w:t>
      </w:r>
      <w:proofErr w:type="gramStart"/>
      <w:r>
        <w:t>status  -</w:t>
      </w:r>
      <w:proofErr w:type="gramEnd"/>
      <w:r>
        <w:t xml:space="preserve"> with the review including sufficient (</w:t>
      </w:r>
      <w:r w:rsidRPr="006B5BC6">
        <w:t>34</w:t>
      </w:r>
      <w:r>
        <w:t xml:space="preserve"> studies), mildly deficient (9 studies) and </w:t>
      </w:r>
      <w:r w:rsidRPr="006B5BC6">
        <w:t>moderately</w:t>
      </w:r>
      <w:r>
        <w:t xml:space="preserve"> </w:t>
      </w:r>
      <w:r w:rsidRPr="006B5BC6">
        <w:t xml:space="preserve">deficient </w:t>
      </w:r>
      <w:r>
        <w:t xml:space="preserve">(15 studies) populations - and timing of exposure (UIC) measurement. </w:t>
      </w:r>
    </w:p>
    <w:p w14:paraId="6A55408F" w14:textId="77777777" w:rsidR="003138BD" w:rsidRDefault="003138BD" w:rsidP="003138BD">
      <w:r>
        <w:t xml:space="preserve">Further, whilst WHO epidemiologic criteria define UIC &lt;150 µg/day as insufficient, this is a population measure and is not a reliable indicator for determining individual status. </w:t>
      </w:r>
    </w:p>
    <w:p w14:paraId="639AABAD" w14:textId="77777777" w:rsidR="003138BD" w:rsidRDefault="003138BD" w:rsidP="003138BD">
      <w:r>
        <w:t>The available evidence for the relationship between urinary iodine and birth outcomes is not sufficiently sensitive to inform recommendations about iodine intake.</w:t>
      </w:r>
    </w:p>
    <w:p w14:paraId="3FB9041C" w14:textId="77777777" w:rsidR="003138BD" w:rsidRDefault="003138BD" w:rsidP="003138BD">
      <w:pPr>
        <w:rPr>
          <w:rFonts w:eastAsiaTheme="majorEastAsia" w:cstheme="majorBidi"/>
          <w:color w:val="379AC4" w:themeColor="accent1" w:themeShade="BF"/>
          <w:sz w:val="24"/>
          <w:szCs w:val="28"/>
        </w:rPr>
      </w:pPr>
      <w:r>
        <w:br w:type="page"/>
      </w:r>
    </w:p>
    <w:p w14:paraId="37DF6E1B" w14:textId="77777777" w:rsidR="003138BD" w:rsidRPr="00B4528B" w:rsidRDefault="003138BD" w:rsidP="00835622">
      <w:pPr>
        <w:pStyle w:val="Heading4"/>
      </w:pPr>
      <w:bookmarkStart w:id="113" w:name="_Toc202956857"/>
      <w:bookmarkStart w:id="114" w:name="_Toc210406381"/>
      <w:bookmarkStart w:id="115" w:name="_Toc212567880"/>
      <w:r>
        <w:lastRenderedPageBreak/>
        <w:t>Health outcomes in children and adolescents</w:t>
      </w:r>
      <w:bookmarkEnd w:id="113"/>
      <w:bookmarkEnd w:id="114"/>
      <w:bookmarkEnd w:id="115"/>
    </w:p>
    <w:p w14:paraId="118FC3AC" w14:textId="77777777" w:rsidR="003138BD" w:rsidRDefault="003138BD" w:rsidP="00835622">
      <w:pPr>
        <w:pStyle w:val="Heading5"/>
      </w:pPr>
      <w:r>
        <w:t>Thyroid function</w:t>
      </w:r>
    </w:p>
    <w:p w14:paraId="53526A5C" w14:textId="77777777" w:rsidR="003138BD" w:rsidRPr="00EE2171" w:rsidRDefault="003138BD" w:rsidP="00835622">
      <w:pPr>
        <w:pStyle w:val="Heading6"/>
      </w:pPr>
      <w:r>
        <w:t>Iodine deficiency</w:t>
      </w:r>
    </w:p>
    <w:p w14:paraId="1BC73333" w14:textId="77777777" w:rsidR="003138BD" w:rsidRDefault="003138BD" w:rsidP="003138BD">
      <w:r>
        <w:t xml:space="preserve">A recent systematic review identified 7 studies examining the relationship between mild-to-moderate deficiency and thyroid function in children and adolescents (Aarsland et al 2025). Studies were all cross-sectional in design, with one study a repeated cross-sectional design. Most studies were in school-aged children (5 studies), with one in infants and one including children up to &lt;18 years. Most studies grouped participants as deficient (UIC &lt;100 </w:t>
      </w:r>
      <w:proofErr w:type="spellStart"/>
      <w:r w:rsidRPr="00027A83">
        <w:t>μg</w:t>
      </w:r>
      <w:proofErr w:type="spellEnd"/>
      <w:r w:rsidRPr="00027A83">
        <w:t>/L</w:t>
      </w:r>
      <w:r>
        <w:t xml:space="preserve">) vs adequate (UIC&gt;100 </w:t>
      </w:r>
      <w:proofErr w:type="spellStart"/>
      <w:r w:rsidRPr="00027A83">
        <w:t>μg</w:t>
      </w:r>
      <w:proofErr w:type="spellEnd"/>
      <w:r w:rsidRPr="00027A83">
        <w:t>/L</w:t>
      </w:r>
      <w:r>
        <w:t xml:space="preserve">), and data for mild-to-moderately deficient populations were not specifically reported. Six of seven studies found no association between UIC and TSH, with one study reporting a decrease and subsequent increase in TSH with higher UIC in school-aged children. Similarly, only one of four studies reported decreased T3 with UIC &lt;100 </w:t>
      </w:r>
      <w:proofErr w:type="spellStart"/>
      <w:r w:rsidRPr="00027A83">
        <w:t>μg</w:t>
      </w:r>
      <w:proofErr w:type="spellEnd"/>
      <w:r w:rsidRPr="00027A83">
        <w:t>/</w:t>
      </w:r>
      <w:r>
        <w:t>L, although T3 values remained within the normal reference range. Four studies found no clear association between UIC level and T4.  Overall, the authors graded the evidence as ‘</w:t>
      </w:r>
      <w:r w:rsidRPr="005840F1">
        <w:t>limited—no conclusion</w:t>
      </w:r>
      <w:r>
        <w:t>’ under the World Cancer Research Fund criteria for judging the certainty of evidence (WCRF 2018). Limitations included the predominance of cross-sectional studies and a lack of robust study designs, inconsistent results between studies including in the direction and significance of effects.</w:t>
      </w:r>
    </w:p>
    <w:p w14:paraId="4403F4F5" w14:textId="77777777" w:rsidR="003138BD" w:rsidRPr="00561101" w:rsidRDefault="003138BD" w:rsidP="00835622">
      <w:pPr>
        <w:pStyle w:val="Heading6"/>
      </w:pPr>
      <w:r>
        <w:t>Excess intakes</w:t>
      </w:r>
    </w:p>
    <w:p w14:paraId="66D93524" w14:textId="77777777" w:rsidR="003138BD" w:rsidRDefault="003138BD" w:rsidP="003138BD">
      <w:r>
        <w:t>There is a lack of data on the effects of iodine excess on thyroid function in children and adolescents, with studies reporting inconsistent findings about the association between high iodine intakes and thyroid function in children (Sohn et. al. 2024). Concerns have been raised about the effects of exposure to high acute doses of iodine via iodinated contrast media on thyroid function in children, with studies reporting increased TSH and reduced FT3 and FT4 in exposed groups (Sohn et al 2024). However, these exposures typically involve administration of doses substantially exceeding recommendations (some 150 times the recommended daily intakes) and consequently, they are of limited utility when seeking to establish safe tolerable upper limits for intake within the general population.</w:t>
      </w:r>
    </w:p>
    <w:p w14:paraId="35D893A0" w14:textId="77777777" w:rsidR="003138BD" w:rsidRDefault="003138BD" w:rsidP="00835622">
      <w:pPr>
        <w:pStyle w:val="Heading5"/>
      </w:pPr>
      <w:r>
        <w:t>Child development</w:t>
      </w:r>
    </w:p>
    <w:p w14:paraId="50A42A08" w14:textId="77777777" w:rsidR="003138BD" w:rsidRPr="00013E00" w:rsidRDefault="003138BD" w:rsidP="003138BD">
      <w:r>
        <w:t xml:space="preserve">Few studies have </w:t>
      </w:r>
      <w:r w:rsidRPr="00013E00">
        <w:t xml:space="preserve">been published examining the effects of iodine exposure in children, with studies on child development predominantly evaluating the effects of maternal iodine exposure during pregnancy and lactation. </w:t>
      </w:r>
    </w:p>
    <w:p w14:paraId="44ED44A1" w14:textId="77777777" w:rsidR="003138BD" w:rsidRPr="00DE3AA9" w:rsidRDefault="003138BD" w:rsidP="003138BD">
      <w:r w:rsidRPr="00013E00">
        <w:t>One review was identified exploring the effects of iodine exposure in childhood on hearing</w:t>
      </w:r>
      <w:r>
        <w:t xml:space="preserve"> (</w:t>
      </w:r>
      <w:proofErr w:type="spellStart"/>
      <w:r>
        <w:t>Dineva</w:t>
      </w:r>
      <w:proofErr w:type="spellEnd"/>
      <w:r>
        <w:t xml:space="preserve"> et al 2023)</w:t>
      </w:r>
      <w:r w:rsidRPr="00013E00">
        <w:t>. It identified 9 studies comprising 1 RCT, 2 NRSIs and 6 cross-sectional studies in severely deficient (4 studies), severe-to-moderately deficient (1 study), mildly deficient</w:t>
      </w:r>
      <w:r>
        <w:t xml:space="preserve"> (1 study) or iodine sufficient (3 studies) children. Iodine exposure was determined from UIC - along with thyroid volume / goitre or </w:t>
      </w:r>
      <w:proofErr w:type="spellStart"/>
      <w:r>
        <w:t>Tg</w:t>
      </w:r>
      <w:proofErr w:type="spellEnd"/>
      <w:r>
        <w:t xml:space="preserve"> where available - in the absence of dietary intake data. Studies were generally assessed as being at high (RCT) or serious risk of bias (NRSIs), or of poor quality (cross-sectional studies). The generally poor quality of studies, and heterogeneity in study designs and iodine measurement methods limited comparability across studies. Overall, the authors concluded the available evidence was limited and further research on the effects of iodine status on hearing development in children is required.</w:t>
      </w:r>
      <w:r w:rsidRPr="00CB2D29">
        <w:br w:type="page"/>
      </w:r>
    </w:p>
    <w:p w14:paraId="5D6EB884" w14:textId="77777777" w:rsidR="003138BD" w:rsidRDefault="003138BD" w:rsidP="00835622">
      <w:pPr>
        <w:pStyle w:val="Heading2"/>
      </w:pPr>
      <w:bookmarkStart w:id="116" w:name="_Toc210406382"/>
      <w:bookmarkStart w:id="117" w:name="_Toc212567881"/>
      <w:r>
        <w:lastRenderedPageBreak/>
        <w:t>Derivation of draft NRVs</w:t>
      </w:r>
      <w:bookmarkEnd w:id="116"/>
      <w:bookmarkEnd w:id="117"/>
    </w:p>
    <w:p w14:paraId="7BA98C99" w14:textId="77777777" w:rsidR="003138BD" w:rsidRDefault="003138BD" w:rsidP="00835622">
      <w:pPr>
        <w:pStyle w:val="Heading3"/>
      </w:pPr>
      <w:bookmarkStart w:id="118" w:name="_Toc210406383"/>
      <w:bookmarkStart w:id="119" w:name="_Toc212567882"/>
      <w:r>
        <w:t>Nutritional adequacy recommendations</w:t>
      </w:r>
      <w:bookmarkEnd w:id="118"/>
      <w:bookmarkEnd w:id="119"/>
    </w:p>
    <w:p w14:paraId="3283B1F5" w14:textId="77777777" w:rsidR="003138BD" w:rsidRPr="00D50FE3" w:rsidRDefault="003138BD" w:rsidP="00835622">
      <w:pPr>
        <w:pStyle w:val="Heading4"/>
      </w:pPr>
      <w:bookmarkStart w:id="120" w:name="_Toc210406384"/>
      <w:bookmarkStart w:id="121" w:name="_Toc212567883"/>
      <w:r w:rsidRPr="00D50FE3">
        <w:t>Adults</w:t>
      </w:r>
      <w:bookmarkEnd w:id="120"/>
      <w:bookmarkEnd w:id="121"/>
    </w:p>
    <w:p w14:paraId="014EDEE5" w14:textId="77777777" w:rsidR="003138BD" w:rsidRDefault="003138BD" w:rsidP="003138BD">
      <w:pPr>
        <w:spacing w:after="0" w:line="240" w:lineRule="atLeast"/>
        <w:rPr>
          <w:rFonts w:eastAsia="Times New Roman"/>
          <w:szCs w:val="20"/>
        </w:rPr>
      </w:pPr>
      <w:r w:rsidRPr="00AB70BF">
        <w:rPr>
          <w:rFonts w:eastAsia="Times New Roman"/>
          <w:szCs w:val="20"/>
        </w:rPr>
        <w:t xml:space="preserve">Current recommendations </w:t>
      </w:r>
      <w:r>
        <w:t xml:space="preserve">for adults are based on </w:t>
      </w:r>
      <w:r>
        <w:rPr>
          <w:rFonts w:eastAsia="Times New Roman"/>
          <w:szCs w:val="20"/>
        </w:rPr>
        <w:t xml:space="preserve">studies reporting average thyroid iodine accumulation and turnover between 91.2 and 96.5 </w:t>
      </w:r>
      <w:proofErr w:type="spellStart"/>
      <w:r w:rsidRPr="001575EA">
        <w:rPr>
          <w:rFonts w:eastAsia="Times New Roman"/>
          <w:szCs w:val="20"/>
        </w:rPr>
        <w:t>μg</w:t>
      </w:r>
      <w:proofErr w:type="spellEnd"/>
      <w:r w:rsidRPr="001575EA">
        <w:rPr>
          <w:rFonts w:eastAsia="Times New Roman"/>
          <w:szCs w:val="20"/>
        </w:rPr>
        <w:t xml:space="preserve">/day </w:t>
      </w:r>
      <w:r>
        <w:rPr>
          <w:rFonts w:eastAsia="Times New Roman"/>
          <w:szCs w:val="20"/>
        </w:rPr>
        <w:t>in euthyroid adults (</w:t>
      </w:r>
      <w:r w:rsidRPr="00C23DB1">
        <w:rPr>
          <w:rFonts w:eastAsia="Times New Roman"/>
          <w:szCs w:val="20"/>
        </w:rPr>
        <w:t xml:space="preserve">Fisher and Oddie, 1969a, </w:t>
      </w:r>
      <w:r>
        <w:rPr>
          <w:rFonts w:eastAsia="Times New Roman"/>
          <w:szCs w:val="20"/>
        </w:rPr>
        <w:t xml:space="preserve">Fisher and Oddie, </w:t>
      </w:r>
      <w:r w:rsidRPr="00C23DB1">
        <w:rPr>
          <w:rFonts w:eastAsia="Times New Roman"/>
          <w:szCs w:val="20"/>
        </w:rPr>
        <w:t>1969b</w:t>
      </w:r>
      <w:r>
        <w:rPr>
          <w:rFonts w:eastAsia="Times New Roman"/>
          <w:szCs w:val="20"/>
        </w:rPr>
        <w:t xml:space="preserve">). Values were rounded to 100 </w:t>
      </w:r>
      <w:proofErr w:type="spellStart"/>
      <w:r w:rsidRPr="008D553C">
        <w:rPr>
          <w:rFonts w:eastAsia="Times New Roman"/>
          <w:szCs w:val="20"/>
        </w:rPr>
        <w:t>μg</w:t>
      </w:r>
      <w:proofErr w:type="spellEnd"/>
      <w:r w:rsidRPr="008D553C">
        <w:rPr>
          <w:rFonts w:eastAsia="Times New Roman"/>
          <w:szCs w:val="20"/>
        </w:rPr>
        <w:t>/</w:t>
      </w:r>
      <w:r>
        <w:rPr>
          <w:rFonts w:eastAsia="Times New Roman"/>
          <w:szCs w:val="20"/>
        </w:rPr>
        <w:t>day to reflect New Zealand data on urinary iodide to thyroid volume (Thomson et. al. 2001).</w:t>
      </w:r>
    </w:p>
    <w:p w14:paraId="49C9B754" w14:textId="77777777" w:rsidR="003138BD" w:rsidRDefault="003138BD" w:rsidP="003138BD">
      <w:pPr>
        <w:spacing w:after="0" w:line="240" w:lineRule="atLeast"/>
        <w:rPr>
          <w:rFonts w:eastAsia="Times New Roman"/>
          <w:szCs w:val="20"/>
        </w:rPr>
      </w:pPr>
      <w:r>
        <w:rPr>
          <w:rFonts w:eastAsia="Times New Roman"/>
          <w:szCs w:val="20"/>
        </w:rPr>
        <w:t xml:space="preserve">The RDI was established by applying a 20% co-efficient of variation (CV), being half of the 40% CV reported by Fisher and Oddie (1969a). This adjustment was made on the basis that half of the observed variation </w:t>
      </w:r>
      <w:proofErr w:type="gramStart"/>
      <w:r>
        <w:rPr>
          <w:rFonts w:eastAsia="Times New Roman"/>
          <w:szCs w:val="20"/>
        </w:rPr>
        <w:t>was considered to be</w:t>
      </w:r>
      <w:proofErr w:type="gramEnd"/>
      <w:r>
        <w:rPr>
          <w:rFonts w:eastAsia="Times New Roman"/>
          <w:szCs w:val="20"/>
        </w:rPr>
        <w:t xml:space="preserve"> due to </w:t>
      </w:r>
      <w:r w:rsidRPr="00564F2E">
        <w:rPr>
          <w:rFonts w:eastAsia="Times New Roman"/>
          <w:szCs w:val="20"/>
        </w:rPr>
        <w:t xml:space="preserve">the complexity of the experimental design and calculations used to estimate turnover </w:t>
      </w:r>
      <w:r>
        <w:rPr>
          <w:rFonts w:eastAsia="Times New Roman"/>
          <w:szCs w:val="20"/>
        </w:rPr>
        <w:t>(US IOM, 2001).</w:t>
      </w:r>
    </w:p>
    <w:p w14:paraId="5A8AFDF0" w14:textId="77777777" w:rsidR="003138BD" w:rsidRDefault="003138BD" w:rsidP="003138BD">
      <w:pPr>
        <w:spacing w:after="0" w:line="240" w:lineRule="atLeast"/>
      </w:pPr>
      <w:r w:rsidRPr="00025790">
        <w:rPr>
          <w:rFonts w:eastAsia="Times New Roman"/>
          <w:szCs w:val="20"/>
        </w:rPr>
        <w:t>A 2014 balanc</w:t>
      </w:r>
      <w:r>
        <w:rPr>
          <w:rFonts w:eastAsia="Times New Roman"/>
          <w:szCs w:val="20"/>
        </w:rPr>
        <w:t>e study (Tan, 2019) found that neutral balance was achieved with an iodine intake of 111</w:t>
      </w:r>
      <w:r w:rsidRPr="00634D34">
        <w:t xml:space="preserve"> </w:t>
      </w:r>
      <w:proofErr w:type="spellStart"/>
      <w:r w:rsidRPr="00634D34">
        <w:t>μg</w:t>
      </w:r>
      <w:proofErr w:type="spellEnd"/>
      <w:r w:rsidRPr="00634D34">
        <w:t>/day</w:t>
      </w:r>
      <w:r>
        <w:t>, which equates to an RDI of 155</w:t>
      </w:r>
      <w:r w:rsidRPr="00255FCF">
        <w:t xml:space="preserve"> </w:t>
      </w:r>
      <w:proofErr w:type="spellStart"/>
      <w:r w:rsidRPr="00255FCF">
        <w:t>μg</w:t>
      </w:r>
      <w:proofErr w:type="spellEnd"/>
      <w:r w:rsidRPr="00255FCF">
        <w:t>/d</w:t>
      </w:r>
      <w:r w:rsidRPr="00634D34">
        <w:t>ay</w:t>
      </w:r>
      <w:r>
        <w:t xml:space="preserve"> when a 20% CV is applied. The balance study had several limitations including no run-in period, and it was conducted in a small sample (N=25) of iodine replete, euthyroid female students. Consequently, findings may not be broadly generalisable to the Australian and New Zealand context. </w:t>
      </w:r>
    </w:p>
    <w:p w14:paraId="213CBF20" w14:textId="77777777" w:rsidR="003138BD" w:rsidRDefault="003138BD" w:rsidP="003138BD">
      <w:pPr>
        <w:spacing w:after="0" w:line="240" w:lineRule="atLeast"/>
        <w:rPr>
          <w:rFonts w:eastAsia="Times New Roman"/>
          <w:szCs w:val="20"/>
        </w:rPr>
      </w:pPr>
      <w:r w:rsidRPr="004F6E5F">
        <w:rPr>
          <w:rFonts w:eastAsia="Times New Roman"/>
          <w:szCs w:val="20"/>
        </w:rPr>
        <w:t xml:space="preserve">More recently, </w:t>
      </w:r>
      <w:r w:rsidRPr="00674A03">
        <w:rPr>
          <w:rFonts w:eastAsia="Times New Roman"/>
          <w:szCs w:val="20"/>
        </w:rPr>
        <w:t xml:space="preserve">concerns </w:t>
      </w:r>
      <w:r>
        <w:rPr>
          <w:rFonts w:eastAsia="Times New Roman"/>
          <w:szCs w:val="20"/>
        </w:rPr>
        <w:t xml:space="preserve">have been raised </w:t>
      </w:r>
      <w:r w:rsidRPr="00674A03">
        <w:rPr>
          <w:rFonts w:eastAsia="Times New Roman"/>
          <w:szCs w:val="20"/>
        </w:rPr>
        <w:t xml:space="preserve">about the reliability of balance </w:t>
      </w:r>
      <w:r>
        <w:rPr>
          <w:rFonts w:eastAsia="Times New Roman"/>
          <w:szCs w:val="20"/>
        </w:rPr>
        <w:t xml:space="preserve">and thyroid accumulation </w:t>
      </w:r>
      <w:r w:rsidRPr="00674A03">
        <w:rPr>
          <w:rFonts w:eastAsia="Times New Roman"/>
          <w:szCs w:val="20"/>
        </w:rPr>
        <w:t>studies for estimating requirements</w:t>
      </w:r>
      <w:r>
        <w:rPr>
          <w:rFonts w:eastAsia="Times New Roman"/>
          <w:szCs w:val="20"/>
        </w:rPr>
        <w:t xml:space="preserve"> (EFSA 2014, </w:t>
      </w:r>
      <w:proofErr w:type="spellStart"/>
      <w:r>
        <w:rPr>
          <w:rFonts w:eastAsia="Times New Roman"/>
          <w:szCs w:val="20"/>
        </w:rPr>
        <w:t>Blomhoff</w:t>
      </w:r>
      <w:proofErr w:type="spellEnd"/>
      <w:r>
        <w:rPr>
          <w:rFonts w:eastAsia="Times New Roman"/>
          <w:szCs w:val="20"/>
        </w:rPr>
        <w:t xml:space="preserve"> et al. 2023)</w:t>
      </w:r>
      <w:r w:rsidRPr="00674A03">
        <w:rPr>
          <w:rFonts w:eastAsia="Times New Roman"/>
          <w:szCs w:val="20"/>
        </w:rPr>
        <w:t>, including</w:t>
      </w:r>
      <w:r>
        <w:rPr>
          <w:rFonts w:eastAsia="Times New Roman"/>
          <w:szCs w:val="20"/>
        </w:rPr>
        <w:t>:</w:t>
      </w:r>
    </w:p>
    <w:p w14:paraId="327CE76C" w14:textId="77777777" w:rsidR="003138BD" w:rsidRDefault="003138BD" w:rsidP="003138BD">
      <w:pPr>
        <w:pStyle w:val="ListParagraph"/>
        <w:numPr>
          <w:ilvl w:val="0"/>
          <w:numId w:val="29"/>
        </w:numPr>
        <w:spacing w:after="0" w:line="240" w:lineRule="atLeast"/>
        <w:rPr>
          <w:rFonts w:eastAsia="Times New Roman"/>
          <w:szCs w:val="20"/>
        </w:rPr>
      </w:pPr>
      <w:r w:rsidRPr="008522C2">
        <w:rPr>
          <w:rFonts w:eastAsia="Times New Roman"/>
          <w:szCs w:val="20"/>
        </w:rPr>
        <w:t xml:space="preserve">methodological limitations </w:t>
      </w:r>
      <w:r>
        <w:rPr>
          <w:rFonts w:eastAsia="Times New Roman"/>
          <w:szCs w:val="20"/>
        </w:rPr>
        <w:t xml:space="preserve">of balance studies </w:t>
      </w:r>
      <w:r w:rsidRPr="008522C2">
        <w:rPr>
          <w:rFonts w:eastAsia="Times New Roman"/>
          <w:szCs w:val="20"/>
        </w:rPr>
        <w:t>(</w:t>
      </w:r>
      <w:proofErr w:type="spellStart"/>
      <w:r w:rsidRPr="008522C2">
        <w:rPr>
          <w:rFonts w:eastAsia="Times New Roman"/>
          <w:szCs w:val="20"/>
        </w:rPr>
        <w:t>eg.</w:t>
      </w:r>
      <w:proofErr w:type="spellEnd"/>
      <w:r w:rsidRPr="008522C2">
        <w:rPr>
          <w:rFonts w:eastAsia="Times New Roman"/>
          <w:szCs w:val="20"/>
        </w:rPr>
        <w:t xml:space="preserve"> inadequate </w:t>
      </w:r>
      <w:r w:rsidRPr="004B2888">
        <w:rPr>
          <w:rFonts w:eastAsia="Times New Roman"/>
          <w:szCs w:val="20"/>
        </w:rPr>
        <w:t>run-in</w:t>
      </w:r>
      <w:r w:rsidRPr="008522C2">
        <w:rPr>
          <w:rFonts w:eastAsia="Times New Roman"/>
          <w:szCs w:val="20"/>
        </w:rPr>
        <w:t xml:space="preserve"> periods, </w:t>
      </w:r>
      <w:r>
        <w:rPr>
          <w:rFonts w:eastAsia="Times New Roman"/>
          <w:szCs w:val="20"/>
        </w:rPr>
        <w:t xml:space="preserve">accuracy of methods for measuring intake and </w:t>
      </w:r>
      <w:r w:rsidRPr="008522C2">
        <w:rPr>
          <w:rFonts w:eastAsia="Times New Roman"/>
          <w:szCs w:val="20"/>
        </w:rPr>
        <w:t xml:space="preserve">losses) </w:t>
      </w:r>
    </w:p>
    <w:p w14:paraId="7CC6E7EE" w14:textId="77777777" w:rsidR="003138BD" w:rsidRDefault="003138BD" w:rsidP="003138BD">
      <w:pPr>
        <w:pStyle w:val="ListParagraph"/>
        <w:numPr>
          <w:ilvl w:val="0"/>
          <w:numId w:val="29"/>
        </w:numPr>
        <w:spacing w:before="0" w:after="160" w:line="259" w:lineRule="auto"/>
        <w:contextualSpacing/>
      </w:pPr>
      <w:r>
        <w:t>that observed ‘balance’ may reflect requirements that only apply in a narrow range of contexts, or reflect transient adaptive changes rather than steady state requirements</w:t>
      </w:r>
    </w:p>
    <w:p w14:paraId="75BCA386" w14:textId="77777777" w:rsidR="003138BD" w:rsidRPr="00760D62" w:rsidRDefault="003138BD" w:rsidP="003138BD">
      <w:pPr>
        <w:pStyle w:val="ListParagraph"/>
        <w:numPr>
          <w:ilvl w:val="0"/>
          <w:numId w:val="29"/>
        </w:numPr>
        <w:spacing w:before="0" w:after="160" w:line="259" w:lineRule="auto"/>
        <w:contextualSpacing/>
      </w:pPr>
      <w:r w:rsidRPr="008522C2">
        <w:rPr>
          <w:rFonts w:eastAsia="Times New Roman"/>
          <w:szCs w:val="20"/>
        </w:rPr>
        <w:t>wide variation in the iodine intakes associated with ‘null’ balance reported across studies</w:t>
      </w:r>
    </w:p>
    <w:p w14:paraId="60DA3481" w14:textId="77777777" w:rsidR="003138BD" w:rsidRDefault="003138BD" w:rsidP="003138BD">
      <w:pPr>
        <w:pStyle w:val="ListParagraph"/>
        <w:numPr>
          <w:ilvl w:val="0"/>
          <w:numId w:val="29"/>
        </w:numPr>
        <w:spacing w:after="0" w:line="240" w:lineRule="atLeast"/>
        <w:rPr>
          <w:rFonts w:eastAsia="Times New Roman"/>
          <w:szCs w:val="20"/>
        </w:rPr>
      </w:pPr>
      <w:r>
        <w:rPr>
          <w:rFonts w:eastAsia="Times New Roman"/>
          <w:szCs w:val="20"/>
        </w:rPr>
        <w:t>poor generalisability of estimates based on thyroid accumulation studies, noting that thyroidal iodine capture is downregulated with increasing iodine intake. T</w:t>
      </w:r>
      <w:r>
        <w:t>hyroid accumulation studies upon which current NRVs are based (</w:t>
      </w:r>
      <w:r w:rsidRPr="00C23DB1">
        <w:rPr>
          <w:rFonts w:eastAsia="Times New Roman"/>
          <w:szCs w:val="20"/>
        </w:rPr>
        <w:t xml:space="preserve">Fisher and Oddie, 1969a, </w:t>
      </w:r>
      <w:r>
        <w:rPr>
          <w:rFonts w:eastAsia="Times New Roman"/>
          <w:szCs w:val="20"/>
        </w:rPr>
        <w:t xml:space="preserve">Fisher and Oddie, </w:t>
      </w:r>
      <w:r w:rsidRPr="00C23DB1">
        <w:rPr>
          <w:rFonts w:eastAsia="Times New Roman"/>
          <w:szCs w:val="20"/>
        </w:rPr>
        <w:t>1969b</w:t>
      </w:r>
      <w:r>
        <w:rPr>
          <w:rFonts w:eastAsia="Times New Roman"/>
          <w:szCs w:val="20"/>
        </w:rPr>
        <w:t>)</w:t>
      </w:r>
      <w:r>
        <w:t xml:space="preserve"> measured UIE at 410 µg/day and 280 µg/day respectively, suggestive of higher iodine intakes.</w:t>
      </w:r>
    </w:p>
    <w:p w14:paraId="2E1D1733" w14:textId="77777777" w:rsidR="003138BD" w:rsidRDefault="003138BD" w:rsidP="003138BD">
      <w:pPr>
        <w:spacing w:after="0" w:line="240" w:lineRule="atLeast"/>
      </w:pPr>
      <w:r>
        <w:t xml:space="preserve">Despite this uncertainty in the evidence base, the thyroid accumulation </w:t>
      </w:r>
      <w:proofErr w:type="gramStart"/>
      <w:r>
        <w:t>studies</w:t>
      </w:r>
      <w:proofErr w:type="gramEnd"/>
      <w:r>
        <w:t xml:space="preserve"> and recent balance study (Tan 2014) collectively estimate requirements between 90 and 110 µg/day. Therefore, the available evidence - although limited - supports maintaining the current EAR of 100 </w:t>
      </w:r>
      <w:proofErr w:type="spellStart"/>
      <w:r w:rsidRPr="00DF7D62">
        <w:t>μg</w:t>
      </w:r>
      <w:proofErr w:type="spellEnd"/>
      <w:r w:rsidRPr="00DF7D62">
        <w:t>/day.</w:t>
      </w:r>
    </w:p>
    <w:p w14:paraId="2D0FCD4E" w14:textId="77777777" w:rsidR="003138BD" w:rsidRPr="005D701F" w:rsidRDefault="003138BD" w:rsidP="003138BD">
      <w:pPr>
        <w:spacing w:after="0" w:line="240" w:lineRule="atLeast"/>
      </w:pPr>
      <w:r>
        <w:t xml:space="preserve">Furthermore, the RDI of 150 </w:t>
      </w:r>
      <w:proofErr w:type="spellStart"/>
      <w:r w:rsidRPr="00255FCF">
        <w:t>μg</w:t>
      </w:r>
      <w:proofErr w:type="spellEnd"/>
      <w:r w:rsidRPr="00255FCF">
        <w:t>/d</w:t>
      </w:r>
      <w:r w:rsidRPr="00634D34">
        <w:t>ay</w:t>
      </w:r>
      <w:r>
        <w:t xml:space="preserve"> </w:t>
      </w:r>
      <w:r>
        <w:rPr>
          <w:rFonts w:eastAsia="Times New Roman"/>
          <w:szCs w:val="20"/>
        </w:rPr>
        <w:t xml:space="preserve">- derived by applying a CV of 20% to the EAR of 100 </w:t>
      </w:r>
      <w:proofErr w:type="spellStart"/>
      <w:r w:rsidRPr="00255FCF">
        <w:t>μg</w:t>
      </w:r>
      <w:proofErr w:type="spellEnd"/>
      <w:r w:rsidRPr="00255FCF">
        <w:t>/d</w:t>
      </w:r>
      <w:r w:rsidRPr="00634D34">
        <w:t>ay</w:t>
      </w:r>
      <w:r>
        <w:t xml:space="preserve"> - is supported by observational data suggesting that intakes of </w:t>
      </w:r>
      <w:r w:rsidRPr="00920FC5">
        <w:rPr>
          <w:rFonts w:eastAsia="Times New Roman"/>
          <w:szCs w:val="20"/>
        </w:rPr>
        <w:t>150</w:t>
      </w:r>
      <w:r>
        <w:rPr>
          <w:rFonts w:eastAsia="Times New Roman"/>
          <w:szCs w:val="20"/>
        </w:rPr>
        <w:t xml:space="preserve"> µg/day</w:t>
      </w:r>
      <w:r w:rsidRPr="00920FC5">
        <w:rPr>
          <w:rFonts w:eastAsia="Times New Roman"/>
          <w:szCs w:val="20"/>
        </w:rPr>
        <w:t xml:space="preserve"> intake in adults </w:t>
      </w:r>
      <w:r>
        <w:rPr>
          <w:rFonts w:eastAsia="Times New Roman"/>
          <w:szCs w:val="20"/>
        </w:rPr>
        <w:t>corresponds with a low population prevalence of goitre (EFSA 2014).</w:t>
      </w:r>
    </w:p>
    <w:p w14:paraId="5243F1A4" w14:textId="77777777" w:rsidR="003138BD" w:rsidRDefault="003138BD" w:rsidP="00835622">
      <w:pPr>
        <w:pStyle w:val="Heading4"/>
      </w:pPr>
      <w:bookmarkStart w:id="122" w:name="_Toc210406385"/>
      <w:bookmarkStart w:id="123" w:name="_Toc212567884"/>
      <w:r>
        <w:t>Pregnancy</w:t>
      </w:r>
      <w:bookmarkEnd w:id="122"/>
      <w:bookmarkEnd w:id="123"/>
    </w:p>
    <w:p w14:paraId="139A0549" w14:textId="77777777" w:rsidR="003138BD" w:rsidRPr="00F67963" w:rsidRDefault="003138BD" w:rsidP="003138BD">
      <w:pPr>
        <w:spacing w:after="0" w:line="240" w:lineRule="atLeast"/>
        <w:rPr>
          <w:rFonts w:eastAsia="Times New Roman"/>
          <w:szCs w:val="20"/>
        </w:rPr>
      </w:pPr>
      <w:r>
        <w:rPr>
          <w:rFonts w:eastAsia="Times New Roman"/>
          <w:szCs w:val="20"/>
        </w:rPr>
        <w:t>The current (2006) v</w:t>
      </w:r>
      <w:r w:rsidRPr="00F67963">
        <w:rPr>
          <w:rFonts w:eastAsia="Times New Roman"/>
          <w:szCs w:val="20"/>
        </w:rPr>
        <w:t xml:space="preserve">alues for pregnancy were based on adult requirements, adjusted to account for additional requirements during pregnancy. Daily </w:t>
      </w:r>
      <w:proofErr w:type="spellStart"/>
      <w:r w:rsidRPr="00F67963">
        <w:rPr>
          <w:rFonts w:eastAsia="Times New Roman"/>
          <w:szCs w:val="20"/>
        </w:rPr>
        <w:t>fetal</w:t>
      </w:r>
      <w:proofErr w:type="spellEnd"/>
      <w:r w:rsidRPr="00F67963">
        <w:rPr>
          <w:rFonts w:eastAsia="Times New Roman"/>
          <w:szCs w:val="20"/>
        </w:rPr>
        <w:t xml:space="preserve"> thyroid iodine uptake was estimated at 75 </w:t>
      </w:r>
      <w:proofErr w:type="spellStart"/>
      <w:r w:rsidRPr="00F67963">
        <w:rPr>
          <w:rFonts w:eastAsia="Times New Roman"/>
          <w:szCs w:val="20"/>
        </w:rPr>
        <w:t>μg</w:t>
      </w:r>
      <w:proofErr w:type="spellEnd"/>
      <w:r w:rsidRPr="00F67963">
        <w:rPr>
          <w:rFonts w:eastAsia="Times New Roman"/>
          <w:szCs w:val="20"/>
        </w:rPr>
        <w:t xml:space="preserve">/day based on 100% daily turnover of iodine in the newborn thyroid, and an estimated thyroid content of 50-100 </w:t>
      </w:r>
      <w:proofErr w:type="spellStart"/>
      <w:r w:rsidRPr="00F67963">
        <w:rPr>
          <w:rFonts w:eastAsia="Times New Roman"/>
          <w:szCs w:val="20"/>
        </w:rPr>
        <w:t>μg</w:t>
      </w:r>
      <w:proofErr w:type="spellEnd"/>
      <w:r w:rsidRPr="00F67963">
        <w:rPr>
          <w:rFonts w:eastAsia="Times New Roman"/>
          <w:szCs w:val="20"/>
        </w:rPr>
        <w:t xml:space="preserve"> in newborns (Delange and Burgi, 1989; Delange and </w:t>
      </w:r>
      <w:proofErr w:type="spellStart"/>
      <w:r w:rsidRPr="00F67963">
        <w:rPr>
          <w:rFonts w:eastAsia="Times New Roman"/>
          <w:szCs w:val="20"/>
        </w:rPr>
        <w:t>Ermans</w:t>
      </w:r>
      <w:proofErr w:type="spellEnd"/>
      <w:r w:rsidRPr="00F67963">
        <w:rPr>
          <w:rFonts w:eastAsia="Times New Roman"/>
          <w:szCs w:val="20"/>
        </w:rPr>
        <w:t xml:space="preserve">, 1991). Assuming an EAR of 95 </w:t>
      </w:r>
      <w:proofErr w:type="spellStart"/>
      <w:r w:rsidRPr="00F67963">
        <w:rPr>
          <w:rFonts w:eastAsia="Times New Roman"/>
          <w:szCs w:val="20"/>
        </w:rPr>
        <w:t>μg</w:t>
      </w:r>
      <w:proofErr w:type="spellEnd"/>
      <w:r w:rsidRPr="00F67963">
        <w:rPr>
          <w:rFonts w:eastAsia="Times New Roman"/>
          <w:szCs w:val="20"/>
        </w:rPr>
        <w:t xml:space="preserve">/day for non-pregnant women (based on the EAR identified by the US IOM), a preliminary EAR of 170 </w:t>
      </w:r>
      <w:proofErr w:type="spellStart"/>
      <w:r w:rsidRPr="00F67963">
        <w:rPr>
          <w:rFonts w:eastAsia="Times New Roman"/>
          <w:szCs w:val="20"/>
        </w:rPr>
        <w:t>μg</w:t>
      </w:r>
      <w:proofErr w:type="spellEnd"/>
      <w:r w:rsidRPr="00F67963">
        <w:rPr>
          <w:rFonts w:eastAsia="Times New Roman"/>
          <w:szCs w:val="20"/>
        </w:rPr>
        <w:t xml:space="preserve">/day during pregnancy was calculated. </w:t>
      </w:r>
    </w:p>
    <w:p w14:paraId="16C979CB" w14:textId="77777777" w:rsidR="003138BD" w:rsidRPr="00F67963" w:rsidRDefault="003138BD" w:rsidP="003138BD">
      <w:pPr>
        <w:keepNext/>
        <w:spacing w:after="0" w:line="240" w:lineRule="atLeast"/>
        <w:rPr>
          <w:rFonts w:eastAsia="Times New Roman"/>
          <w:szCs w:val="20"/>
        </w:rPr>
      </w:pPr>
      <w:r w:rsidRPr="00F67963">
        <w:rPr>
          <w:rFonts w:eastAsia="Times New Roman"/>
          <w:szCs w:val="20"/>
        </w:rPr>
        <w:lastRenderedPageBreak/>
        <w:t xml:space="preserve">This estimate was reduced to 160 </w:t>
      </w:r>
      <w:proofErr w:type="spellStart"/>
      <w:r w:rsidRPr="00F67963">
        <w:rPr>
          <w:rFonts w:eastAsia="Times New Roman"/>
          <w:szCs w:val="20"/>
        </w:rPr>
        <w:t>μg</w:t>
      </w:r>
      <w:proofErr w:type="spellEnd"/>
      <w:r w:rsidRPr="00F67963">
        <w:rPr>
          <w:rFonts w:eastAsia="Times New Roman"/>
          <w:szCs w:val="20"/>
        </w:rPr>
        <w:t xml:space="preserve">/day in view of the following supportive evidence: </w:t>
      </w:r>
    </w:p>
    <w:p w14:paraId="4A522408" w14:textId="77777777" w:rsidR="003138BD" w:rsidRPr="00F67963" w:rsidRDefault="003138BD" w:rsidP="003138BD">
      <w:pPr>
        <w:pStyle w:val="ListParagraph"/>
        <w:numPr>
          <w:ilvl w:val="0"/>
          <w:numId w:val="31"/>
        </w:numPr>
        <w:spacing w:after="0" w:line="240" w:lineRule="atLeast"/>
        <w:rPr>
          <w:rFonts w:eastAsia="Times New Roman"/>
          <w:szCs w:val="20"/>
        </w:rPr>
      </w:pPr>
      <w:r w:rsidRPr="00F67963">
        <w:rPr>
          <w:rFonts w:eastAsia="Times New Roman"/>
          <w:szCs w:val="20"/>
        </w:rPr>
        <w:t xml:space="preserve">a balance study which reported neutral balance among pregnant women with iodine intakes of around 160 </w:t>
      </w:r>
      <w:proofErr w:type="spellStart"/>
      <w:r w:rsidRPr="00F67963">
        <w:rPr>
          <w:rFonts w:eastAsia="Times New Roman"/>
          <w:szCs w:val="20"/>
        </w:rPr>
        <w:t>μg</w:t>
      </w:r>
      <w:proofErr w:type="spellEnd"/>
      <w:r w:rsidRPr="00F67963">
        <w:rPr>
          <w:rFonts w:eastAsia="Times New Roman"/>
          <w:szCs w:val="20"/>
        </w:rPr>
        <w:t xml:space="preserve">/day (Dworkin et al., 1966); and </w:t>
      </w:r>
    </w:p>
    <w:p w14:paraId="4C3D2517" w14:textId="77777777" w:rsidR="003138BD" w:rsidRPr="00F67963" w:rsidRDefault="003138BD" w:rsidP="003138BD">
      <w:pPr>
        <w:pStyle w:val="ListParagraph"/>
        <w:numPr>
          <w:ilvl w:val="0"/>
          <w:numId w:val="31"/>
        </w:numPr>
        <w:spacing w:after="0" w:line="240" w:lineRule="atLeast"/>
        <w:rPr>
          <w:rFonts w:eastAsia="Times New Roman"/>
          <w:szCs w:val="20"/>
        </w:rPr>
      </w:pPr>
      <w:r w:rsidRPr="00F67963">
        <w:rPr>
          <w:rFonts w:eastAsia="Times New Roman"/>
          <w:szCs w:val="20"/>
        </w:rPr>
        <w:t xml:space="preserve">studies on the effect of iodine supplementation on maternal thyroid volume, with daily intakes of 250 to 280 </w:t>
      </w:r>
      <w:proofErr w:type="spellStart"/>
      <w:r w:rsidRPr="00F67963">
        <w:rPr>
          <w:rFonts w:eastAsia="Times New Roman"/>
          <w:szCs w:val="20"/>
        </w:rPr>
        <w:t>μg</w:t>
      </w:r>
      <w:proofErr w:type="spellEnd"/>
      <w:r w:rsidRPr="00F67963">
        <w:rPr>
          <w:rFonts w:eastAsia="Times New Roman"/>
          <w:szCs w:val="20"/>
        </w:rPr>
        <w:t xml:space="preserve">/day found to prevent goitre during pregnancy (Pedersen et al., 1993), whereas intakes of 150 </w:t>
      </w:r>
      <w:proofErr w:type="spellStart"/>
      <w:r w:rsidRPr="00F67963">
        <w:rPr>
          <w:rFonts w:eastAsia="Times New Roman"/>
          <w:szCs w:val="20"/>
        </w:rPr>
        <w:t>μg</w:t>
      </w:r>
      <w:proofErr w:type="spellEnd"/>
      <w:r w:rsidRPr="00F67963">
        <w:rPr>
          <w:rFonts w:eastAsia="Times New Roman"/>
          <w:szCs w:val="20"/>
        </w:rPr>
        <w:t>/day were insufficient to prevent increased thyroid volume (</w:t>
      </w:r>
      <w:proofErr w:type="spellStart"/>
      <w:r w:rsidRPr="00F67963">
        <w:rPr>
          <w:rFonts w:eastAsia="Times New Roman"/>
          <w:szCs w:val="20"/>
        </w:rPr>
        <w:t>Glinoer</w:t>
      </w:r>
      <w:proofErr w:type="spellEnd"/>
      <w:r w:rsidRPr="00F67963">
        <w:rPr>
          <w:rFonts w:eastAsia="Times New Roman"/>
          <w:szCs w:val="20"/>
        </w:rPr>
        <w:t xml:space="preserve">, 1998). </w:t>
      </w:r>
    </w:p>
    <w:p w14:paraId="60C4C98E" w14:textId="77777777" w:rsidR="003138BD" w:rsidRDefault="003138BD" w:rsidP="003138BD">
      <w:pPr>
        <w:spacing w:after="0" w:line="240" w:lineRule="atLeast"/>
        <w:rPr>
          <w:rFonts w:eastAsia="Times New Roman"/>
          <w:szCs w:val="20"/>
        </w:rPr>
      </w:pPr>
      <w:r w:rsidRPr="00F67963">
        <w:rPr>
          <w:rFonts w:eastAsia="Times New Roman"/>
          <w:szCs w:val="20"/>
        </w:rPr>
        <w:t xml:space="preserve">The RDI during pregnancy was estimated at 220 </w:t>
      </w:r>
      <w:proofErr w:type="spellStart"/>
      <w:r w:rsidRPr="00F67963">
        <w:rPr>
          <w:rFonts w:eastAsia="Times New Roman"/>
          <w:szCs w:val="20"/>
        </w:rPr>
        <w:t>μg</w:t>
      </w:r>
      <w:proofErr w:type="spellEnd"/>
      <w:r w:rsidRPr="00F67963">
        <w:rPr>
          <w:rFonts w:eastAsia="Times New Roman"/>
          <w:szCs w:val="20"/>
        </w:rPr>
        <w:t xml:space="preserve">/day, based on an EAR of 160 </w:t>
      </w:r>
      <w:proofErr w:type="spellStart"/>
      <w:r w:rsidRPr="00F67963">
        <w:rPr>
          <w:rFonts w:eastAsia="Times New Roman"/>
          <w:szCs w:val="20"/>
        </w:rPr>
        <w:t>μg</w:t>
      </w:r>
      <w:proofErr w:type="spellEnd"/>
      <w:r w:rsidRPr="00F67963">
        <w:rPr>
          <w:rFonts w:eastAsia="Times New Roman"/>
          <w:szCs w:val="20"/>
        </w:rPr>
        <w:t>/day and applying a 20% CV.</w:t>
      </w:r>
    </w:p>
    <w:p w14:paraId="7875437E" w14:textId="77777777" w:rsidR="003138BD" w:rsidRDefault="003138BD" w:rsidP="003138BD">
      <w:pPr>
        <w:spacing w:after="0" w:line="240" w:lineRule="atLeast"/>
      </w:pPr>
      <w:r>
        <w:rPr>
          <w:rFonts w:eastAsia="Times New Roman"/>
          <w:szCs w:val="20"/>
        </w:rPr>
        <w:t>More recently, a</w:t>
      </w:r>
      <w:r w:rsidRPr="00F67963">
        <w:rPr>
          <w:rFonts w:eastAsia="Times New Roman"/>
          <w:szCs w:val="20"/>
        </w:rPr>
        <w:t xml:space="preserve"> 2023 balance study found that neutral balance was reached with iodine intake of 202 </w:t>
      </w:r>
      <w:proofErr w:type="spellStart"/>
      <w:r w:rsidRPr="00F67963">
        <w:rPr>
          <w:rFonts w:eastAsia="Times New Roman"/>
          <w:szCs w:val="20"/>
        </w:rPr>
        <w:t>μg</w:t>
      </w:r>
      <w:proofErr w:type="spellEnd"/>
      <w:r w:rsidRPr="00F67963">
        <w:rPr>
          <w:rFonts w:eastAsia="Times New Roman"/>
          <w:szCs w:val="20"/>
        </w:rPr>
        <w:t xml:space="preserve">/day in a subset of 40 pregnant Chinese women (Chen et al 2023). </w:t>
      </w:r>
      <w:r>
        <w:t xml:space="preserve">However, </w:t>
      </w:r>
      <w:r w:rsidRPr="00F67963">
        <w:t xml:space="preserve">Chen et al (2023) noted that estimated iodine balance was higher with increasing habitual intake </w:t>
      </w:r>
      <w:proofErr w:type="gramStart"/>
      <w:r w:rsidRPr="00F67963">
        <w:t>and also</w:t>
      </w:r>
      <w:proofErr w:type="gramEnd"/>
      <w:r w:rsidRPr="00F67963">
        <w:t xml:space="preserve"> varied by trimester.</w:t>
      </w:r>
      <w:r>
        <w:t xml:space="preserve"> The authors also noted that missing data may have impacted findings, with 35% of participants lost to follow up by day 7. </w:t>
      </w:r>
      <w:r w:rsidRPr="00F67963">
        <w:rPr>
          <w:rFonts w:eastAsia="Times New Roman"/>
          <w:szCs w:val="20"/>
        </w:rPr>
        <w:t>Th</w:t>
      </w:r>
      <w:r>
        <w:rPr>
          <w:rFonts w:eastAsia="Times New Roman"/>
          <w:szCs w:val="20"/>
        </w:rPr>
        <w:t xml:space="preserve">ese findings correspond with an EAR of 200 </w:t>
      </w:r>
      <w:proofErr w:type="spellStart"/>
      <w:r w:rsidRPr="00846E37">
        <w:t>μg</w:t>
      </w:r>
      <w:proofErr w:type="spellEnd"/>
      <w:r w:rsidRPr="00F67963">
        <w:t>/day</w:t>
      </w:r>
      <w:r>
        <w:rPr>
          <w:rFonts w:eastAsia="Times New Roman"/>
          <w:szCs w:val="20"/>
        </w:rPr>
        <w:t xml:space="preserve"> and RDI </w:t>
      </w:r>
      <w:r w:rsidRPr="00F67963">
        <w:rPr>
          <w:rFonts w:eastAsia="Times New Roman"/>
          <w:szCs w:val="20"/>
        </w:rPr>
        <w:t xml:space="preserve">of </w:t>
      </w:r>
      <w:r w:rsidRPr="00846E37">
        <w:t>280</w:t>
      </w:r>
      <w:r>
        <w:t> </w:t>
      </w:r>
      <w:proofErr w:type="spellStart"/>
      <w:r w:rsidRPr="00846E37">
        <w:t>μg</w:t>
      </w:r>
      <w:proofErr w:type="spellEnd"/>
      <w:r w:rsidRPr="00F67963">
        <w:t>/day</w:t>
      </w:r>
      <w:r>
        <w:rPr>
          <w:rFonts w:eastAsia="Times New Roman"/>
          <w:szCs w:val="20"/>
        </w:rPr>
        <w:t xml:space="preserve"> </w:t>
      </w:r>
      <w:r>
        <w:t xml:space="preserve">- compared with the EAR of </w:t>
      </w:r>
      <w:r w:rsidRPr="00F67963">
        <w:rPr>
          <w:rFonts w:eastAsia="Times New Roman"/>
          <w:szCs w:val="20"/>
        </w:rPr>
        <w:t xml:space="preserve">160 </w:t>
      </w:r>
      <w:proofErr w:type="spellStart"/>
      <w:r w:rsidRPr="00F67963">
        <w:rPr>
          <w:rFonts w:eastAsia="Times New Roman"/>
          <w:szCs w:val="20"/>
        </w:rPr>
        <w:t>μg</w:t>
      </w:r>
      <w:proofErr w:type="spellEnd"/>
      <w:r w:rsidRPr="00F67963">
        <w:rPr>
          <w:rFonts w:eastAsia="Times New Roman"/>
          <w:szCs w:val="20"/>
        </w:rPr>
        <w:t xml:space="preserve">/day </w:t>
      </w:r>
      <w:r>
        <w:rPr>
          <w:rFonts w:eastAsia="Times New Roman"/>
          <w:szCs w:val="20"/>
        </w:rPr>
        <w:t xml:space="preserve">and RDI of 220 </w:t>
      </w:r>
      <w:proofErr w:type="spellStart"/>
      <w:r w:rsidRPr="00846E37">
        <w:t>μg</w:t>
      </w:r>
      <w:proofErr w:type="spellEnd"/>
      <w:r w:rsidRPr="00F67963">
        <w:t>/day</w:t>
      </w:r>
      <w:r>
        <w:rPr>
          <w:rFonts w:eastAsia="Times New Roman"/>
          <w:szCs w:val="20"/>
        </w:rPr>
        <w:t xml:space="preserve"> suggested </w:t>
      </w:r>
      <w:r w:rsidRPr="00F67963">
        <w:t>by Dworkin et al (1966)</w:t>
      </w:r>
      <w:r>
        <w:t>.</w:t>
      </w:r>
    </w:p>
    <w:p w14:paraId="45AB4317" w14:textId="77777777" w:rsidR="003138BD" w:rsidRPr="00F67963" w:rsidRDefault="003138BD" w:rsidP="003138BD">
      <w:pPr>
        <w:spacing w:after="0" w:line="240" w:lineRule="atLeast"/>
        <w:rPr>
          <w:rFonts w:eastAsia="Times New Roman"/>
          <w:szCs w:val="20"/>
        </w:rPr>
      </w:pPr>
      <w:r>
        <w:rPr>
          <w:rFonts w:eastAsia="Times New Roman"/>
          <w:szCs w:val="20"/>
        </w:rPr>
        <w:t xml:space="preserve">Additional requirements during pregnancy have been estimated at </w:t>
      </w:r>
      <w:r w:rsidRPr="00F67963">
        <w:rPr>
          <w:rFonts w:eastAsia="Times New Roman"/>
          <w:szCs w:val="20"/>
        </w:rPr>
        <w:t xml:space="preserve">50 </w:t>
      </w:r>
      <w:proofErr w:type="spellStart"/>
      <w:r w:rsidRPr="00F67963">
        <w:rPr>
          <w:rFonts w:eastAsia="Times New Roman"/>
          <w:szCs w:val="20"/>
        </w:rPr>
        <w:t>μg</w:t>
      </w:r>
      <w:proofErr w:type="spellEnd"/>
      <w:r w:rsidRPr="00F67963">
        <w:rPr>
          <w:rFonts w:eastAsia="Times New Roman"/>
          <w:szCs w:val="20"/>
        </w:rPr>
        <w:t>/day, in iodine-sufficient individuals with adequate</w:t>
      </w:r>
      <w:r>
        <w:rPr>
          <w:rFonts w:eastAsia="Times New Roman"/>
          <w:szCs w:val="20"/>
        </w:rPr>
        <w:t xml:space="preserve"> thyroidal iodine</w:t>
      </w:r>
      <w:r w:rsidRPr="00F67963">
        <w:rPr>
          <w:rFonts w:eastAsia="Times New Roman"/>
          <w:szCs w:val="20"/>
        </w:rPr>
        <w:t xml:space="preserve"> </w:t>
      </w:r>
      <w:r>
        <w:rPr>
          <w:rFonts w:eastAsia="Times New Roman"/>
          <w:szCs w:val="20"/>
        </w:rPr>
        <w:t>stores (</w:t>
      </w:r>
      <w:r w:rsidRPr="00F67963">
        <w:rPr>
          <w:rFonts w:eastAsia="Times New Roman"/>
          <w:szCs w:val="20"/>
        </w:rPr>
        <w:t>EFSA</w:t>
      </w:r>
      <w:r>
        <w:rPr>
          <w:rFonts w:eastAsia="Times New Roman"/>
          <w:szCs w:val="20"/>
        </w:rPr>
        <w:t>,</w:t>
      </w:r>
      <w:r w:rsidRPr="00F67963">
        <w:rPr>
          <w:rFonts w:eastAsia="Times New Roman"/>
          <w:szCs w:val="20"/>
        </w:rPr>
        <w:t xml:space="preserve"> 2014)</w:t>
      </w:r>
      <w:r>
        <w:rPr>
          <w:rFonts w:eastAsia="Times New Roman"/>
          <w:szCs w:val="20"/>
        </w:rPr>
        <w:t xml:space="preserve">. </w:t>
      </w:r>
      <w:r w:rsidRPr="00F67963">
        <w:rPr>
          <w:rFonts w:eastAsia="Times New Roman"/>
          <w:szCs w:val="20"/>
        </w:rPr>
        <w:t>However, data suggests that Australian and New Zealand women of childbearing age may be mildly deficient, and adequate</w:t>
      </w:r>
      <w:r>
        <w:rPr>
          <w:rFonts w:eastAsia="Times New Roman"/>
          <w:szCs w:val="20"/>
        </w:rPr>
        <w:t xml:space="preserve"> thyroidal</w:t>
      </w:r>
      <w:r w:rsidRPr="00F67963">
        <w:rPr>
          <w:rFonts w:eastAsia="Times New Roman"/>
          <w:szCs w:val="20"/>
        </w:rPr>
        <w:t xml:space="preserve"> iodine cannot be assumed.</w:t>
      </w:r>
      <w:r>
        <w:rPr>
          <w:rFonts w:eastAsia="Times New Roman"/>
          <w:szCs w:val="20"/>
        </w:rPr>
        <w:t xml:space="preserve"> T</w:t>
      </w:r>
      <w:r w:rsidRPr="00F67963">
        <w:rPr>
          <w:rFonts w:eastAsia="Times New Roman"/>
          <w:szCs w:val="20"/>
        </w:rPr>
        <w:t xml:space="preserve">he total requirements for daily </w:t>
      </w:r>
      <w:proofErr w:type="spellStart"/>
      <w:r w:rsidRPr="00F67963">
        <w:rPr>
          <w:rFonts w:eastAsia="Times New Roman"/>
          <w:szCs w:val="20"/>
        </w:rPr>
        <w:t>fetal</w:t>
      </w:r>
      <w:proofErr w:type="spellEnd"/>
      <w:r w:rsidRPr="00F67963">
        <w:rPr>
          <w:rFonts w:eastAsia="Times New Roman"/>
          <w:szCs w:val="20"/>
        </w:rPr>
        <w:t xml:space="preserve"> thyroid iodine uptake</w:t>
      </w:r>
      <w:r>
        <w:rPr>
          <w:rFonts w:eastAsia="Times New Roman"/>
          <w:szCs w:val="20"/>
        </w:rPr>
        <w:t xml:space="preserve"> </w:t>
      </w:r>
      <w:proofErr w:type="gramStart"/>
      <w:r w:rsidRPr="00F67963">
        <w:rPr>
          <w:rFonts w:eastAsia="Times New Roman"/>
          <w:szCs w:val="20"/>
        </w:rPr>
        <w:t>is</w:t>
      </w:r>
      <w:proofErr w:type="gramEnd"/>
      <w:r w:rsidRPr="00F67963">
        <w:rPr>
          <w:rFonts w:eastAsia="Times New Roman"/>
          <w:szCs w:val="20"/>
        </w:rPr>
        <w:t xml:space="preserve"> estimated at 75 </w:t>
      </w:r>
      <w:proofErr w:type="spellStart"/>
      <w:r w:rsidRPr="00F67963">
        <w:rPr>
          <w:rFonts w:eastAsia="Times New Roman"/>
          <w:szCs w:val="20"/>
        </w:rPr>
        <w:t>μg</w:t>
      </w:r>
      <w:proofErr w:type="spellEnd"/>
      <w:r w:rsidRPr="00F67963">
        <w:rPr>
          <w:rFonts w:eastAsia="Times New Roman"/>
          <w:szCs w:val="20"/>
        </w:rPr>
        <w:t xml:space="preserve">/day based on 100% daily turnover of iodine in the newborn thyroid, and an estimated thyroid content of 50-100 </w:t>
      </w:r>
      <w:proofErr w:type="spellStart"/>
      <w:r w:rsidRPr="00F67963">
        <w:rPr>
          <w:rFonts w:eastAsia="Times New Roman"/>
          <w:szCs w:val="20"/>
        </w:rPr>
        <w:t>μg</w:t>
      </w:r>
      <w:proofErr w:type="spellEnd"/>
      <w:r w:rsidRPr="00F67963">
        <w:rPr>
          <w:rFonts w:eastAsia="Times New Roman"/>
          <w:szCs w:val="20"/>
        </w:rPr>
        <w:t xml:space="preserve"> in newborns (Delange, 1989; Delange and </w:t>
      </w:r>
      <w:proofErr w:type="spellStart"/>
      <w:r w:rsidRPr="00F67963">
        <w:rPr>
          <w:rFonts w:eastAsia="Times New Roman"/>
          <w:szCs w:val="20"/>
        </w:rPr>
        <w:t>Ermans</w:t>
      </w:r>
      <w:proofErr w:type="spellEnd"/>
      <w:r w:rsidRPr="00F67963">
        <w:rPr>
          <w:rFonts w:eastAsia="Times New Roman"/>
          <w:szCs w:val="20"/>
        </w:rPr>
        <w:t xml:space="preserve">, 1991).  </w:t>
      </w:r>
    </w:p>
    <w:p w14:paraId="5639AF2F" w14:textId="77777777" w:rsidR="003138BD" w:rsidRPr="00CB09C6" w:rsidRDefault="003138BD" w:rsidP="003138BD">
      <w:pPr>
        <w:spacing w:after="0" w:line="240" w:lineRule="atLeast"/>
      </w:pPr>
      <w:r>
        <w:t xml:space="preserve">Although </w:t>
      </w:r>
      <w:r w:rsidRPr="00483943">
        <w:t xml:space="preserve">there is </w:t>
      </w:r>
      <w:r>
        <w:t xml:space="preserve">substantial </w:t>
      </w:r>
      <w:r w:rsidRPr="00483943">
        <w:t xml:space="preserve">uncertainty </w:t>
      </w:r>
      <w:r>
        <w:t xml:space="preserve">in </w:t>
      </w:r>
      <w:r w:rsidRPr="00483943">
        <w:t>the evidence</w:t>
      </w:r>
      <w:r>
        <w:t xml:space="preserve">, these </w:t>
      </w:r>
      <w:r w:rsidRPr="00483943">
        <w:t>additional data su</w:t>
      </w:r>
      <w:r>
        <w:t>ggest that the current EAR of 160 </w:t>
      </w:r>
      <w:proofErr w:type="spellStart"/>
      <w:r w:rsidRPr="00F67963">
        <w:rPr>
          <w:rFonts w:eastAsia="Times New Roman"/>
          <w:szCs w:val="20"/>
        </w:rPr>
        <w:t>μg</w:t>
      </w:r>
      <w:proofErr w:type="spellEnd"/>
      <w:r w:rsidRPr="00F67963">
        <w:rPr>
          <w:rFonts w:eastAsia="Times New Roman"/>
          <w:szCs w:val="20"/>
        </w:rPr>
        <w:t>/day</w:t>
      </w:r>
      <w:r>
        <w:rPr>
          <w:rFonts w:eastAsia="Times New Roman"/>
          <w:szCs w:val="20"/>
        </w:rPr>
        <w:t xml:space="preserve"> and RDI 220 </w:t>
      </w:r>
      <w:proofErr w:type="spellStart"/>
      <w:r w:rsidRPr="00F67963">
        <w:rPr>
          <w:rFonts w:eastAsia="Times New Roman"/>
          <w:szCs w:val="20"/>
        </w:rPr>
        <w:t>μ</w:t>
      </w:r>
      <w:r>
        <w:rPr>
          <w:rFonts w:eastAsia="Times New Roman"/>
          <w:szCs w:val="20"/>
        </w:rPr>
        <w:t>g</w:t>
      </w:r>
      <w:proofErr w:type="spellEnd"/>
      <w:r>
        <w:rPr>
          <w:rFonts w:eastAsia="Times New Roman"/>
          <w:szCs w:val="20"/>
        </w:rPr>
        <w:t>/day remain suitable for the Australian and New Zealand population.</w:t>
      </w:r>
    </w:p>
    <w:p w14:paraId="7E027224" w14:textId="77777777" w:rsidR="003138BD" w:rsidRDefault="003138BD" w:rsidP="00835622">
      <w:pPr>
        <w:pStyle w:val="Heading4"/>
      </w:pPr>
      <w:bookmarkStart w:id="124" w:name="_Toc210406386"/>
      <w:bookmarkStart w:id="125" w:name="_Toc212567885"/>
      <w:r>
        <w:t>Lactation</w:t>
      </w:r>
      <w:bookmarkEnd w:id="124"/>
      <w:bookmarkEnd w:id="125"/>
    </w:p>
    <w:p w14:paraId="3EE1C7A3" w14:textId="77777777" w:rsidR="003138BD" w:rsidRPr="006B043E" w:rsidRDefault="003138BD" w:rsidP="003138BD">
      <w:pPr>
        <w:spacing w:after="0" w:line="240" w:lineRule="atLeast"/>
      </w:pPr>
      <w:r w:rsidRPr="006B043E">
        <w:t xml:space="preserve">The current (2006) EAR during lactation was set at 190 </w:t>
      </w:r>
      <w:proofErr w:type="spellStart"/>
      <w:r w:rsidRPr="006B043E">
        <w:t>μg</w:t>
      </w:r>
      <w:proofErr w:type="spellEnd"/>
      <w:r w:rsidRPr="006B043E">
        <w:t xml:space="preserve">/day, based on the adult EAR (100 </w:t>
      </w:r>
      <w:proofErr w:type="spellStart"/>
      <w:r w:rsidRPr="006B043E">
        <w:t>μg</w:t>
      </w:r>
      <w:proofErr w:type="spellEnd"/>
      <w:r w:rsidRPr="006B043E">
        <w:t xml:space="preserve">/day) plus replacement of iodine secreted in breast milk estimated at 90 </w:t>
      </w:r>
      <w:proofErr w:type="spellStart"/>
      <w:r w:rsidRPr="006B043E">
        <w:t>μg</w:t>
      </w:r>
      <w:proofErr w:type="spellEnd"/>
      <w:r w:rsidRPr="006B043E">
        <w:t xml:space="preserve">/day. The replacement value of 90 </w:t>
      </w:r>
      <w:proofErr w:type="spellStart"/>
      <w:r w:rsidRPr="006B043E">
        <w:t>μg</w:t>
      </w:r>
      <w:proofErr w:type="spellEnd"/>
      <w:r w:rsidRPr="006B043E">
        <w:t xml:space="preserve">/day was lower than the 114 </w:t>
      </w:r>
      <w:proofErr w:type="spellStart"/>
      <w:r w:rsidRPr="006B043E">
        <w:t>μg</w:t>
      </w:r>
      <w:proofErr w:type="spellEnd"/>
      <w:r w:rsidRPr="006B043E">
        <w:t xml:space="preserve">/day estimated by the US IOM (based on </w:t>
      </w:r>
      <w:proofErr w:type="spellStart"/>
      <w:r w:rsidRPr="006B043E">
        <w:t>Gushurst</w:t>
      </w:r>
      <w:proofErr w:type="spellEnd"/>
      <w:r w:rsidRPr="006B043E">
        <w:t xml:space="preserve"> et al 1984) as the panel considered a broader range of studies on the topic (Delange e al 1984, </w:t>
      </w:r>
      <w:proofErr w:type="spellStart"/>
      <w:r w:rsidRPr="006B043E">
        <w:t>Gushurst</w:t>
      </w:r>
      <w:proofErr w:type="spellEnd"/>
      <w:r w:rsidRPr="006B043E">
        <w:t xml:space="preserve"> et al 1984, </w:t>
      </w:r>
      <w:proofErr w:type="gramStart"/>
      <w:r w:rsidRPr="006B043E">
        <w:t>FAO:WHO</w:t>
      </w:r>
      <w:proofErr w:type="gramEnd"/>
      <w:r w:rsidRPr="006B043E">
        <w:t xml:space="preserve"> 2001, Johnson et al 1990). The RDI was set at 270 </w:t>
      </w:r>
      <w:proofErr w:type="spellStart"/>
      <w:r w:rsidRPr="006B043E">
        <w:t>μg</w:t>
      </w:r>
      <w:proofErr w:type="spellEnd"/>
      <w:r w:rsidRPr="006B043E">
        <w:t xml:space="preserve">/day assuming a CV of 20% for the EAR. </w:t>
      </w:r>
    </w:p>
    <w:p w14:paraId="76B49C17" w14:textId="77777777" w:rsidR="003138BD" w:rsidRDefault="003138BD" w:rsidP="003138BD">
      <w:pPr>
        <w:spacing w:after="0" w:line="240" w:lineRule="atLeast"/>
      </w:pPr>
      <w:r>
        <w:t>A 2018 systematic review found significant variation in BMIC is noted both between populations, and over the course of lactation (Dror &amp; Allen 2018). It concluded that a BMIC of 150</w:t>
      </w:r>
      <w:r w:rsidRPr="00E37E35">
        <w:t>μg</w:t>
      </w:r>
      <w:r w:rsidRPr="00BF0D2E">
        <w:t>/L</w:t>
      </w:r>
      <w:r>
        <w:t xml:space="preserve"> would meet- and potentially exceed - infant requirements in the first 6 months of lactation. This finding supports the conclusions of EFSA (2014) which suggested that positive balance was reached with BMIC between 100 and 200 µg/L. Assuming an average breast milk volume of 0.8L / day, an additional 120 µg/day of iodine would be required to achieve BMIC of 150</w:t>
      </w:r>
      <w:r w:rsidRPr="00E37E35">
        <w:t xml:space="preserve"> </w:t>
      </w:r>
      <w:proofErr w:type="spellStart"/>
      <w:r w:rsidRPr="00E37E35">
        <w:t>μg</w:t>
      </w:r>
      <w:proofErr w:type="spellEnd"/>
      <w:r w:rsidRPr="00BF0D2E">
        <w:t>/</w:t>
      </w:r>
      <w:r>
        <w:t>L.</w:t>
      </w:r>
    </w:p>
    <w:p w14:paraId="09D5236F" w14:textId="77777777" w:rsidR="003138BD" w:rsidRDefault="003138BD" w:rsidP="003138BD">
      <w:pPr>
        <w:spacing w:after="0" w:line="240" w:lineRule="atLeast"/>
      </w:pPr>
      <w:r>
        <w:t>A 2014 study found that lactating women with a BMIC of 112 µg/L had median UIE of 87 µg/L, putting them below the 100 µg/L threshold for sufficiency (Andersen et al 2014). Based on this finding, and assuming an average breast milk volume of 0.8L / day, EFSA (2014) estimated daily losses to be 90 µg/day.</w:t>
      </w:r>
    </w:p>
    <w:p w14:paraId="50BCFD37" w14:textId="77777777" w:rsidR="003138BD" w:rsidRDefault="003138BD" w:rsidP="003138BD">
      <w:pPr>
        <w:spacing w:after="0" w:line="240" w:lineRule="atLeast"/>
      </w:pPr>
      <w:r>
        <w:t xml:space="preserve">A 2016 </w:t>
      </w:r>
      <w:r w:rsidRPr="00FF16CE">
        <w:t xml:space="preserve">crossover </w:t>
      </w:r>
      <w:r>
        <w:t xml:space="preserve">study examining iodine balance in 11 healthy, formula-fed infants aged 2 to 5 months found that </w:t>
      </w:r>
      <w:r w:rsidRPr="00FF16CE">
        <w:t>null balance</w:t>
      </w:r>
      <w:r>
        <w:t xml:space="preserve"> occurred with intakes of </w:t>
      </w:r>
      <w:r w:rsidRPr="00FF16CE">
        <w:t xml:space="preserve">70 </w:t>
      </w:r>
      <w:proofErr w:type="spellStart"/>
      <w:r w:rsidRPr="004858D0">
        <w:t>μ</w:t>
      </w:r>
      <w:r w:rsidRPr="00FF16CE">
        <w:t>g</w:t>
      </w:r>
      <w:proofErr w:type="spellEnd"/>
      <w:r w:rsidRPr="00FF16CE">
        <w:t>/d</w:t>
      </w:r>
      <w:r>
        <w:t>ay (Dold et al 2016). However, it has been suggested that intakes should exceed that required for nutritional adequacy of infants during this life stage, to support accumulation of thyroidal iodine stores (Dror &amp; Allen 2018). Furthermore, the small sample size of this study may not adequately account for individual variability in requirements.</w:t>
      </w:r>
    </w:p>
    <w:p w14:paraId="7D4B010A" w14:textId="77777777" w:rsidR="003138BD" w:rsidRDefault="003138BD" w:rsidP="003138BD">
      <w:pPr>
        <w:spacing w:after="0" w:line="240" w:lineRule="atLeast"/>
      </w:pPr>
      <w:r>
        <w:lastRenderedPageBreak/>
        <w:t xml:space="preserve">Collectively, these studies suggest an additional requirement of 90-120 </w:t>
      </w:r>
      <w:proofErr w:type="spellStart"/>
      <w:r w:rsidRPr="0016456D">
        <w:t>μg</w:t>
      </w:r>
      <w:proofErr w:type="spellEnd"/>
      <w:r w:rsidRPr="00FF16CE">
        <w:t>/d</w:t>
      </w:r>
      <w:r>
        <w:t xml:space="preserve">ay to account for iodine losses through breast milk. In adequate populations, large stores of iodine exist (primarily as iodinated </w:t>
      </w:r>
      <w:proofErr w:type="spellStart"/>
      <w:r>
        <w:t>Tg</w:t>
      </w:r>
      <w:proofErr w:type="spellEnd"/>
      <w:proofErr w:type="gramStart"/>
      <w:r>
        <w:t>)</w:t>
      </w:r>
      <w:proofErr w:type="gramEnd"/>
      <w:r>
        <w:t xml:space="preserve"> and intake is not required to fully compensate for iodine losses in breast milk. However, in Australia and New Zealand mild population deficiency persists in females of reproductive age. Consequently, adequate status should not be presumed, and recommendations may need to approach full replacement of losses to avoid deficiency states.</w:t>
      </w:r>
    </w:p>
    <w:p w14:paraId="4173E993" w14:textId="77777777" w:rsidR="003138BD" w:rsidRPr="00483943" w:rsidRDefault="003138BD" w:rsidP="003138BD">
      <w:pPr>
        <w:spacing w:after="0" w:line="240" w:lineRule="atLeast"/>
      </w:pPr>
      <w:r>
        <w:t xml:space="preserve">Although the evidence is uncertain, these recent studies suggest that the current </w:t>
      </w:r>
      <w:r w:rsidRPr="00483943">
        <w:t xml:space="preserve">EAR </w:t>
      </w:r>
      <w:r>
        <w:t xml:space="preserve">of </w:t>
      </w:r>
      <w:r w:rsidRPr="00483943">
        <w:t xml:space="preserve">190 </w:t>
      </w:r>
      <w:proofErr w:type="spellStart"/>
      <w:r w:rsidRPr="00483943">
        <w:t>μg</w:t>
      </w:r>
      <w:proofErr w:type="spellEnd"/>
      <w:r w:rsidRPr="00483943">
        <w:t>/da</w:t>
      </w:r>
      <w:r>
        <w:t xml:space="preserve">y </w:t>
      </w:r>
      <w:r w:rsidRPr="00483943">
        <w:t>and RDI</w:t>
      </w:r>
      <w:r>
        <w:t xml:space="preserve"> of </w:t>
      </w:r>
      <w:r w:rsidRPr="00483943">
        <w:t xml:space="preserve">270 </w:t>
      </w:r>
      <w:proofErr w:type="spellStart"/>
      <w:r w:rsidRPr="00483943">
        <w:t>μg</w:t>
      </w:r>
      <w:proofErr w:type="spellEnd"/>
      <w:r w:rsidRPr="00483943">
        <w:t>/day</w:t>
      </w:r>
      <w:r>
        <w:t xml:space="preserve"> remain suitable for the Australian and New Zealand populations.</w:t>
      </w:r>
      <w:r w:rsidRPr="00483943">
        <w:t xml:space="preserve"> </w:t>
      </w:r>
    </w:p>
    <w:p w14:paraId="16D47982" w14:textId="77777777" w:rsidR="003138BD" w:rsidRPr="00AA5179" w:rsidRDefault="003138BD" w:rsidP="00835622">
      <w:pPr>
        <w:pStyle w:val="Heading4"/>
      </w:pPr>
      <w:bookmarkStart w:id="126" w:name="_Toc210406387"/>
      <w:bookmarkStart w:id="127" w:name="_Toc212567886"/>
      <w:r>
        <w:t>Children and adolescents</w:t>
      </w:r>
      <w:bookmarkEnd w:id="126"/>
      <w:bookmarkEnd w:id="127"/>
    </w:p>
    <w:p w14:paraId="7046202E" w14:textId="77777777" w:rsidR="003138BD" w:rsidRPr="00664447" w:rsidRDefault="003138BD" w:rsidP="003138BD">
      <w:r>
        <w:rPr>
          <w:rFonts w:eastAsia="Times New Roman"/>
          <w:szCs w:val="20"/>
        </w:rPr>
        <w:t xml:space="preserve">There is a lack of data on iodine requirements in childhood and adolescents, and current </w:t>
      </w:r>
      <w:r w:rsidRPr="00664447">
        <w:t xml:space="preserve">recommendations </w:t>
      </w:r>
      <w:r>
        <w:rPr>
          <w:rFonts w:eastAsia="Times New Roman" w:cs="Arial"/>
          <w:iCs/>
          <w:color w:val="000000"/>
          <w:szCs w:val="20"/>
        </w:rPr>
        <w:t xml:space="preserve">for younger children have been derived from very small samples - or by extracting data for a small number of individuals within a broader sample </w:t>
      </w:r>
      <w:proofErr w:type="gramStart"/>
      <w:r>
        <w:rPr>
          <w:rFonts w:eastAsia="Times New Roman" w:cs="Arial"/>
          <w:iCs/>
          <w:color w:val="000000"/>
          <w:szCs w:val="20"/>
        </w:rPr>
        <w:t>- .</w:t>
      </w:r>
      <w:proofErr w:type="gramEnd"/>
      <w:r>
        <w:rPr>
          <w:rFonts w:eastAsia="Times New Roman" w:cs="Arial"/>
          <w:iCs/>
          <w:color w:val="000000"/>
          <w:szCs w:val="20"/>
        </w:rPr>
        <w:t xml:space="preserve"> </w:t>
      </w:r>
      <w:r w:rsidRPr="00664447">
        <w:t xml:space="preserve">within balance studies of short duration. These studies may be unreliable for estimating individual requirements. </w:t>
      </w:r>
      <w:r>
        <w:rPr>
          <w:rFonts w:eastAsia="Times New Roman" w:cs="Arial"/>
          <w:iCs/>
          <w:color w:val="000000"/>
          <w:szCs w:val="20"/>
        </w:rPr>
        <w:t xml:space="preserve">These methods lack precision and methodological </w:t>
      </w:r>
      <w:proofErr w:type="gramStart"/>
      <w:r>
        <w:rPr>
          <w:rFonts w:eastAsia="Times New Roman" w:cs="Arial"/>
          <w:iCs/>
          <w:color w:val="000000"/>
          <w:szCs w:val="20"/>
        </w:rPr>
        <w:t>rigour, and</w:t>
      </w:r>
      <w:proofErr w:type="gramEnd"/>
      <w:r>
        <w:rPr>
          <w:rFonts w:eastAsia="Times New Roman" w:cs="Arial"/>
          <w:iCs/>
          <w:color w:val="000000"/>
          <w:szCs w:val="20"/>
        </w:rPr>
        <w:t xml:space="preserve"> are unreliable for estimating individual requirements.</w:t>
      </w:r>
    </w:p>
    <w:p w14:paraId="4D4D6824" w14:textId="77777777" w:rsidR="003138BD" w:rsidRDefault="003138BD" w:rsidP="003138BD">
      <w:pPr>
        <w:spacing w:after="0" w:line="240" w:lineRule="atLeast"/>
      </w:pPr>
      <w:r>
        <w:rPr>
          <w:rFonts w:eastAsia="Times New Roman"/>
          <w:szCs w:val="20"/>
        </w:rPr>
        <w:t>Consequently, in the absence of sufficient evidence, EARs for children and adolescents were extrapolated from the adult EAR (100</w:t>
      </w:r>
      <w:r w:rsidRPr="00741CDB">
        <w:t xml:space="preserve"> </w:t>
      </w:r>
      <w:proofErr w:type="spellStart"/>
      <w:r w:rsidRPr="00741CDB">
        <w:t>μg</w:t>
      </w:r>
      <w:proofErr w:type="spellEnd"/>
      <w:r w:rsidRPr="00741CDB">
        <w:t>/</w:t>
      </w:r>
      <w:r>
        <w:t xml:space="preserve">day) based on metabolic body weight, using the formula: </w:t>
      </w:r>
    </w:p>
    <w:p w14:paraId="2DA1086B" w14:textId="77777777" w:rsidR="003138BD" w:rsidRPr="004F3243" w:rsidRDefault="003138BD" w:rsidP="003138BD">
      <w:pPr>
        <w:spacing w:after="0"/>
        <w:ind w:left="459"/>
        <w:rPr>
          <w:rFonts w:eastAsia="Times New Roman"/>
          <w:i/>
          <w:iCs/>
          <w:szCs w:val="20"/>
        </w:rPr>
      </w:pPr>
      <w:r w:rsidRPr="006E1F23">
        <w:rPr>
          <w:rFonts w:eastAsia="Arial"/>
          <w:bCs/>
        </w:rPr>
        <w:t xml:space="preserve">Estimated </w:t>
      </w:r>
      <w:proofErr w:type="spellStart"/>
      <w:r>
        <w:rPr>
          <w:rFonts w:eastAsia="Arial"/>
          <w:bCs/>
        </w:rPr>
        <w:t>EAR</w:t>
      </w:r>
      <w:r w:rsidRPr="006E1F23">
        <w:rPr>
          <w:rFonts w:eastAsia="Arial"/>
          <w:bCs/>
          <w:vertAlign w:val="subscript"/>
        </w:rPr>
        <w:t>child</w:t>
      </w:r>
      <w:proofErr w:type="spellEnd"/>
      <w:r w:rsidRPr="006E1F23">
        <w:rPr>
          <w:rFonts w:eastAsia="Arial"/>
          <w:bCs/>
        </w:rPr>
        <w:t xml:space="preserve"> = Estimated </w:t>
      </w:r>
      <w:proofErr w:type="spellStart"/>
      <w:r>
        <w:rPr>
          <w:rFonts w:eastAsia="Arial"/>
          <w:bCs/>
        </w:rPr>
        <w:t>EAR</w:t>
      </w:r>
      <w:r w:rsidRPr="006E1F23">
        <w:rPr>
          <w:rFonts w:eastAsia="Arial"/>
          <w:bCs/>
          <w:vertAlign w:val="subscript"/>
        </w:rPr>
        <w:t>adult</w:t>
      </w:r>
      <w:proofErr w:type="spellEnd"/>
      <w:r w:rsidRPr="006E1F23">
        <w:rPr>
          <w:rFonts w:eastAsia="Arial"/>
          <w:bCs/>
        </w:rPr>
        <w:t xml:space="preserve"> </w:t>
      </w:r>
      <w:proofErr w:type="gramStart"/>
      <w:r w:rsidRPr="006E1F23">
        <w:rPr>
          <w:rFonts w:eastAsia="Arial"/>
          <w:bCs/>
        </w:rPr>
        <w:t xml:space="preserve">x </w:t>
      </w:r>
      <w:r>
        <w:rPr>
          <w:rFonts w:eastAsia="Arial"/>
          <w:bCs/>
        </w:rPr>
        <w:t xml:space="preserve"> </w:t>
      </w:r>
      <w:r w:rsidRPr="006E1F23">
        <w:rPr>
          <w:rFonts w:eastAsia="Arial"/>
          <w:bCs/>
        </w:rPr>
        <w:t>[</w:t>
      </w:r>
      <w:proofErr w:type="spellStart"/>
      <w:proofErr w:type="gramEnd"/>
      <w:r w:rsidRPr="006E1F23">
        <w:rPr>
          <w:rFonts w:eastAsia="Arial"/>
          <w:bCs/>
        </w:rPr>
        <w:t>Weight</w:t>
      </w:r>
      <w:r w:rsidRPr="006E1F23">
        <w:rPr>
          <w:rFonts w:eastAsia="Arial"/>
          <w:bCs/>
          <w:vertAlign w:val="subscript"/>
        </w:rPr>
        <w:t>child</w:t>
      </w:r>
      <w:proofErr w:type="spellEnd"/>
      <w:r w:rsidRPr="006E1F23">
        <w:rPr>
          <w:rFonts w:eastAsia="Arial"/>
          <w:bCs/>
        </w:rPr>
        <w:t xml:space="preserve"> / </w:t>
      </w:r>
      <w:proofErr w:type="spellStart"/>
      <w:r w:rsidRPr="006E1F23">
        <w:rPr>
          <w:rFonts w:eastAsia="Arial"/>
          <w:bCs/>
        </w:rPr>
        <w:t>Weight</w:t>
      </w:r>
      <w:r w:rsidRPr="006E1F23">
        <w:rPr>
          <w:rFonts w:eastAsia="Arial"/>
          <w:bCs/>
          <w:vertAlign w:val="subscript"/>
        </w:rPr>
        <w:t>adult</w:t>
      </w:r>
      <w:proofErr w:type="spellEnd"/>
      <w:r w:rsidRPr="006E1F23">
        <w:rPr>
          <w:rFonts w:eastAsia="Arial"/>
          <w:bCs/>
        </w:rPr>
        <w:t>]</w:t>
      </w:r>
      <w:r w:rsidRPr="006E1F23">
        <w:rPr>
          <w:rFonts w:eastAsia="Arial"/>
          <w:bCs/>
          <w:vertAlign w:val="superscript"/>
        </w:rPr>
        <w:t>0.75</w:t>
      </w:r>
      <w:r w:rsidRPr="006E1F23">
        <w:rPr>
          <w:rFonts w:eastAsia="Arial"/>
          <w:bCs/>
        </w:rPr>
        <w:t xml:space="preserve"> x [1 + growth factor]</w:t>
      </w:r>
    </w:p>
    <w:p w14:paraId="15CCB476" w14:textId="77777777" w:rsidR="003138BD" w:rsidRDefault="003138BD" w:rsidP="003138BD">
      <w:pPr>
        <w:rPr>
          <w:rFonts w:eastAsia="Times New Roman"/>
          <w:szCs w:val="20"/>
        </w:rPr>
      </w:pPr>
    </w:p>
    <w:p w14:paraId="6933C032" w14:textId="77777777" w:rsidR="003138BD" w:rsidRDefault="003138BD" w:rsidP="003138BD">
      <w:pPr>
        <w:rPr>
          <w:rFonts w:eastAsia="Times New Roman"/>
          <w:i/>
          <w:iCs/>
          <w:szCs w:val="20"/>
        </w:rPr>
      </w:pPr>
      <w:r>
        <w:rPr>
          <w:rFonts w:eastAsia="Times New Roman"/>
          <w:szCs w:val="20"/>
        </w:rPr>
        <w:t>I</w:t>
      </w:r>
      <w:r w:rsidRPr="0040284F">
        <w:rPr>
          <w:rFonts w:eastAsia="Times New Roman"/>
          <w:szCs w:val="20"/>
        </w:rPr>
        <w:t xml:space="preserve">nputs </w:t>
      </w:r>
      <w:r>
        <w:rPr>
          <w:rFonts w:eastAsia="Times New Roman"/>
          <w:szCs w:val="20"/>
        </w:rPr>
        <w:t xml:space="preserve">were as follows: </w:t>
      </w:r>
    </w:p>
    <w:p w14:paraId="01613A40" w14:textId="77777777" w:rsidR="003138BD" w:rsidRPr="001434C2" w:rsidRDefault="003138BD" w:rsidP="003138BD">
      <w:pPr>
        <w:spacing w:after="80"/>
        <w:ind w:left="459"/>
        <w:rPr>
          <w:rFonts w:eastAsia="Times New Roman"/>
          <w:szCs w:val="20"/>
        </w:rPr>
      </w:pPr>
      <w:proofErr w:type="spellStart"/>
      <w:r w:rsidRPr="0069710C">
        <w:rPr>
          <w:rFonts w:eastAsia="Times New Roman"/>
          <w:szCs w:val="20"/>
        </w:rPr>
        <w:t>EAR</w:t>
      </w:r>
      <w:r w:rsidRPr="001434C2">
        <w:rPr>
          <w:rFonts w:eastAsia="Times New Roman"/>
          <w:szCs w:val="20"/>
          <w:vertAlign w:val="subscript"/>
        </w:rPr>
        <w:t>adult</w:t>
      </w:r>
      <w:proofErr w:type="spellEnd"/>
      <w:r w:rsidRPr="001434C2">
        <w:rPr>
          <w:rFonts w:eastAsia="Times New Roman"/>
          <w:szCs w:val="20"/>
          <w:vertAlign w:val="subscript"/>
        </w:rPr>
        <w:t xml:space="preserve">   </w:t>
      </w:r>
      <w:r w:rsidRPr="001434C2">
        <w:rPr>
          <w:rFonts w:eastAsia="Times New Roman"/>
          <w:szCs w:val="20"/>
        </w:rPr>
        <w:t>= 1</w:t>
      </w:r>
      <w:r>
        <w:rPr>
          <w:rFonts w:eastAsia="Times New Roman"/>
          <w:szCs w:val="20"/>
        </w:rPr>
        <w:t>0</w:t>
      </w:r>
      <w:r w:rsidRPr="001434C2">
        <w:rPr>
          <w:rFonts w:eastAsia="Times New Roman"/>
          <w:szCs w:val="20"/>
        </w:rPr>
        <w:t>0</w:t>
      </w:r>
      <w:r>
        <w:rPr>
          <w:rFonts w:eastAsia="Times New Roman"/>
          <w:szCs w:val="20"/>
        </w:rPr>
        <w:t xml:space="preserve"> µg/day</w:t>
      </w:r>
      <w:r w:rsidRPr="001434C2">
        <w:t xml:space="preserve"> </w:t>
      </w:r>
    </w:p>
    <w:p w14:paraId="0A0454F0" w14:textId="77777777" w:rsidR="003138BD" w:rsidRPr="001434C2" w:rsidRDefault="003138BD" w:rsidP="003138BD">
      <w:pPr>
        <w:spacing w:after="80"/>
        <w:ind w:left="459"/>
        <w:rPr>
          <w:rFonts w:eastAsia="Times New Roman"/>
          <w:szCs w:val="20"/>
        </w:rPr>
      </w:pPr>
      <w:r w:rsidRPr="001434C2">
        <w:rPr>
          <w:rFonts w:eastAsia="Times New Roman"/>
          <w:szCs w:val="20"/>
        </w:rPr>
        <w:t xml:space="preserve">Weight </w:t>
      </w:r>
      <w:r w:rsidRPr="001434C2">
        <w:rPr>
          <w:rFonts w:eastAsia="Times New Roman"/>
          <w:szCs w:val="20"/>
          <w:vertAlign w:val="subscript"/>
        </w:rPr>
        <w:t>adult</w:t>
      </w:r>
      <w:r w:rsidRPr="001434C2">
        <w:rPr>
          <w:rFonts w:eastAsia="Times New Roman"/>
          <w:szCs w:val="20"/>
        </w:rPr>
        <w:t xml:space="preserve"> = 6</w:t>
      </w:r>
      <w:r>
        <w:rPr>
          <w:rFonts w:eastAsia="Times New Roman"/>
          <w:szCs w:val="20"/>
        </w:rPr>
        <w:t>2.9</w:t>
      </w:r>
      <w:r w:rsidRPr="001434C2">
        <w:rPr>
          <w:rFonts w:eastAsia="Times New Roman"/>
          <w:szCs w:val="20"/>
        </w:rPr>
        <w:t xml:space="preserve"> kg</w:t>
      </w:r>
    </w:p>
    <w:p w14:paraId="633B2AB1" w14:textId="77777777" w:rsidR="003138BD" w:rsidRDefault="003138BD" w:rsidP="003138BD">
      <w:pPr>
        <w:rPr>
          <w:rFonts w:eastAsia="Times New Roman"/>
          <w:szCs w:val="20"/>
        </w:rPr>
      </w:pPr>
      <w:r>
        <w:rPr>
          <w:rFonts w:eastAsia="Times New Roman"/>
          <w:szCs w:val="20"/>
        </w:rPr>
        <w:t xml:space="preserve">The Growth Factors (GF) and Reference Weights were as per the NHMRC </w:t>
      </w:r>
      <w:r w:rsidRPr="00F610DD">
        <w:rPr>
          <w:rFonts w:eastAsia="Times New Roman"/>
          <w:szCs w:val="20"/>
        </w:rPr>
        <w:t xml:space="preserve">Methodological Framework for the Review of Nutrient Reference Values </w:t>
      </w:r>
      <w:r>
        <w:rPr>
          <w:rFonts w:eastAsia="Times New Roman"/>
          <w:szCs w:val="20"/>
        </w:rPr>
        <w:t>(NHMRC, 2025). Reference Weights were derived from contemporary ‘ideal’ body weight data from the Australian Bureau of Statistics.</w:t>
      </w:r>
    </w:p>
    <w:p w14:paraId="6FE1B3C8" w14:textId="77777777" w:rsidR="003138BD" w:rsidRDefault="003138BD" w:rsidP="003138BD">
      <w:pPr>
        <w:rPr>
          <w:rFonts w:eastAsia="Times New Roman"/>
          <w:szCs w:val="20"/>
        </w:rPr>
      </w:pPr>
      <w:r w:rsidRPr="0097150A">
        <w:rPr>
          <w:rFonts w:eastAsia="Times New Roman"/>
          <w:szCs w:val="20"/>
        </w:rPr>
        <w:t>Calculated</w:t>
      </w:r>
      <w:r>
        <w:rPr>
          <w:rFonts w:eastAsia="Times New Roman"/>
          <w:szCs w:val="20"/>
        </w:rPr>
        <w:t xml:space="preserve"> values were rounded up to ensure the requirements of older children within each age bracket were met, and to smooth transitions between age groups. Data inputs and extrapolated data are presented in </w:t>
      </w:r>
      <w:r>
        <w:rPr>
          <w:rFonts w:eastAsia="Times New Roman"/>
          <w:szCs w:val="20"/>
        </w:rPr>
        <w:fldChar w:fldCharType="begin"/>
      </w:r>
      <w:r>
        <w:rPr>
          <w:rFonts w:eastAsia="Times New Roman"/>
          <w:szCs w:val="20"/>
        </w:rPr>
        <w:instrText xml:space="preserve"> REF _Ref205904492 \h </w:instrText>
      </w:r>
      <w:r>
        <w:rPr>
          <w:rFonts w:eastAsia="Times New Roman"/>
          <w:szCs w:val="20"/>
        </w:rPr>
      </w:r>
      <w:r>
        <w:rPr>
          <w:rFonts w:eastAsia="Times New Roman"/>
          <w:szCs w:val="20"/>
        </w:rPr>
        <w:fldChar w:fldCharType="separate"/>
      </w:r>
      <w:r>
        <w:t xml:space="preserve">Table </w:t>
      </w:r>
      <w:r>
        <w:rPr>
          <w:noProof/>
        </w:rPr>
        <w:t>9</w:t>
      </w:r>
      <w:r>
        <w:rPr>
          <w:rFonts w:eastAsia="Times New Roman"/>
          <w:szCs w:val="20"/>
        </w:rPr>
        <w:fldChar w:fldCharType="end"/>
      </w:r>
      <w:r>
        <w:rPr>
          <w:rFonts w:eastAsia="Times New Roman"/>
          <w:szCs w:val="20"/>
        </w:rPr>
        <w:t>.</w:t>
      </w:r>
    </w:p>
    <w:p w14:paraId="61554853" w14:textId="45FB7A9E" w:rsidR="003138BD" w:rsidRDefault="003138BD" w:rsidP="003138BD">
      <w:pPr>
        <w:rPr>
          <w:rFonts w:eastAsia="Times New Roman"/>
          <w:szCs w:val="20"/>
        </w:rPr>
      </w:pPr>
      <w:r>
        <w:rPr>
          <w:rFonts w:eastAsia="Times New Roman"/>
          <w:szCs w:val="20"/>
        </w:rPr>
        <w:br w:type="page"/>
      </w:r>
    </w:p>
    <w:p w14:paraId="1FC48301" w14:textId="20505C8E" w:rsidR="003138BD" w:rsidRDefault="003138BD" w:rsidP="00835622">
      <w:pPr>
        <w:pStyle w:val="TableTitle"/>
      </w:pPr>
      <w:r>
        <w:lastRenderedPageBreak/>
        <w:t>Extrapolation of Adult EAR</w:t>
      </w:r>
      <w:r>
        <w:rPr>
          <w:noProof/>
        </w:rPr>
        <w:t xml:space="preserve"> to child age groups</w:t>
      </w:r>
    </w:p>
    <w:tbl>
      <w:tblPr>
        <w:tblStyle w:val="DefaultTable1"/>
        <w:tblW w:w="9776" w:type="dxa"/>
        <w:tblInd w:w="0" w:type="dxa"/>
        <w:tblLayout w:type="fixed"/>
        <w:tblLook w:val="0620" w:firstRow="1" w:lastRow="0" w:firstColumn="0" w:lastColumn="0" w:noHBand="1" w:noVBand="1"/>
      </w:tblPr>
      <w:tblGrid>
        <w:gridCol w:w="2263"/>
        <w:gridCol w:w="1276"/>
        <w:gridCol w:w="1276"/>
        <w:gridCol w:w="992"/>
        <w:gridCol w:w="1559"/>
        <w:gridCol w:w="1276"/>
        <w:gridCol w:w="1134"/>
      </w:tblGrid>
      <w:tr w:rsidR="003138BD" w:rsidRPr="00DB2D4E" w14:paraId="3002F2AF" w14:textId="77777777" w:rsidTr="00D74C6D">
        <w:trPr>
          <w:cnfStyle w:val="100000000000" w:firstRow="1" w:lastRow="0" w:firstColumn="0" w:lastColumn="0" w:oddVBand="0" w:evenVBand="0" w:oddHBand="0" w:evenHBand="0" w:firstRowFirstColumn="0" w:firstRowLastColumn="0" w:lastRowFirstColumn="0" w:lastRowLastColumn="0"/>
        </w:trPr>
        <w:tc>
          <w:tcPr>
            <w:tcW w:w="2263" w:type="dxa"/>
          </w:tcPr>
          <w:p w14:paraId="50E27196" w14:textId="77777777" w:rsidR="003138BD" w:rsidRPr="00DB2D4E" w:rsidRDefault="003138BD" w:rsidP="00D74C6D">
            <w:pPr>
              <w:spacing w:before="0" w:after="0"/>
              <w:rPr>
                <w:rFonts w:eastAsia="Times New Roman"/>
                <w:b w:val="0"/>
                <w:bCs w:val="0"/>
                <w:szCs w:val="20"/>
              </w:rPr>
            </w:pPr>
            <w:r w:rsidRPr="00DB2D4E">
              <w:rPr>
                <w:rFonts w:eastAsia="Times New Roman"/>
                <w:szCs w:val="20"/>
              </w:rPr>
              <w:t>Age group</w:t>
            </w:r>
          </w:p>
        </w:tc>
        <w:tc>
          <w:tcPr>
            <w:tcW w:w="1276" w:type="dxa"/>
          </w:tcPr>
          <w:p w14:paraId="1A2C787D" w14:textId="77777777" w:rsidR="003138BD" w:rsidRPr="00DB2D4E" w:rsidRDefault="003138BD" w:rsidP="00D74C6D">
            <w:pPr>
              <w:spacing w:before="0" w:after="0"/>
              <w:jc w:val="center"/>
              <w:rPr>
                <w:rFonts w:eastAsia="Times New Roman"/>
                <w:b w:val="0"/>
                <w:bCs w:val="0"/>
                <w:szCs w:val="20"/>
              </w:rPr>
            </w:pPr>
            <w:r>
              <w:rPr>
                <w:rFonts w:eastAsia="Times New Roman"/>
                <w:szCs w:val="20"/>
              </w:rPr>
              <w:t>Child reference w</w:t>
            </w:r>
            <w:r w:rsidRPr="00DB2D4E">
              <w:rPr>
                <w:rFonts w:eastAsia="Times New Roman"/>
                <w:szCs w:val="20"/>
              </w:rPr>
              <w:t>eight</w:t>
            </w:r>
          </w:p>
          <w:p w14:paraId="37170397" w14:textId="77777777" w:rsidR="003138BD" w:rsidRPr="006421A5" w:rsidRDefault="003138BD" w:rsidP="00D74C6D">
            <w:pPr>
              <w:spacing w:before="0" w:after="0"/>
              <w:jc w:val="center"/>
              <w:rPr>
                <w:rFonts w:eastAsia="Times New Roman"/>
                <w:b w:val="0"/>
                <w:bCs w:val="0"/>
                <w:szCs w:val="20"/>
              </w:rPr>
            </w:pPr>
            <w:r w:rsidRPr="006421A5">
              <w:rPr>
                <w:rFonts w:eastAsia="Times New Roman"/>
                <w:szCs w:val="20"/>
              </w:rPr>
              <w:t>(kg)</w:t>
            </w:r>
          </w:p>
        </w:tc>
        <w:tc>
          <w:tcPr>
            <w:tcW w:w="1276" w:type="dxa"/>
          </w:tcPr>
          <w:p w14:paraId="08F189D5" w14:textId="77777777" w:rsidR="003138BD" w:rsidRDefault="003138BD" w:rsidP="00D74C6D">
            <w:pPr>
              <w:spacing w:before="0" w:after="0"/>
              <w:jc w:val="center"/>
              <w:rPr>
                <w:rFonts w:eastAsia="Times New Roman"/>
                <w:b w:val="0"/>
                <w:bCs w:val="0"/>
                <w:szCs w:val="20"/>
              </w:rPr>
            </w:pPr>
            <w:r>
              <w:rPr>
                <w:rFonts w:eastAsia="Times New Roman"/>
                <w:szCs w:val="20"/>
              </w:rPr>
              <w:t>Adult reference weight</w:t>
            </w:r>
          </w:p>
          <w:p w14:paraId="354158EB" w14:textId="77777777" w:rsidR="003138BD" w:rsidRPr="00DB2D4E" w:rsidRDefault="003138BD" w:rsidP="00D74C6D">
            <w:pPr>
              <w:spacing w:before="0" w:after="0"/>
              <w:jc w:val="center"/>
              <w:rPr>
                <w:rFonts w:eastAsia="Times New Roman"/>
                <w:b w:val="0"/>
                <w:bCs w:val="0"/>
                <w:szCs w:val="20"/>
              </w:rPr>
            </w:pPr>
            <w:r>
              <w:rPr>
                <w:rFonts w:eastAsia="Times New Roman"/>
                <w:szCs w:val="20"/>
              </w:rPr>
              <w:t>(kg)</w:t>
            </w:r>
          </w:p>
        </w:tc>
        <w:tc>
          <w:tcPr>
            <w:tcW w:w="992" w:type="dxa"/>
          </w:tcPr>
          <w:p w14:paraId="26FCED1D" w14:textId="77777777" w:rsidR="003138BD" w:rsidRDefault="003138BD" w:rsidP="00D74C6D">
            <w:pPr>
              <w:spacing w:before="0" w:after="0"/>
              <w:jc w:val="center"/>
              <w:rPr>
                <w:rFonts w:eastAsia="Times New Roman"/>
                <w:b w:val="0"/>
                <w:bCs w:val="0"/>
                <w:szCs w:val="20"/>
              </w:rPr>
            </w:pPr>
            <w:r w:rsidRPr="00DB2D4E">
              <w:rPr>
                <w:rFonts w:eastAsia="Times New Roman"/>
                <w:szCs w:val="20"/>
              </w:rPr>
              <w:t>G</w:t>
            </w:r>
            <w:r>
              <w:rPr>
                <w:rFonts w:eastAsia="Times New Roman"/>
                <w:szCs w:val="20"/>
              </w:rPr>
              <w:t xml:space="preserve">rowth </w:t>
            </w:r>
            <w:r w:rsidRPr="00DB2D4E">
              <w:rPr>
                <w:rFonts w:eastAsia="Times New Roman"/>
                <w:szCs w:val="20"/>
              </w:rPr>
              <w:t>F</w:t>
            </w:r>
            <w:r>
              <w:rPr>
                <w:rFonts w:eastAsia="Times New Roman"/>
                <w:szCs w:val="20"/>
              </w:rPr>
              <w:t xml:space="preserve">actor </w:t>
            </w:r>
          </w:p>
          <w:p w14:paraId="50213EC9" w14:textId="77777777" w:rsidR="003138BD" w:rsidRPr="00DB2D4E" w:rsidRDefault="003138BD" w:rsidP="00D74C6D">
            <w:pPr>
              <w:spacing w:before="0" w:after="0"/>
              <w:jc w:val="center"/>
              <w:rPr>
                <w:rFonts w:eastAsia="Times New Roman"/>
                <w:b w:val="0"/>
                <w:bCs w:val="0"/>
                <w:szCs w:val="20"/>
              </w:rPr>
            </w:pPr>
            <w:r>
              <w:rPr>
                <w:rFonts w:eastAsia="Times New Roman"/>
                <w:szCs w:val="20"/>
              </w:rPr>
              <w:t>(GF)</w:t>
            </w:r>
          </w:p>
        </w:tc>
        <w:tc>
          <w:tcPr>
            <w:tcW w:w="1559" w:type="dxa"/>
          </w:tcPr>
          <w:p w14:paraId="26728947" w14:textId="77777777" w:rsidR="003138BD" w:rsidRPr="006421A5" w:rsidRDefault="003138BD" w:rsidP="00D74C6D">
            <w:pPr>
              <w:spacing w:before="0" w:after="0"/>
              <w:jc w:val="center"/>
              <w:rPr>
                <w:rFonts w:eastAsia="Times New Roman"/>
                <w:b w:val="0"/>
                <w:bCs w:val="0"/>
                <w:szCs w:val="20"/>
              </w:rPr>
            </w:pPr>
            <w:r>
              <w:rPr>
                <w:rFonts w:eastAsia="Times New Roman"/>
                <w:szCs w:val="20"/>
              </w:rPr>
              <w:t xml:space="preserve">Extrapolated </w:t>
            </w:r>
            <w:r w:rsidRPr="006421A5">
              <w:rPr>
                <w:rFonts w:eastAsia="Times New Roman"/>
                <w:szCs w:val="20"/>
              </w:rPr>
              <w:t xml:space="preserve">Child </w:t>
            </w:r>
            <w:r>
              <w:rPr>
                <w:rFonts w:eastAsia="Times New Roman"/>
                <w:szCs w:val="20"/>
              </w:rPr>
              <w:t>EAR</w:t>
            </w:r>
          </w:p>
          <w:p w14:paraId="13091D9F" w14:textId="77777777" w:rsidR="003138BD" w:rsidRPr="006421A5" w:rsidRDefault="003138BD" w:rsidP="00D74C6D">
            <w:pPr>
              <w:spacing w:before="0" w:after="0"/>
              <w:jc w:val="center"/>
              <w:rPr>
                <w:rFonts w:eastAsia="Times New Roman"/>
                <w:b w:val="0"/>
                <w:bCs w:val="0"/>
                <w:szCs w:val="20"/>
              </w:rPr>
            </w:pPr>
            <w:r>
              <w:rPr>
                <w:rFonts w:eastAsia="Times New Roman"/>
                <w:i/>
                <w:iCs/>
                <w:szCs w:val="20"/>
              </w:rPr>
              <w:t xml:space="preserve"> µg/day</w:t>
            </w:r>
          </w:p>
        </w:tc>
        <w:tc>
          <w:tcPr>
            <w:tcW w:w="1276" w:type="dxa"/>
          </w:tcPr>
          <w:p w14:paraId="5FC21269" w14:textId="77777777" w:rsidR="003138BD" w:rsidRDefault="003138BD" w:rsidP="00D74C6D">
            <w:pPr>
              <w:spacing w:before="0" w:after="0"/>
              <w:jc w:val="center"/>
              <w:rPr>
                <w:rFonts w:eastAsia="Times New Roman"/>
                <w:b w:val="0"/>
                <w:bCs w:val="0"/>
                <w:szCs w:val="20"/>
              </w:rPr>
            </w:pPr>
            <w:r w:rsidRPr="006421A5">
              <w:rPr>
                <w:rFonts w:eastAsia="Times New Roman"/>
                <w:szCs w:val="20"/>
              </w:rPr>
              <w:t>Rounding</w:t>
            </w:r>
          </w:p>
          <w:p w14:paraId="33492215" w14:textId="77777777" w:rsidR="003138BD" w:rsidRDefault="003138BD" w:rsidP="00D74C6D">
            <w:pPr>
              <w:spacing w:before="0" w:after="0"/>
              <w:jc w:val="center"/>
              <w:rPr>
                <w:rFonts w:eastAsia="Times New Roman"/>
                <w:b w:val="0"/>
                <w:bCs w:val="0"/>
                <w:szCs w:val="20"/>
              </w:rPr>
            </w:pPr>
          </w:p>
          <w:p w14:paraId="17AD549A" w14:textId="77777777" w:rsidR="003138BD" w:rsidRPr="006421A5" w:rsidRDefault="003138BD" w:rsidP="00D74C6D">
            <w:pPr>
              <w:spacing w:before="0" w:after="0"/>
              <w:jc w:val="center"/>
              <w:rPr>
                <w:rFonts w:eastAsia="Times New Roman"/>
                <w:b w:val="0"/>
                <w:bCs w:val="0"/>
                <w:szCs w:val="20"/>
              </w:rPr>
            </w:pPr>
            <w:r>
              <w:rPr>
                <w:rFonts w:eastAsia="Times New Roman"/>
                <w:i/>
                <w:iCs/>
                <w:szCs w:val="20"/>
              </w:rPr>
              <w:t xml:space="preserve"> µg/day</w:t>
            </w:r>
          </w:p>
        </w:tc>
        <w:tc>
          <w:tcPr>
            <w:tcW w:w="1134" w:type="dxa"/>
          </w:tcPr>
          <w:p w14:paraId="6F934AAB" w14:textId="77777777" w:rsidR="003138BD" w:rsidRDefault="003138BD" w:rsidP="00D74C6D">
            <w:pPr>
              <w:spacing w:before="0" w:after="0"/>
              <w:ind w:left="-106" w:right="-81" w:firstLine="106"/>
              <w:jc w:val="center"/>
              <w:rPr>
                <w:rFonts w:eastAsia="Times New Roman"/>
                <w:b w:val="0"/>
                <w:bCs w:val="0"/>
                <w:szCs w:val="20"/>
              </w:rPr>
            </w:pPr>
            <w:r w:rsidRPr="00DB2D4E">
              <w:rPr>
                <w:rFonts w:eastAsia="Times New Roman"/>
                <w:szCs w:val="20"/>
              </w:rPr>
              <w:t xml:space="preserve">Proposed </w:t>
            </w:r>
            <w:r>
              <w:rPr>
                <w:rFonts w:eastAsia="Times New Roman"/>
                <w:szCs w:val="20"/>
              </w:rPr>
              <w:t xml:space="preserve">EAR </w:t>
            </w:r>
          </w:p>
          <w:p w14:paraId="00A48134" w14:textId="77777777" w:rsidR="003138BD" w:rsidRDefault="003138BD" w:rsidP="00D74C6D">
            <w:pPr>
              <w:spacing w:before="0" w:after="0"/>
              <w:ind w:left="-106" w:right="-81" w:firstLine="106"/>
              <w:jc w:val="center"/>
              <w:rPr>
                <w:rFonts w:eastAsia="Times New Roman"/>
                <w:b w:val="0"/>
                <w:bCs w:val="0"/>
                <w:szCs w:val="20"/>
              </w:rPr>
            </w:pPr>
          </w:p>
          <w:p w14:paraId="41FD5DC4" w14:textId="77777777" w:rsidR="003138BD" w:rsidRPr="00DB2D4E" w:rsidRDefault="003138BD" w:rsidP="00D74C6D">
            <w:pPr>
              <w:spacing w:before="0" w:after="0"/>
              <w:ind w:left="-106" w:right="-81" w:firstLine="106"/>
              <w:jc w:val="center"/>
              <w:rPr>
                <w:rFonts w:eastAsia="Times New Roman"/>
                <w:b w:val="0"/>
                <w:bCs w:val="0"/>
                <w:szCs w:val="20"/>
              </w:rPr>
            </w:pPr>
            <w:r>
              <w:rPr>
                <w:rFonts w:eastAsia="Times New Roman"/>
                <w:i/>
                <w:iCs/>
                <w:szCs w:val="20"/>
              </w:rPr>
              <w:t xml:space="preserve"> µg/day</w:t>
            </w:r>
          </w:p>
        </w:tc>
      </w:tr>
      <w:tr w:rsidR="003138BD" w:rsidRPr="00DB2D4E" w14:paraId="313D4724" w14:textId="77777777" w:rsidTr="00D74C6D">
        <w:tc>
          <w:tcPr>
            <w:tcW w:w="9776" w:type="dxa"/>
            <w:gridSpan w:val="7"/>
            <w:shd w:val="clear" w:color="auto" w:fill="005F85" w:themeFill="accent2"/>
          </w:tcPr>
          <w:p w14:paraId="7C24F7A4" w14:textId="77777777" w:rsidR="003138BD" w:rsidRPr="00DB2D4E" w:rsidRDefault="003138BD" w:rsidP="00D74C6D">
            <w:pPr>
              <w:spacing w:before="0" w:after="0"/>
              <w:ind w:left="-106" w:right="-81" w:firstLine="106"/>
              <w:rPr>
                <w:rFonts w:eastAsia="Times New Roman"/>
                <w:b/>
                <w:bCs/>
                <w:color w:val="FFFFFF" w:themeColor="background1"/>
                <w:szCs w:val="20"/>
              </w:rPr>
            </w:pPr>
            <w:r>
              <w:rPr>
                <w:rFonts w:eastAsia="Times New Roman"/>
                <w:b/>
                <w:bCs/>
                <w:color w:val="FFFFFF" w:themeColor="background1"/>
                <w:szCs w:val="20"/>
              </w:rPr>
              <w:t>NRVs age groupings:</w:t>
            </w:r>
          </w:p>
        </w:tc>
      </w:tr>
      <w:tr w:rsidR="003138BD" w:rsidRPr="00B052DE" w14:paraId="430B79D2" w14:textId="77777777" w:rsidTr="00D74C6D">
        <w:tc>
          <w:tcPr>
            <w:tcW w:w="2263" w:type="dxa"/>
          </w:tcPr>
          <w:p w14:paraId="16DEED99" w14:textId="77777777" w:rsidR="003138BD" w:rsidRPr="00B052DE" w:rsidRDefault="003138BD" w:rsidP="00D74C6D">
            <w:pPr>
              <w:spacing w:before="0" w:after="0"/>
              <w:rPr>
                <w:rFonts w:eastAsia="Times New Roman"/>
                <w:szCs w:val="20"/>
              </w:rPr>
            </w:pPr>
            <w:r>
              <w:rPr>
                <w:rFonts w:eastAsia="Times New Roman"/>
                <w:szCs w:val="20"/>
              </w:rPr>
              <w:t>1 to under 4 years</w:t>
            </w:r>
          </w:p>
        </w:tc>
        <w:tc>
          <w:tcPr>
            <w:tcW w:w="1276" w:type="dxa"/>
          </w:tcPr>
          <w:p w14:paraId="014DBEEF" w14:textId="77777777" w:rsidR="003138BD" w:rsidRPr="00B052DE" w:rsidRDefault="003138BD" w:rsidP="00D74C6D">
            <w:pPr>
              <w:spacing w:before="0" w:after="0"/>
              <w:jc w:val="center"/>
              <w:rPr>
                <w:rFonts w:eastAsia="Times New Roman"/>
                <w:szCs w:val="20"/>
              </w:rPr>
            </w:pPr>
            <w:r>
              <w:rPr>
                <w:rFonts w:eastAsia="Times New Roman"/>
                <w:szCs w:val="20"/>
              </w:rPr>
              <w:t>13.0</w:t>
            </w:r>
          </w:p>
        </w:tc>
        <w:tc>
          <w:tcPr>
            <w:tcW w:w="1276" w:type="dxa"/>
          </w:tcPr>
          <w:p w14:paraId="1EA27AB8" w14:textId="77777777" w:rsidR="003138BD" w:rsidRPr="00B052DE" w:rsidRDefault="003138BD" w:rsidP="00D74C6D">
            <w:pPr>
              <w:spacing w:before="0" w:after="0"/>
              <w:jc w:val="center"/>
              <w:rPr>
                <w:rFonts w:eastAsia="Times New Roman"/>
                <w:szCs w:val="20"/>
              </w:rPr>
            </w:pPr>
            <w:r>
              <w:rPr>
                <w:rFonts w:eastAsia="Times New Roman"/>
                <w:szCs w:val="20"/>
              </w:rPr>
              <w:t>62.9</w:t>
            </w:r>
          </w:p>
        </w:tc>
        <w:tc>
          <w:tcPr>
            <w:tcW w:w="992" w:type="dxa"/>
          </w:tcPr>
          <w:p w14:paraId="5A4A988B" w14:textId="77777777" w:rsidR="003138BD" w:rsidRPr="00B052DE" w:rsidRDefault="003138BD" w:rsidP="00D74C6D">
            <w:pPr>
              <w:spacing w:before="0" w:after="0"/>
              <w:jc w:val="center"/>
              <w:rPr>
                <w:rFonts w:eastAsia="Times New Roman"/>
                <w:szCs w:val="20"/>
              </w:rPr>
            </w:pPr>
            <w:r w:rsidRPr="00B052DE">
              <w:rPr>
                <w:rFonts w:eastAsia="Times New Roman"/>
                <w:szCs w:val="20"/>
              </w:rPr>
              <w:t>0.</w:t>
            </w:r>
            <w:r>
              <w:rPr>
                <w:rFonts w:eastAsia="Times New Roman"/>
                <w:szCs w:val="20"/>
              </w:rPr>
              <w:t>25</w:t>
            </w:r>
          </w:p>
        </w:tc>
        <w:tc>
          <w:tcPr>
            <w:tcW w:w="1559" w:type="dxa"/>
          </w:tcPr>
          <w:p w14:paraId="7ACAFE92" w14:textId="77777777" w:rsidR="003138BD" w:rsidRPr="00B052DE" w:rsidRDefault="003138BD" w:rsidP="00D74C6D">
            <w:pPr>
              <w:spacing w:before="0" w:after="0"/>
              <w:jc w:val="center"/>
              <w:rPr>
                <w:rFonts w:eastAsia="Times New Roman"/>
                <w:szCs w:val="20"/>
              </w:rPr>
            </w:pPr>
            <w:r>
              <w:rPr>
                <w:rFonts w:eastAsia="Times New Roman"/>
                <w:szCs w:val="20"/>
              </w:rPr>
              <w:t>38.3</w:t>
            </w:r>
          </w:p>
        </w:tc>
        <w:tc>
          <w:tcPr>
            <w:tcW w:w="1276" w:type="dxa"/>
          </w:tcPr>
          <w:p w14:paraId="5895291D" w14:textId="77777777" w:rsidR="003138BD" w:rsidRPr="00B052DE" w:rsidRDefault="003138BD" w:rsidP="00D74C6D">
            <w:pPr>
              <w:spacing w:before="0" w:after="0"/>
              <w:jc w:val="center"/>
              <w:rPr>
                <w:rFonts w:eastAsia="Times New Roman"/>
                <w:szCs w:val="20"/>
              </w:rPr>
            </w:pPr>
            <w:r>
              <w:rPr>
                <w:rFonts w:eastAsia="Times New Roman"/>
                <w:szCs w:val="20"/>
              </w:rPr>
              <w:t>26.7</w:t>
            </w:r>
          </w:p>
        </w:tc>
        <w:tc>
          <w:tcPr>
            <w:tcW w:w="1134" w:type="dxa"/>
          </w:tcPr>
          <w:p w14:paraId="6D5723F6" w14:textId="77777777" w:rsidR="003138BD" w:rsidRPr="00083624" w:rsidRDefault="003138BD" w:rsidP="00D74C6D">
            <w:pPr>
              <w:spacing w:before="0" w:after="0"/>
              <w:jc w:val="center"/>
              <w:rPr>
                <w:rFonts w:eastAsia="Times New Roman"/>
                <w:b/>
                <w:bCs/>
                <w:szCs w:val="20"/>
              </w:rPr>
            </w:pPr>
            <w:r>
              <w:rPr>
                <w:rFonts w:eastAsia="Times New Roman"/>
                <w:b/>
                <w:bCs/>
                <w:szCs w:val="20"/>
              </w:rPr>
              <w:t>65</w:t>
            </w:r>
          </w:p>
        </w:tc>
      </w:tr>
      <w:tr w:rsidR="003138BD" w:rsidRPr="00B052DE" w14:paraId="55A41FA2" w14:textId="77777777" w:rsidTr="00D74C6D">
        <w:tc>
          <w:tcPr>
            <w:tcW w:w="2263" w:type="dxa"/>
          </w:tcPr>
          <w:p w14:paraId="2A4D4508" w14:textId="77777777" w:rsidR="003138BD" w:rsidRPr="00B052DE" w:rsidRDefault="003138BD" w:rsidP="00D74C6D">
            <w:pPr>
              <w:spacing w:before="0" w:after="0"/>
              <w:rPr>
                <w:rFonts w:eastAsia="Times New Roman"/>
                <w:szCs w:val="20"/>
              </w:rPr>
            </w:pPr>
            <w:r>
              <w:rPr>
                <w:rFonts w:eastAsia="Times New Roman"/>
                <w:szCs w:val="20"/>
              </w:rPr>
              <w:t>4</w:t>
            </w:r>
            <w:r w:rsidRPr="009119C7">
              <w:rPr>
                <w:rFonts w:eastAsia="Times New Roman"/>
                <w:szCs w:val="20"/>
              </w:rPr>
              <w:t xml:space="preserve"> to under </w:t>
            </w:r>
            <w:r>
              <w:rPr>
                <w:rFonts w:eastAsia="Times New Roman"/>
                <w:szCs w:val="20"/>
              </w:rPr>
              <w:t>9</w:t>
            </w:r>
            <w:r w:rsidRPr="009119C7">
              <w:rPr>
                <w:rFonts w:eastAsia="Times New Roman"/>
                <w:szCs w:val="20"/>
              </w:rPr>
              <w:t xml:space="preserve"> years</w:t>
            </w:r>
          </w:p>
        </w:tc>
        <w:tc>
          <w:tcPr>
            <w:tcW w:w="1276" w:type="dxa"/>
          </w:tcPr>
          <w:p w14:paraId="715E1247" w14:textId="77777777" w:rsidR="003138BD" w:rsidRPr="00B052DE" w:rsidRDefault="003138BD" w:rsidP="00D74C6D">
            <w:pPr>
              <w:spacing w:before="0" w:after="0"/>
              <w:jc w:val="center"/>
              <w:rPr>
                <w:rFonts w:eastAsia="Times New Roman"/>
                <w:szCs w:val="20"/>
              </w:rPr>
            </w:pPr>
            <w:r>
              <w:rPr>
                <w:rFonts w:eastAsia="Times New Roman"/>
                <w:szCs w:val="20"/>
              </w:rPr>
              <w:t>22.4</w:t>
            </w:r>
          </w:p>
        </w:tc>
        <w:tc>
          <w:tcPr>
            <w:tcW w:w="1276" w:type="dxa"/>
          </w:tcPr>
          <w:p w14:paraId="40F02DD8" w14:textId="77777777" w:rsidR="003138BD" w:rsidRPr="00B052DE" w:rsidRDefault="003138BD" w:rsidP="00D74C6D">
            <w:pPr>
              <w:spacing w:before="0" w:after="0"/>
              <w:jc w:val="center"/>
              <w:rPr>
                <w:rFonts w:eastAsia="Times New Roman"/>
                <w:szCs w:val="20"/>
              </w:rPr>
            </w:pPr>
            <w:r>
              <w:rPr>
                <w:rFonts w:eastAsia="Times New Roman"/>
                <w:szCs w:val="20"/>
              </w:rPr>
              <w:t>62.9</w:t>
            </w:r>
          </w:p>
        </w:tc>
        <w:tc>
          <w:tcPr>
            <w:tcW w:w="992" w:type="dxa"/>
          </w:tcPr>
          <w:p w14:paraId="591BA1A4" w14:textId="77777777" w:rsidR="003138BD" w:rsidRPr="00B052DE" w:rsidRDefault="003138BD" w:rsidP="00D74C6D">
            <w:pPr>
              <w:spacing w:before="0" w:after="0"/>
              <w:jc w:val="center"/>
              <w:rPr>
                <w:rFonts w:eastAsia="Times New Roman"/>
                <w:szCs w:val="20"/>
              </w:rPr>
            </w:pPr>
            <w:r w:rsidRPr="00B052DE">
              <w:rPr>
                <w:rFonts w:eastAsia="Times New Roman"/>
                <w:szCs w:val="20"/>
              </w:rPr>
              <w:t>0.</w:t>
            </w:r>
            <w:r>
              <w:rPr>
                <w:rFonts w:eastAsia="Times New Roman"/>
                <w:szCs w:val="20"/>
              </w:rPr>
              <w:t>09</w:t>
            </w:r>
          </w:p>
        </w:tc>
        <w:tc>
          <w:tcPr>
            <w:tcW w:w="1559" w:type="dxa"/>
          </w:tcPr>
          <w:p w14:paraId="1414F92E" w14:textId="77777777" w:rsidR="003138BD" w:rsidRPr="00B052DE" w:rsidRDefault="003138BD" w:rsidP="00D74C6D">
            <w:pPr>
              <w:spacing w:before="0" w:after="0"/>
              <w:jc w:val="center"/>
              <w:rPr>
                <w:rFonts w:eastAsia="Times New Roman"/>
                <w:szCs w:val="20"/>
              </w:rPr>
            </w:pPr>
            <w:r>
              <w:rPr>
                <w:rFonts w:eastAsia="Times New Roman"/>
                <w:szCs w:val="20"/>
              </w:rPr>
              <w:t>50.2</w:t>
            </w:r>
          </w:p>
        </w:tc>
        <w:tc>
          <w:tcPr>
            <w:tcW w:w="1276" w:type="dxa"/>
          </w:tcPr>
          <w:p w14:paraId="03A82312" w14:textId="77777777" w:rsidR="003138BD" w:rsidRPr="00B052DE" w:rsidRDefault="003138BD" w:rsidP="00D74C6D">
            <w:pPr>
              <w:spacing w:before="0" w:after="0"/>
              <w:jc w:val="center"/>
              <w:rPr>
                <w:rFonts w:eastAsia="Times New Roman"/>
                <w:szCs w:val="20"/>
              </w:rPr>
            </w:pPr>
            <w:r>
              <w:rPr>
                <w:rFonts w:eastAsia="Times New Roman"/>
                <w:szCs w:val="20"/>
              </w:rPr>
              <w:t>14.8</w:t>
            </w:r>
          </w:p>
        </w:tc>
        <w:tc>
          <w:tcPr>
            <w:tcW w:w="1134" w:type="dxa"/>
          </w:tcPr>
          <w:p w14:paraId="64561658" w14:textId="77777777" w:rsidR="003138BD" w:rsidRPr="00083624" w:rsidRDefault="003138BD" w:rsidP="00D74C6D">
            <w:pPr>
              <w:spacing w:before="0" w:after="0"/>
              <w:jc w:val="center"/>
              <w:rPr>
                <w:rFonts w:eastAsia="Times New Roman"/>
                <w:b/>
                <w:bCs/>
                <w:szCs w:val="20"/>
              </w:rPr>
            </w:pPr>
            <w:r>
              <w:rPr>
                <w:rFonts w:eastAsia="Times New Roman"/>
                <w:b/>
                <w:bCs/>
                <w:szCs w:val="20"/>
              </w:rPr>
              <w:t>65</w:t>
            </w:r>
          </w:p>
        </w:tc>
      </w:tr>
      <w:tr w:rsidR="003138BD" w:rsidRPr="00B052DE" w14:paraId="3C26C951" w14:textId="77777777" w:rsidTr="00D74C6D">
        <w:tc>
          <w:tcPr>
            <w:tcW w:w="2263" w:type="dxa"/>
          </w:tcPr>
          <w:p w14:paraId="145E78C0" w14:textId="77777777" w:rsidR="003138BD" w:rsidRPr="00B052DE" w:rsidRDefault="003138BD" w:rsidP="00D74C6D">
            <w:pPr>
              <w:spacing w:before="0" w:after="0"/>
              <w:rPr>
                <w:rFonts w:eastAsia="Times New Roman"/>
                <w:szCs w:val="20"/>
              </w:rPr>
            </w:pPr>
            <w:r>
              <w:rPr>
                <w:rFonts w:eastAsia="Times New Roman"/>
                <w:szCs w:val="20"/>
              </w:rPr>
              <w:t>9</w:t>
            </w:r>
            <w:r w:rsidRPr="009119C7">
              <w:rPr>
                <w:rFonts w:eastAsia="Times New Roman"/>
                <w:szCs w:val="20"/>
              </w:rPr>
              <w:t xml:space="preserve"> to under 1</w:t>
            </w:r>
            <w:r>
              <w:rPr>
                <w:rFonts w:eastAsia="Times New Roman"/>
                <w:szCs w:val="20"/>
              </w:rPr>
              <w:t>4</w:t>
            </w:r>
            <w:r w:rsidRPr="009119C7">
              <w:rPr>
                <w:rFonts w:eastAsia="Times New Roman"/>
                <w:szCs w:val="20"/>
              </w:rPr>
              <w:t xml:space="preserve"> years</w:t>
            </w:r>
          </w:p>
        </w:tc>
        <w:tc>
          <w:tcPr>
            <w:tcW w:w="1276" w:type="dxa"/>
          </w:tcPr>
          <w:p w14:paraId="074B0AA3" w14:textId="77777777" w:rsidR="003138BD" w:rsidRPr="00B052DE" w:rsidRDefault="003138BD" w:rsidP="00D74C6D">
            <w:pPr>
              <w:spacing w:before="0" w:after="0"/>
              <w:jc w:val="center"/>
              <w:rPr>
                <w:rFonts w:eastAsia="Times New Roman"/>
                <w:szCs w:val="20"/>
              </w:rPr>
            </w:pPr>
            <w:r>
              <w:rPr>
                <w:rFonts w:eastAsia="Times New Roman"/>
                <w:szCs w:val="20"/>
              </w:rPr>
              <w:t>40.7</w:t>
            </w:r>
          </w:p>
        </w:tc>
        <w:tc>
          <w:tcPr>
            <w:tcW w:w="1276" w:type="dxa"/>
          </w:tcPr>
          <w:p w14:paraId="64E3BB1F" w14:textId="77777777" w:rsidR="003138BD" w:rsidRPr="00B052DE" w:rsidRDefault="003138BD" w:rsidP="00D74C6D">
            <w:pPr>
              <w:spacing w:before="0" w:after="0"/>
              <w:jc w:val="center"/>
              <w:rPr>
                <w:rFonts w:eastAsia="Times New Roman"/>
                <w:szCs w:val="20"/>
              </w:rPr>
            </w:pPr>
            <w:r>
              <w:rPr>
                <w:rFonts w:eastAsia="Times New Roman"/>
                <w:szCs w:val="20"/>
              </w:rPr>
              <w:t>62.9</w:t>
            </w:r>
          </w:p>
        </w:tc>
        <w:tc>
          <w:tcPr>
            <w:tcW w:w="992" w:type="dxa"/>
          </w:tcPr>
          <w:p w14:paraId="0F8E7F0A" w14:textId="77777777" w:rsidR="003138BD" w:rsidRPr="00B052DE" w:rsidRDefault="003138BD" w:rsidP="00D74C6D">
            <w:pPr>
              <w:spacing w:before="0" w:after="0"/>
              <w:jc w:val="center"/>
              <w:rPr>
                <w:rFonts w:eastAsia="Times New Roman"/>
                <w:szCs w:val="20"/>
              </w:rPr>
            </w:pPr>
            <w:r w:rsidRPr="00B052DE">
              <w:rPr>
                <w:rFonts w:eastAsia="Times New Roman"/>
                <w:szCs w:val="20"/>
              </w:rPr>
              <w:t>0.</w:t>
            </w:r>
            <w:r>
              <w:rPr>
                <w:rFonts w:eastAsia="Times New Roman"/>
                <w:szCs w:val="20"/>
              </w:rPr>
              <w:t>13</w:t>
            </w:r>
          </w:p>
        </w:tc>
        <w:tc>
          <w:tcPr>
            <w:tcW w:w="1559" w:type="dxa"/>
          </w:tcPr>
          <w:p w14:paraId="68AC4FE3" w14:textId="77777777" w:rsidR="003138BD" w:rsidRPr="00B052DE" w:rsidRDefault="003138BD" w:rsidP="00D74C6D">
            <w:pPr>
              <w:spacing w:before="0" w:after="0"/>
              <w:jc w:val="center"/>
              <w:rPr>
                <w:rFonts w:eastAsia="Times New Roman"/>
                <w:szCs w:val="20"/>
              </w:rPr>
            </w:pPr>
            <w:r>
              <w:rPr>
                <w:rFonts w:eastAsia="Times New Roman"/>
                <w:szCs w:val="20"/>
              </w:rPr>
              <w:t>81.5</w:t>
            </w:r>
          </w:p>
        </w:tc>
        <w:tc>
          <w:tcPr>
            <w:tcW w:w="1276" w:type="dxa"/>
          </w:tcPr>
          <w:p w14:paraId="3581AC94" w14:textId="77777777" w:rsidR="003138BD" w:rsidRPr="00B052DE" w:rsidRDefault="003138BD" w:rsidP="00D74C6D">
            <w:pPr>
              <w:spacing w:before="0" w:after="0"/>
              <w:jc w:val="center"/>
              <w:rPr>
                <w:rFonts w:eastAsia="Times New Roman"/>
                <w:szCs w:val="20"/>
              </w:rPr>
            </w:pPr>
            <w:r>
              <w:rPr>
                <w:rFonts w:eastAsia="Times New Roman"/>
                <w:szCs w:val="20"/>
              </w:rPr>
              <w:t>-6.5</w:t>
            </w:r>
          </w:p>
        </w:tc>
        <w:tc>
          <w:tcPr>
            <w:tcW w:w="1134" w:type="dxa"/>
          </w:tcPr>
          <w:p w14:paraId="4AC67FEF" w14:textId="77777777" w:rsidR="003138BD" w:rsidRPr="00083624" w:rsidRDefault="003138BD" w:rsidP="00D74C6D">
            <w:pPr>
              <w:spacing w:before="0" w:after="0"/>
              <w:jc w:val="center"/>
              <w:rPr>
                <w:rFonts w:eastAsia="Times New Roman"/>
                <w:b/>
                <w:bCs/>
                <w:szCs w:val="20"/>
              </w:rPr>
            </w:pPr>
            <w:r>
              <w:rPr>
                <w:rFonts w:eastAsia="Times New Roman"/>
                <w:b/>
                <w:bCs/>
                <w:szCs w:val="20"/>
              </w:rPr>
              <w:t>75</w:t>
            </w:r>
          </w:p>
        </w:tc>
      </w:tr>
      <w:tr w:rsidR="003138BD" w:rsidRPr="00B052DE" w14:paraId="1E492ACE" w14:textId="77777777" w:rsidTr="00D74C6D">
        <w:tc>
          <w:tcPr>
            <w:tcW w:w="2263" w:type="dxa"/>
          </w:tcPr>
          <w:p w14:paraId="37060BEE" w14:textId="77777777" w:rsidR="003138BD" w:rsidRPr="00B052DE" w:rsidRDefault="003138BD" w:rsidP="00D74C6D">
            <w:pPr>
              <w:spacing w:before="0" w:after="0"/>
              <w:rPr>
                <w:rFonts w:eastAsia="Times New Roman"/>
                <w:szCs w:val="20"/>
              </w:rPr>
            </w:pPr>
            <w:r w:rsidRPr="009119C7">
              <w:rPr>
                <w:rFonts w:eastAsia="Times New Roman"/>
                <w:szCs w:val="20"/>
              </w:rPr>
              <w:t>1</w:t>
            </w:r>
            <w:r>
              <w:rPr>
                <w:rFonts w:eastAsia="Times New Roman"/>
                <w:szCs w:val="20"/>
              </w:rPr>
              <w:t>4</w:t>
            </w:r>
            <w:r w:rsidRPr="009119C7">
              <w:rPr>
                <w:rFonts w:eastAsia="Times New Roman"/>
                <w:szCs w:val="20"/>
              </w:rPr>
              <w:t xml:space="preserve"> to under 18 years</w:t>
            </w:r>
          </w:p>
        </w:tc>
        <w:tc>
          <w:tcPr>
            <w:tcW w:w="1276" w:type="dxa"/>
          </w:tcPr>
          <w:p w14:paraId="7E048BB0" w14:textId="77777777" w:rsidR="003138BD" w:rsidRPr="00B052DE" w:rsidRDefault="003138BD" w:rsidP="00D74C6D">
            <w:pPr>
              <w:spacing w:before="0" w:after="0"/>
              <w:jc w:val="center"/>
              <w:rPr>
                <w:rFonts w:eastAsia="Times New Roman"/>
                <w:szCs w:val="20"/>
              </w:rPr>
            </w:pPr>
            <w:r>
              <w:rPr>
                <w:rFonts w:eastAsia="Times New Roman"/>
                <w:szCs w:val="20"/>
              </w:rPr>
              <w:t>57.6</w:t>
            </w:r>
          </w:p>
        </w:tc>
        <w:tc>
          <w:tcPr>
            <w:tcW w:w="1276" w:type="dxa"/>
          </w:tcPr>
          <w:p w14:paraId="0F6FE42A" w14:textId="77777777" w:rsidR="003138BD" w:rsidRPr="00B052DE" w:rsidRDefault="003138BD" w:rsidP="00D74C6D">
            <w:pPr>
              <w:spacing w:before="0" w:after="0"/>
              <w:jc w:val="center"/>
              <w:rPr>
                <w:rFonts w:eastAsia="Times New Roman"/>
                <w:szCs w:val="20"/>
              </w:rPr>
            </w:pPr>
            <w:r>
              <w:rPr>
                <w:rFonts w:eastAsia="Times New Roman"/>
                <w:szCs w:val="20"/>
              </w:rPr>
              <w:t>62.9</w:t>
            </w:r>
          </w:p>
        </w:tc>
        <w:tc>
          <w:tcPr>
            <w:tcW w:w="992" w:type="dxa"/>
          </w:tcPr>
          <w:p w14:paraId="5290D13C" w14:textId="77777777" w:rsidR="003138BD" w:rsidRPr="00B052DE" w:rsidRDefault="003138BD" w:rsidP="00D74C6D">
            <w:pPr>
              <w:spacing w:before="0" w:after="0"/>
              <w:jc w:val="center"/>
              <w:rPr>
                <w:rFonts w:eastAsia="Times New Roman"/>
                <w:szCs w:val="20"/>
              </w:rPr>
            </w:pPr>
            <w:r w:rsidRPr="00B052DE">
              <w:rPr>
                <w:rFonts w:eastAsia="Times New Roman"/>
                <w:szCs w:val="20"/>
              </w:rPr>
              <w:t>0.0</w:t>
            </w:r>
            <w:r>
              <w:rPr>
                <w:rFonts w:eastAsia="Times New Roman"/>
                <w:szCs w:val="20"/>
              </w:rPr>
              <w:t>8</w:t>
            </w:r>
          </w:p>
        </w:tc>
        <w:tc>
          <w:tcPr>
            <w:tcW w:w="1559" w:type="dxa"/>
          </w:tcPr>
          <w:p w14:paraId="18B7CA8F" w14:textId="77777777" w:rsidR="003138BD" w:rsidRPr="00B052DE" w:rsidRDefault="003138BD" w:rsidP="00D74C6D">
            <w:pPr>
              <w:spacing w:before="0" w:after="0"/>
              <w:jc w:val="center"/>
              <w:rPr>
                <w:rFonts w:eastAsia="Times New Roman"/>
                <w:szCs w:val="20"/>
              </w:rPr>
            </w:pPr>
            <w:r>
              <w:rPr>
                <w:rFonts w:eastAsia="Times New Roman"/>
                <w:szCs w:val="20"/>
              </w:rPr>
              <w:t>101.1</w:t>
            </w:r>
          </w:p>
        </w:tc>
        <w:tc>
          <w:tcPr>
            <w:tcW w:w="1276" w:type="dxa"/>
          </w:tcPr>
          <w:p w14:paraId="5DE288AB" w14:textId="77777777" w:rsidR="003138BD" w:rsidRPr="00B052DE" w:rsidRDefault="003138BD" w:rsidP="00D74C6D">
            <w:pPr>
              <w:spacing w:before="0" w:after="0"/>
              <w:jc w:val="center"/>
              <w:rPr>
                <w:rFonts w:eastAsia="Times New Roman"/>
                <w:szCs w:val="20"/>
              </w:rPr>
            </w:pPr>
            <w:r>
              <w:rPr>
                <w:rFonts w:eastAsia="Times New Roman"/>
                <w:szCs w:val="20"/>
              </w:rPr>
              <w:t>-6.1</w:t>
            </w:r>
          </w:p>
        </w:tc>
        <w:tc>
          <w:tcPr>
            <w:tcW w:w="1134" w:type="dxa"/>
          </w:tcPr>
          <w:p w14:paraId="56A1F537" w14:textId="77777777" w:rsidR="003138BD" w:rsidRPr="00083624" w:rsidRDefault="003138BD" w:rsidP="00D74C6D">
            <w:pPr>
              <w:spacing w:before="0" w:after="0"/>
              <w:jc w:val="center"/>
              <w:rPr>
                <w:rFonts w:eastAsia="Times New Roman"/>
                <w:b/>
                <w:bCs/>
                <w:szCs w:val="20"/>
              </w:rPr>
            </w:pPr>
            <w:r>
              <w:rPr>
                <w:rFonts w:eastAsia="Times New Roman"/>
                <w:b/>
                <w:bCs/>
                <w:szCs w:val="20"/>
              </w:rPr>
              <w:t>95</w:t>
            </w:r>
          </w:p>
        </w:tc>
      </w:tr>
      <w:tr w:rsidR="003138BD" w:rsidRPr="00DB2D4E" w14:paraId="153D5985" w14:textId="77777777" w:rsidTr="00D74C6D">
        <w:tc>
          <w:tcPr>
            <w:tcW w:w="9776" w:type="dxa"/>
            <w:gridSpan w:val="7"/>
            <w:shd w:val="clear" w:color="auto" w:fill="005F85" w:themeFill="accent2"/>
          </w:tcPr>
          <w:p w14:paraId="77FBE2EB" w14:textId="77777777" w:rsidR="003138BD" w:rsidRPr="00DB2D4E" w:rsidRDefault="003138BD" w:rsidP="00D74C6D">
            <w:pPr>
              <w:spacing w:before="0" w:after="0"/>
              <w:ind w:left="-106" w:right="-81" w:firstLine="106"/>
              <w:rPr>
                <w:rFonts w:eastAsia="Times New Roman"/>
                <w:b/>
                <w:bCs/>
                <w:color w:val="FFFFFF" w:themeColor="background1"/>
                <w:szCs w:val="20"/>
              </w:rPr>
            </w:pPr>
            <w:r>
              <w:rPr>
                <w:rFonts w:eastAsia="Times New Roman"/>
                <w:b/>
                <w:bCs/>
                <w:color w:val="FFFFFF" w:themeColor="background1"/>
                <w:szCs w:val="20"/>
              </w:rPr>
              <w:t>Alternative age groupings by school-age:</w:t>
            </w:r>
          </w:p>
        </w:tc>
      </w:tr>
      <w:tr w:rsidR="003138BD" w:rsidRPr="00B052DE" w14:paraId="1110ED5F" w14:textId="77777777" w:rsidTr="00D74C6D">
        <w:tc>
          <w:tcPr>
            <w:tcW w:w="2263" w:type="dxa"/>
          </w:tcPr>
          <w:p w14:paraId="6D9FF870" w14:textId="77777777" w:rsidR="003138BD" w:rsidRPr="009119C7" w:rsidRDefault="003138BD" w:rsidP="00D74C6D">
            <w:pPr>
              <w:spacing w:before="0" w:after="0"/>
              <w:rPr>
                <w:rFonts w:eastAsia="Times New Roman"/>
                <w:szCs w:val="20"/>
              </w:rPr>
            </w:pPr>
            <w:r w:rsidRPr="009119C7">
              <w:rPr>
                <w:rFonts w:eastAsia="Times New Roman"/>
                <w:szCs w:val="20"/>
              </w:rPr>
              <w:t>1</w:t>
            </w:r>
            <w:r>
              <w:rPr>
                <w:rFonts w:eastAsia="Times New Roman"/>
                <w:szCs w:val="20"/>
              </w:rPr>
              <w:t>2</w:t>
            </w:r>
            <w:r w:rsidRPr="009119C7">
              <w:rPr>
                <w:rFonts w:eastAsia="Times New Roman"/>
                <w:szCs w:val="20"/>
              </w:rPr>
              <w:t xml:space="preserve"> to under 24 months</w:t>
            </w:r>
          </w:p>
        </w:tc>
        <w:tc>
          <w:tcPr>
            <w:tcW w:w="1276" w:type="dxa"/>
          </w:tcPr>
          <w:p w14:paraId="2D0AD893" w14:textId="77777777" w:rsidR="003138BD" w:rsidRPr="00B052DE" w:rsidRDefault="003138BD" w:rsidP="00D74C6D">
            <w:pPr>
              <w:spacing w:before="0" w:after="0"/>
              <w:jc w:val="center"/>
              <w:rPr>
                <w:rFonts w:eastAsia="Times New Roman"/>
                <w:szCs w:val="20"/>
              </w:rPr>
            </w:pPr>
            <w:r w:rsidRPr="00B052DE">
              <w:rPr>
                <w:rFonts w:eastAsia="Times New Roman"/>
                <w:szCs w:val="20"/>
              </w:rPr>
              <w:t>10.</w:t>
            </w:r>
            <w:r>
              <w:rPr>
                <w:rFonts w:eastAsia="Times New Roman"/>
                <w:szCs w:val="20"/>
              </w:rPr>
              <w:t>6</w:t>
            </w:r>
          </w:p>
        </w:tc>
        <w:tc>
          <w:tcPr>
            <w:tcW w:w="1276" w:type="dxa"/>
          </w:tcPr>
          <w:p w14:paraId="14234ADC" w14:textId="77777777" w:rsidR="003138BD" w:rsidRDefault="003138BD" w:rsidP="00D74C6D">
            <w:pPr>
              <w:spacing w:before="0" w:after="0"/>
              <w:jc w:val="center"/>
              <w:rPr>
                <w:rFonts w:eastAsia="Times New Roman"/>
                <w:szCs w:val="20"/>
              </w:rPr>
            </w:pPr>
            <w:r>
              <w:rPr>
                <w:rFonts w:eastAsia="Times New Roman"/>
                <w:szCs w:val="20"/>
              </w:rPr>
              <w:t>62.9</w:t>
            </w:r>
          </w:p>
        </w:tc>
        <w:tc>
          <w:tcPr>
            <w:tcW w:w="992" w:type="dxa"/>
          </w:tcPr>
          <w:p w14:paraId="28FB8A07" w14:textId="77777777" w:rsidR="003138BD" w:rsidRPr="00B052DE" w:rsidRDefault="003138BD" w:rsidP="00D74C6D">
            <w:pPr>
              <w:spacing w:before="0" w:after="0"/>
              <w:jc w:val="center"/>
              <w:rPr>
                <w:rFonts w:eastAsia="Times New Roman"/>
                <w:szCs w:val="20"/>
              </w:rPr>
            </w:pPr>
            <w:r w:rsidRPr="00B052DE">
              <w:rPr>
                <w:rFonts w:eastAsia="Times New Roman"/>
                <w:szCs w:val="20"/>
              </w:rPr>
              <w:t>0.44</w:t>
            </w:r>
          </w:p>
        </w:tc>
        <w:tc>
          <w:tcPr>
            <w:tcW w:w="1559" w:type="dxa"/>
          </w:tcPr>
          <w:p w14:paraId="54EAF98C" w14:textId="77777777" w:rsidR="003138BD" w:rsidRDefault="003138BD" w:rsidP="00D74C6D">
            <w:pPr>
              <w:spacing w:before="0" w:after="0"/>
              <w:jc w:val="center"/>
              <w:rPr>
                <w:rFonts w:eastAsia="Times New Roman"/>
                <w:szCs w:val="20"/>
              </w:rPr>
            </w:pPr>
            <w:r>
              <w:rPr>
                <w:rFonts w:eastAsia="Times New Roman"/>
                <w:szCs w:val="20"/>
              </w:rPr>
              <w:t>37.9</w:t>
            </w:r>
          </w:p>
        </w:tc>
        <w:tc>
          <w:tcPr>
            <w:tcW w:w="1276" w:type="dxa"/>
          </w:tcPr>
          <w:p w14:paraId="557442E1" w14:textId="77777777" w:rsidR="003138BD" w:rsidRDefault="003138BD" w:rsidP="00D74C6D">
            <w:pPr>
              <w:spacing w:before="0" w:after="0"/>
              <w:jc w:val="center"/>
              <w:rPr>
                <w:rFonts w:eastAsia="Times New Roman"/>
                <w:szCs w:val="20"/>
              </w:rPr>
            </w:pPr>
            <w:r>
              <w:rPr>
                <w:rFonts w:eastAsia="Times New Roman"/>
                <w:szCs w:val="20"/>
              </w:rPr>
              <w:t>27.1</w:t>
            </w:r>
          </w:p>
        </w:tc>
        <w:tc>
          <w:tcPr>
            <w:tcW w:w="1134" w:type="dxa"/>
          </w:tcPr>
          <w:p w14:paraId="68369577" w14:textId="77777777" w:rsidR="003138BD" w:rsidRDefault="003138BD" w:rsidP="00D74C6D">
            <w:pPr>
              <w:spacing w:before="0" w:after="0"/>
              <w:jc w:val="center"/>
              <w:rPr>
                <w:rFonts w:eastAsia="Times New Roman"/>
                <w:b/>
                <w:bCs/>
                <w:szCs w:val="20"/>
              </w:rPr>
            </w:pPr>
            <w:r>
              <w:rPr>
                <w:rFonts w:eastAsia="Times New Roman"/>
                <w:b/>
                <w:bCs/>
                <w:szCs w:val="20"/>
              </w:rPr>
              <w:t>65</w:t>
            </w:r>
          </w:p>
        </w:tc>
      </w:tr>
      <w:tr w:rsidR="003138BD" w:rsidRPr="00B052DE" w14:paraId="1351CAC6" w14:textId="77777777" w:rsidTr="00D74C6D">
        <w:tc>
          <w:tcPr>
            <w:tcW w:w="2263" w:type="dxa"/>
          </w:tcPr>
          <w:p w14:paraId="516F01A5" w14:textId="77777777" w:rsidR="003138BD" w:rsidRPr="009119C7" w:rsidRDefault="003138BD" w:rsidP="00D74C6D">
            <w:pPr>
              <w:spacing w:before="0" w:after="0"/>
              <w:rPr>
                <w:rFonts w:eastAsia="Times New Roman"/>
                <w:szCs w:val="20"/>
              </w:rPr>
            </w:pPr>
            <w:r w:rsidRPr="009119C7">
              <w:rPr>
                <w:rFonts w:eastAsia="Times New Roman"/>
                <w:szCs w:val="20"/>
              </w:rPr>
              <w:t>2 to under 5 years</w:t>
            </w:r>
          </w:p>
        </w:tc>
        <w:tc>
          <w:tcPr>
            <w:tcW w:w="1276" w:type="dxa"/>
          </w:tcPr>
          <w:p w14:paraId="2A9EF042" w14:textId="77777777" w:rsidR="003138BD" w:rsidRPr="00B052DE" w:rsidRDefault="003138BD" w:rsidP="00D74C6D">
            <w:pPr>
              <w:spacing w:before="0" w:after="0"/>
              <w:jc w:val="center"/>
              <w:rPr>
                <w:rFonts w:eastAsia="Times New Roman"/>
                <w:szCs w:val="20"/>
              </w:rPr>
            </w:pPr>
            <w:r w:rsidRPr="00B052DE">
              <w:rPr>
                <w:rFonts w:eastAsia="Times New Roman"/>
                <w:szCs w:val="20"/>
              </w:rPr>
              <w:t>1</w:t>
            </w:r>
            <w:r>
              <w:rPr>
                <w:rFonts w:eastAsia="Times New Roman"/>
                <w:szCs w:val="20"/>
              </w:rPr>
              <w:t>5.9</w:t>
            </w:r>
          </w:p>
        </w:tc>
        <w:tc>
          <w:tcPr>
            <w:tcW w:w="1276" w:type="dxa"/>
          </w:tcPr>
          <w:p w14:paraId="2E73DB3C" w14:textId="77777777" w:rsidR="003138BD" w:rsidRDefault="003138BD" w:rsidP="00D74C6D">
            <w:pPr>
              <w:spacing w:before="0" w:after="0"/>
              <w:jc w:val="center"/>
              <w:rPr>
                <w:rFonts w:eastAsia="Times New Roman"/>
                <w:szCs w:val="20"/>
              </w:rPr>
            </w:pPr>
            <w:r>
              <w:rPr>
                <w:rFonts w:eastAsia="Times New Roman"/>
                <w:szCs w:val="20"/>
              </w:rPr>
              <w:t>62.9</w:t>
            </w:r>
          </w:p>
        </w:tc>
        <w:tc>
          <w:tcPr>
            <w:tcW w:w="992" w:type="dxa"/>
          </w:tcPr>
          <w:p w14:paraId="2DAE5CAC" w14:textId="77777777" w:rsidR="003138BD" w:rsidRPr="00B052DE" w:rsidRDefault="003138BD" w:rsidP="00D74C6D">
            <w:pPr>
              <w:spacing w:before="0" w:after="0"/>
              <w:jc w:val="center"/>
              <w:rPr>
                <w:rFonts w:eastAsia="Times New Roman"/>
                <w:szCs w:val="20"/>
              </w:rPr>
            </w:pPr>
            <w:r w:rsidRPr="00B052DE">
              <w:rPr>
                <w:rFonts w:eastAsia="Times New Roman"/>
                <w:szCs w:val="20"/>
              </w:rPr>
              <w:t>0.12</w:t>
            </w:r>
          </w:p>
        </w:tc>
        <w:tc>
          <w:tcPr>
            <w:tcW w:w="1559" w:type="dxa"/>
          </w:tcPr>
          <w:p w14:paraId="1525FE17" w14:textId="77777777" w:rsidR="003138BD" w:rsidRDefault="003138BD" w:rsidP="00D74C6D">
            <w:pPr>
              <w:spacing w:before="0" w:after="0"/>
              <w:jc w:val="center"/>
              <w:rPr>
                <w:rFonts w:eastAsia="Times New Roman"/>
                <w:szCs w:val="20"/>
              </w:rPr>
            </w:pPr>
            <w:r>
              <w:rPr>
                <w:rFonts w:eastAsia="Times New Roman"/>
                <w:szCs w:val="20"/>
              </w:rPr>
              <w:t>39.9</w:t>
            </w:r>
          </w:p>
        </w:tc>
        <w:tc>
          <w:tcPr>
            <w:tcW w:w="1276" w:type="dxa"/>
          </w:tcPr>
          <w:p w14:paraId="6D917665" w14:textId="77777777" w:rsidR="003138BD" w:rsidRDefault="003138BD" w:rsidP="00D74C6D">
            <w:pPr>
              <w:spacing w:before="0" w:after="0"/>
              <w:jc w:val="center"/>
              <w:rPr>
                <w:rFonts w:eastAsia="Times New Roman"/>
                <w:szCs w:val="20"/>
              </w:rPr>
            </w:pPr>
            <w:r>
              <w:rPr>
                <w:rFonts w:eastAsia="Times New Roman"/>
                <w:szCs w:val="20"/>
              </w:rPr>
              <w:t>25.1</w:t>
            </w:r>
          </w:p>
        </w:tc>
        <w:tc>
          <w:tcPr>
            <w:tcW w:w="1134" w:type="dxa"/>
          </w:tcPr>
          <w:p w14:paraId="0077E9D2" w14:textId="77777777" w:rsidR="003138BD" w:rsidRDefault="003138BD" w:rsidP="00D74C6D">
            <w:pPr>
              <w:spacing w:before="0" w:after="0"/>
              <w:jc w:val="center"/>
              <w:rPr>
                <w:rFonts w:eastAsia="Times New Roman"/>
                <w:b/>
                <w:bCs/>
                <w:szCs w:val="20"/>
              </w:rPr>
            </w:pPr>
            <w:r>
              <w:rPr>
                <w:rFonts w:eastAsia="Times New Roman"/>
                <w:b/>
                <w:bCs/>
                <w:szCs w:val="20"/>
              </w:rPr>
              <w:t>65</w:t>
            </w:r>
          </w:p>
        </w:tc>
      </w:tr>
      <w:tr w:rsidR="003138BD" w:rsidRPr="00B052DE" w14:paraId="40E4F907" w14:textId="77777777" w:rsidTr="00D74C6D">
        <w:tc>
          <w:tcPr>
            <w:tcW w:w="2263" w:type="dxa"/>
          </w:tcPr>
          <w:p w14:paraId="43DCCB39" w14:textId="77777777" w:rsidR="003138BD" w:rsidRPr="009119C7" w:rsidRDefault="003138BD" w:rsidP="00D74C6D">
            <w:pPr>
              <w:spacing w:before="0" w:after="0"/>
              <w:rPr>
                <w:rFonts w:eastAsia="Times New Roman"/>
                <w:szCs w:val="20"/>
              </w:rPr>
            </w:pPr>
            <w:r w:rsidRPr="009119C7">
              <w:rPr>
                <w:rFonts w:eastAsia="Times New Roman"/>
                <w:szCs w:val="20"/>
              </w:rPr>
              <w:t>5 to under 12 years</w:t>
            </w:r>
          </w:p>
        </w:tc>
        <w:tc>
          <w:tcPr>
            <w:tcW w:w="1276" w:type="dxa"/>
          </w:tcPr>
          <w:p w14:paraId="086D1F04" w14:textId="77777777" w:rsidR="003138BD" w:rsidRPr="00B052DE" w:rsidRDefault="003138BD" w:rsidP="00D74C6D">
            <w:pPr>
              <w:spacing w:before="0" w:after="0"/>
              <w:jc w:val="center"/>
              <w:rPr>
                <w:rFonts w:eastAsia="Times New Roman"/>
                <w:szCs w:val="20"/>
              </w:rPr>
            </w:pPr>
            <w:r w:rsidRPr="00B052DE">
              <w:rPr>
                <w:rFonts w:eastAsia="Times New Roman"/>
                <w:szCs w:val="20"/>
              </w:rPr>
              <w:t>2</w:t>
            </w:r>
            <w:r>
              <w:rPr>
                <w:rFonts w:eastAsia="Times New Roman"/>
                <w:szCs w:val="20"/>
              </w:rPr>
              <w:t>8</w:t>
            </w:r>
            <w:r w:rsidRPr="00B052DE">
              <w:rPr>
                <w:rFonts w:eastAsia="Times New Roman"/>
                <w:szCs w:val="20"/>
              </w:rPr>
              <w:t>.</w:t>
            </w:r>
            <w:r>
              <w:rPr>
                <w:rFonts w:eastAsia="Times New Roman"/>
                <w:szCs w:val="20"/>
              </w:rPr>
              <w:t>6</w:t>
            </w:r>
          </w:p>
        </w:tc>
        <w:tc>
          <w:tcPr>
            <w:tcW w:w="1276" w:type="dxa"/>
          </w:tcPr>
          <w:p w14:paraId="5D4B9B64" w14:textId="77777777" w:rsidR="003138BD" w:rsidRDefault="003138BD" w:rsidP="00D74C6D">
            <w:pPr>
              <w:spacing w:before="0" w:after="0"/>
              <w:jc w:val="center"/>
              <w:rPr>
                <w:rFonts w:eastAsia="Times New Roman"/>
                <w:szCs w:val="20"/>
              </w:rPr>
            </w:pPr>
            <w:r>
              <w:rPr>
                <w:rFonts w:eastAsia="Times New Roman"/>
                <w:szCs w:val="20"/>
              </w:rPr>
              <w:t>62.9</w:t>
            </w:r>
          </w:p>
        </w:tc>
        <w:tc>
          <w:tcPr>
            <w:tcW w:w="992" w:type="dxa"/>
          </w:tcPr>
          <w:p w14:paraId="38953B59" w14:textId="77777777" w:rsidR="003138BD" w:rsidRPr="00B052DE" w:rsidRDefault="003138BD" w:rsidP="00D74C6D">
            <w:pPr>
              <w:spacing w:before="0" w:after="0"/>
              <w:jc w:val="center"/>
              <w:rPr>
                <w:rFonts w:eastAsia="Times New Roman"/>
                <w:szCs w:val="20"/>
              </w:rPr>
            </w:pPr>
            <w:r w:rsidRPr="00B052DE">
              <w:rPr>
                <w:rFonts w:eastAsia="Times New Roman"/>
                <w:szCs w:val="20"/>
              </w:rPr>
              <w:t>0.12</w:t>
            </w:r>
          </w:p>
        </w:tc>
        <w:tc>
          <w:tcPr>
            <w:tcW w:w="1559" w:type="dxa"/>
          </w:tcPr>
          <w:p w14:paraId="50128E03" w14:textId="77777777" w:rsidR="003138BD" w:rsidRDefault="003138BD" w:rsidP="00D74C6D">
            <w:pPr>
              <w:spacing w:before="0" w:after="0"/>
              <w:jc w:val="center"/>
              <w:rPr>
                <w:rFonts w:eastAsia="Times New Roman"/>
                <w:szCs w:val="20"/>
              </w:rPr>
            </w:pPr>
            <w:r>
              <w:rPr>
                <w:rFonts w:eastAsia="Times New Roman"/>
                <w:szCs w:val="20"/>
              </w:rPr>
              <w:t>62.0</w:t>
            </w:r>
          </w:p>
        </w:tc>
        <w:tc>
          <w:tcPr>
            <w:tcW w:w="1276" w:type="dxa"/>
          </w:tcPr>
          <w:p w14:paraId="72DEEA45" w14:textId="77777777" w:rsidR="003138BD" w:rsidRDefault="003138BD" w:rsidP="00D74C6D">
            <w:pPr>
              <w:spacing w:before="0" w:after="0"/>
              <w:jc w:val="center"/>
              <w:rPr>
                <w:rFonts w:eastAsia="Times New Roman"/>
                <w:szCs w:val="20"/>
              </w:rPr>
            </w:pPr>
            <w:r>
              <w:rPr>
                <w:rFonts w:eastAsia="Times New Roman"/>
                <w:szCs w:val="20"/>
              </w:rPr>
              <w:t>8.0</w:t>
            </w:r>
          </w:p>
        </w:tc>
        <w:tc>
          <w:tcPr>
            <w:tcW w:w="1134" w:type="dxa"/>
          </w:tcPr>
          <w:p w14:paraId="6CCE4975" w14:textId="77777777" w:rsidR="003138BD" w:rsidRDefault="003138BD" w:rsidP="00D74C6D">
            <w:pPr>
              <w:spacing w:before="0" w:after="0"/>
              <w:jc w:val="center"/>
              <w:rPr>
                <w:rFonts w:eastAsia="Times New Roman"/>
                <w:b/>
                <w:bCs/>
                <w:szCs w:val="20"/>
              </w:rPr>
            </w:pPr>
            <w:r>
              <w:rPr>
                <w:rFonts w:eastAsia="Times New Roman"/>
                <w:b/>
                <w:bCs/>
                <w:szCs w:val="20"/>
              </w:rPr>
              <w:t>70</w:t>
            </w:r>
          </w:p>
        </w:tc>
      </w:tr>
      <w:tr w:rsidR="003138BD" w:rsidRPr="00B052DE" w14:paraId="377E07FB" w14:textId="77777777" w:rsidTr="00D74C6D">
        <w:tc>
          <w:tcPr>
            <w:tcW w:w="2263" w:type="dxa"/>
          </w:tcPr>
          <w:p w14:paraId="2B324E32" w14:textId="77777777" w:rsidR="003138BD" w:rsidRPr="009119C7" w:rsidRDefault="003138BD" w:rsidP="00D74C6D">
            <w:pPr>
              <w:spacing w:before="0" w:after="0"/>
              <w:rPr>
                <w:rFonts w:eastAsia="Times New Roman"/>
                <w:szCs w:val="20"/>
              </w:rPr>
            </w:pPr>
            <w:r w:rsidRPr="009119C7">
              <w:rPr>
                <w:rFonts w:eastAsia="Times New Roman"/>
                <w:szCs w:val="20"/>
              </w:rPr>
              <w:t>12 to under 18 years</w:t>
            </w:r>
          </w:p>
        </w:tc>
        <w:tc>
          <w:tcPr>
            <w:tcW w:w="1276" w:type="dxa"/>
          </w:tcPr>
          <w:p w14:paraId="43EEA709" w14:textId="77777777" w:rsidR="003138BD" w:rsidRPr="00B052DE" w:rsidRDefault="003138BD" w:rsidP="00D74C6D">
            <w:pPr>
              <w:spacing w:before="0" w:after="0"/>
              <w:jc w:val="center"/>
              <w:rPr>
                <w:rFonts w:eastAsia="Times New Roman"/>
                <w:szCs w:val="20"/>
              </w:rPr>
            </w:pPr>
            <w:r w:rsidRPr="00B052DE">
              <w:rPr>
                <w:rFonts w:eastAsia="Times New Roman"/>
                <w:szCs w:val="20"/>
              </w:rPr>
              <w:t>54.</w:t>
            </w:r>
            <w:r>
              <w:rPr>
                <w:rFonts w:eastAsia="Times New Roman"/>
                <w:szCs w:val="20"/>
              </w:rPr>
              <w:t>5</w:t>
            </w:r>
          </w:p>
        </w:tc>
        <w:tc>
          <w:tcPr>
            <w:tcW w:w="1276" w:type="dxa"/>
          </w:tcPr>
          <w:p w14:paraId="358ADA10" w14:textId="77777777" w:rsidR="003138BD" w:rsidRDefault="003138BD" w:rsidP="00D74C6D">
            <w:pPr>
              <w:spacing w:before="0" w:after="0"/>
              <w:jc w:val="center"/>
              <w:rPr>
                <w:rFonts w:eastAsia="Times New Roman"/>
                <w:szCs w:val="20"/>
              </w:rPr>
            </w:pPr>
            <w:r>
              <w:rPr>
                <w:rFonts w:eastAsia="Times New Roman"/>
                <w:szCs w:val="20"/>
              </w:rPr>
              <w:t>62.9</w:t>
            </w:r>
          </w:p>
        </w:tc>
        <w:tc>
          <w:tcPr>
            <w:tcW w:w="992" w:type="dxa"/>
          </w:tcPr>
          <w:p w14:paraId="2ADC70D4" w14:textId="77777777" w:rsidR="003138BD" w:rsidRPr="00B052DE" w:rsidRDefault="003138BD" w:rsidP="00D74C6D">
            <w:pPr>
              <w:spacing w:before="0" w:after="0"/>
              <w:jc w:val="center"/>
              <w:rPr>
                <w:rFonts w:eastAsia="Times New Roman"/>
                <w:szCs w:val="20"/>
              </w:rPr>
            </w:pPr>
            <w:r w:rsidRPr="00B052DE">
              <w:rPr>
                <w:rFonts w:eastAsia="Times New Roman"/>
                <w:szCs w:val="20"/>
              </w:rPr>
              <w:t>0.07</w:t>
            </w:r>
          </w:p>
        </w:tc>
        <w:tc>
          <w:tcPr>
            <w:tcW w:w="1559" w:type="dxa"/>
          </w:tcPr>
          <w:p w14:paraId="65E146C3" w14:textId="77777777" w:rsidR="003138BD" w:rsidRDefault="003138BD" w:rsidP="00D74C6D">
            <w:pPr>
              <w:spacing w:before="0" w:after="0"/>
              <w:jc w:val="center"/>
              <w:rPr>
                <w:rFonts w:eastAsia="Times New Roman"/>
                <w:szCs w:val="20"/>
              </w:rPr>
            </w:pPr>
            <w:r>
              <w:rPr>
                <w:rFonts w:eastAsia="Times New Roman"/>
                <w:szCs w:val="20"/>
              </w:rPr>
              <w:t>96.1</w:t>
            </w:r>
          </w:p>
        </w:tc>
        <w:tc>
          <w:tcPr>
            <w:tcW w:w="1276" w:type="dxa"/>
          </w:tcPr>
          <w:p w14:paraId="0E648733" w14:textId="77777777" w:rsidR="003138BD" w:rsidRDefault="003138BD" w:rsidP="00D74C6D">
            <w:pPr>
              <w:spacing w:before="0" w:after="0"/>
              <w:jc w:val="center"/>
              <w:rPr>
                <w:rFonts w:eastAsia="Times New Roman"/>
                <w:szCs w:val="20"/>
              </w:rPr>
            </w:pPr>
            <w:r>
              <w:rPr>
                <w:rFonts w:eastAsia="Times New Roman"/>
                <w:szCs w:val="20"/>
              </w:rPr>
              <w:t>-6.1</w:t>
            </w:r>
          </w:p>
        </w:tc>
        <w:tc>
          <w:tcPr>
            <w:tcW w:w="1134" w:type="dxa"/>
          </w:tcPr>
          <w:p w14:paraId="41A379A2" w14:textId="77777777" w:rsidR="003138BD" w:rsidRDefault="003138BD" w:rsidP="00D74C6D">
            <w:pPr>
              <w:spacing w:before="0" w:after="0"/>
              <w:jc w:val="center"/>
              <w:rPr>
                <w:rFonts w:eastAsia="Times New Roman"/>
                <w:b/>
                <w:bCs/>
                <w:szCs w:val="20"/>
              </w:rPr>
            </w:pPr>
            <w:r>
              <w:rPr>
                <w:rFonts w:eastAsia="Times New Roman"/>
                <w:b/>
                <w:bCs/>
                <w:szCs w:val="20"/>
              </w:rPr>
              <w:t>90</w:t>
            </w:r>
          </w:p>
        </w:tc>
      </w:tr>
    </w:tbl>
    <w:p w14:paraId="7904F0A3" w14:textId="77777777" w:rsidR="003138BD" w:rsidRDefault="003138BD" w:rsidP="003138BD">
      <w:pPr>
        <w:spacing w:before="240" w:after="80" w:line="240" w:lineRule="atLeast"/>
        <w:rPr>
          <w:rFonts w:eastAsia="Times New Roman" w:cs="Arial"/>
          <w:iCs/>
          <w:color w:val="000000"/>
          <w:szCs w:val="20"/>
        </w:rPr>
      </w:pPr>
      <w:r w:rsidRPr="004F6E5F">
        <w:rPr>
          <w:rFonts w:eastAsia="Times New Roman" w:cs="Arial"/>
          <w:iCs/>
          <w:color w:val="000000"/>
          <w:szCs w:val="20"/>
        </w:rPr>
        <w:t>The RDI was then</w:t>
      </w:r>
      <w:r>
        <w:rPr>
          <w:rFonts w:eastAsia="Times New Roman" w:cs="Arial"/>
          <w:iCs/>
          <w:color w:val="000000"/>
          <w:szCs w:val="20"/>
        </w:rPr>
        <w:t xml:space="preserve"> calculated applying a CV of 20%, and rounded as follows:</w:t>
      </w:r>
    </w:p>
    <w:tbl>
      <w:tblPr>
        <w:tblStyle w:val="DefaultTable1"/>
        <w:tblW w:w="9781" w:type="dxa"/>
        <w:tblInd w:w="0" w:type="dxa"/>
        <w:tblLook w:val="0620" w:firstRow="1" w:lastRow="0" w:firstColumn="0" w:lastColumn="0" w:noHBand="1" w:noVBand="1"/>
      </w:tblPr>
      <w:tblGrid>
        <w:gridCol w:w="2410"/>
        <w:gridCol w:w="1134"/>
        <w:gridCol w:w="1701"/>
        <w:gridCol w:w="1418"/>
        <w:gridCol w:w="1417"/>
        <w:gridCol w:w="1701"/>
      </w:tblGrid>
      <w:tr w:rsidR="003138BD" w:rsidRPr="00DB2D4E" w14:paraId="063AF036" w14:textId="77777777" w:rsidTr="00D74C6D">
        <w:trPr>
          <w:cnfStyle w:val="100000000000" w:firstRow="1" w:lastRow="0" w:firstColumn="0" w:lastColumn="0" w:oddVBand="0" w:evenVBand="0" w:oddHBand="0" w:evenHBand="0" w:firstRowFirstColumn="0" w:firstRowLastColumn="0" w:lastRowFirstColumn="0" w:lastRowLastColumn="0"/>
        </w:trPr>
        <w:tc>
          <w:tcPr>
            <w:tcW w:w="2410" w:type="dxa"/>
          </w:tcPr>
          <w:p w14:paraId="4D908FDB" w14:textId="77777777" w:rsidR="003138BD" w:rsidRPr="00DB2D4E" w:rsidRDefault="003138BD" w:rsidP="00D74C6D">
            <w:pPr>
              <w:spacing w:before="0" w:after="0"/>
              <w:rPr>
                <w:rFonts w:eastAsia="Times New Roman"/>
                <w:b w:val="0"/>
                <w:bCs w:val="0"/>
                <w:szCs w:val="20"/>
              </w:rPr>
            </w:pPr>
            <w:r w:rsidRPr="00DB2D4E">
              <w:rPr>
                <w:rFonts w:eastAsia="Times New Roman"/>
                <w:szCs w:val="20"/>
              </w:rPr>
              <w:t>Age group</w:t>
            </w:r>
          </w:p>
        </w:tc>
        <w:tc>
          <w:tcPr>
            <w:tcW w:w="1134" w:type="dxa"/>
          </w:tcPr>
          <w:p w14:paraId="3DEB9B1A" w14:textId="77777777" w:rsidR="003138BD" w:rsidRPr="00DB2D4E" w:rsidRDefault="003138BD" w:rsidP="00D74C6D">
            <w:pPr>
              <w:spacing w:before="0" w:after="0"/>
              <w:jc w:val="center"/>
              <w:rPr>
                <w:rFonts w:eastAsia="Times New Roman"/>
                <w:b w:val="0"/>
                <w:bCs w:val="0"/>
                <w:szCs w:val="20"/>
              </w:rPr>
            </w:pPr>
            <w:r>
              <w:rPr>
                <w:rFonts w:eastAsia="Times New Roman"/>
                <w:szCs w:val="20"/>
              </w:rPr>
              <w:t>EAR</w:t>
            </w:r>
          </w:p>
          <w:p w14:paraId="12AA066C" w14:textId="77777777" w:rsidR="003138BD" w:rsidRDefault="003138BD" w:rsidP="00D74C6D">
            <w:pPr>
              <w:spacing w:before="0" w:after="0"/>
              <w:jc w:val="center"/>
              <w:rPr>
                <w:rFonts w:eastAsia="Times New Roman"/>
                <w:b w:val="0"/>
                <w:bCs w:val="0"/>
                <w:szCs w:val="20"/>
                <w:vertAlign w:val="subscript"/>
              </w:rPr>
            </w:pPr>
            <w:r w:rsidRPr="00DB2D4E">
              <w:rPr>
                <w:rFonts w:eastAsia="Times New Roman"/>
                <w:szCs w:val="20"/>
                <w:vertAlign w:val="subscript"/>
              </w:rPr>
              <w:t>child</w:t>
            </w:r>
          </w:p>
          <w:p w14:paraId="1FC505C6" w14:textId="77777777" w:rsidR="003138BD" w:rsidRPr="006421A5" w:rsidRDefault="003138BD" w:rsidP="00D74C6D">
            <w:pPr>
              <w:spacing w:before="0" w:after="0"/>
              <w:jc w:val="center"/>
              <w:rPr>
                <w:rFonts w:eastAsia="Times New Roman"/>
                <w:b w:val="0"/>
                <w:bCs w:val="0"/>
                <w:szCs w:val="20"/>
              </w:rPr>
            </w:pPr>
            <w:r>
              <w:rPr>
                <w:rFonts w:eastAsia="Times New Roman"/>
                <w:i/>
                <w:iCs/>
                <w:szCs w:val="20"/>
              </w:rPr>
              <w:t xml:space="preserve"> µg/day</w:t>
            </w:r>
          </w:p>
        </w:tc>
        <w:tc>
          <w:tcPr>
            <w:tcW w:w="1701" w:type="dxa"/>
          </w:tcPr>
          <w:p w14:paraId="647B3AAB" w14:textId="77777777" w:rsidR="003138BD" w:rsidRPr="00DB2D4E" w:rsidRDefault="003138BD" w:rsidP="00D74C6D">
            <w:pPr>
              <w:spacing w:before="0" w:after="0"/>
              <w:jc w:val="center"/>
              <w:rPr>
                <w:rFonts w:eastAsia="Times New Roman"/>
                <w:b w:val="0"/>
                <w:bCs w:val="0"/>
                <w:szCs w:val="20"/>
              </w:rPr>
            </w:pPr>
            <w:r>
              <w:rPr>
                <w:rFonts w:eastAsia="Times New Roman"/>
                <w:szCs w:val="20"/>
              </w:rPr>
              <w:t>Co-efficient of variation (CV)</w:t>
            </w:r>
          </w:p>
        </w:tc>
        <w:tc>
          <w:tcPr>
            <w:tcW w:w="1418" w:type="dxa"/>
          </w:tcPr>
          <w:p w14:paraId="6686A5BC" w14:textId="77777777" w:rsidR="003138BD" w:rsidRDefault="003138BD" w:rsidP="00D74C6D">
            <w:pPr>
              <w:spacing w:before="0" w:after="0"/>
              <w:ind w:left="-108" w:right="-118"/>
              <w:jc w:val="center"/>
              <w:rPr>
                <w:rFonts w:eastAsia="Times New Roman"/>
                <w:b w:val="0"/>
                <w:bCs w:val="0"/>
                <w:szCs w:val="20"/>
              </w:rPr>
            </w:pPr>
            <w:r>
              <w:rPr>
                <w:rFonts w:eastAsia="Times New Roman"/>
                <w:szCs w:val="20"/>
              </w:rPr>
              <w:t>RDI (calculated)</w:t>
            </w:r>
          </w:p>
          <w:p w14:paraId="5691018D" w14:textId="77777777" w:rsidR="003138BD" w:rsidRPr="00DB2D4E" w:rsidRDefault="003138BD" w:rsidP="00D74C6D">
            <w:pPr>
              <w:spacing w:before="0" w:after="0"/>
              <w:jc w:val="center"/>
              <w:rPr>
                <w:rFonts w:eastAsia="Times New Roman"/>
                <w:b w:val="0"/>
                <w:bCs w:val="0"/>
                <w:szCs w:val="20"/>
              </w:rPr>
            </w:pPr>
            <w:r>
              <w:rPr>
                <w:rFonts w:eastAsia="Times New Roman"/>
                <w:i/>
                <w:iCs/>
                <w:szCs w:val="20"/>
              </w:rPr>
              <w:t xml:space="preserve"> µg/day</w:t>
            </w:r>
          </w:p>
        </w:tc>
        <w:tc>
          <w:tcPr>
            <w:tcW w:w="1417" w:type="dxa"/>
          </w:tcPr>
          <w:p w14:paraId="13F5596A" w14:textId="77777777" w:rsidR="003138BD" w:rsidRDefault="003138BD" w:rsidP="00D74C6D">
            <w:pPr>
              <w:spacing w:before="0" w:after="0"/>
              <w:jc w:val="center"/>
              <w:rPr>
                <w:rFonts w:eastAsia="Times New Roman"/>
                <w:b w:val="0"/>
                <w:bCs w:val="0"/>
                <w:szCs w:val="20"/>
              </w:rPr>
            </w:pPr>
            <w:r w:rsidRPr="006421A5">
              <w:rPr>
                <w:rFonts w:eastAsia="Times New Roman"/>
                <w:szCs w:val="20"/>
              </w:rPr>
              <w:t>Rounding</w:t>
            </w:r>
          </w:p>
          <w:p w14:paraId="4673ED28" w14:textId="77777777" w:rsidR="003138BD" w:rsidRDefault="003138BD" w:rsidP="00D74C6D">
            <w:pPr>
              <w:spacing w:before="0" w:after="0"/>
              <w:jc w:val="center"/>
              <w:rPr>
                <w:rFonts w:eastAsia="Times New Roman"/>
                <w:b w:val="0"/>
                <w:bCs w:val="0"/>
                <w:szCs w:val="20"/>
              </w:rPr>
            </w:pPr>
          </w:p>
          <w:p w14:paraId="685DF377" w14:textId="77777777" w:rsidR="003138BD" w:rsidRPr="006421A5" w:rsidRDefault="003138BD" w:rsidP="00D74C6D">
            <w:pPr>
              <w:spacing w:before="0" w:after="0"/>
              <w:jc w:val="center"/>
              <w:rPr>
                <w:rFonts w:eastAsia="Times New Roman"/>
                <w:b w:val="0"/>
                <w:bCs w:val="0"/>
                <w:szCs w:val="20"/>
              </w:rPr>
            </w:pPr>
            <w:r>
              <w:rPr>
                <w:rFonts w:eastAsia="Times New Roman"/>
                <w:i/>
                <w:iCs/>
                <w:szCs w:val="20"/>
              </w:rPr>
              <w:t xml:space="preserve"> µg/day</w:t>
            </w:r>
          </w:p>
        </w:tc>
        <w:tc>
          <w:tcPr>
            <w:tcW w:w="1701" w:type="dxa"/>
          </w:tcPr>
          <w:p w14:paraId="7752178F" w14:textId="77777777" w:rsidR="003138BD" w:rsidRDefault="003138BD" w:rsidP="00D74C6D">
            <w:pPr>
              <w:spacing w:before="0" w:after="0"/>
              <w:ind w:left="-106" w:right="-81" w:firstLine="106"/>
              <w:jc w:val="center"/>
              <w:rPr>
                <w:rFonts w:eastAsia="Times New Roman"/>
                <w:b w:val="0"/>
                <w:bCs w:val="0"/>
                <w:szCs w:val="20"/>
              </w:rPr>
            </w:pPr>
            <w:r>
              <w:rPr>
                <w:rFonts w:eastAsia="Times New Roman"/>
                <w:szCs w:val="20"/>
              </w:rPr>
              <w:t>Proposed RDI (rounded)</w:t>
            </w:r>
          </w:p>
          <w:p w14:paraId="235EC868" w14:textId="77777777" w:rsidR="003138BD" w:rsidRPr="00DB2D4E" w:rsidRDefault="003138BD" w:rsidP="00D74C6D">
            <w:pPr>
              <w:spacing w:before="0" w:after="0"/>
              <w:ind w:left="-106" w:right="-81" w:firstLine="106"/>
              <w:jc w:val="center"/>
              <w:rPr>
                <w:rFonts w:eastAsia="Times New Roman"/>
                <w:b w:val="0"/>
                <w:bCs w:val="0"/>
                <w:szCs w:val="20"/>
              </w:rPr>
            </w:pPr>
            <w:r>
              <w:rPr>
                <w:rFonts w:eastAsia="Times New Roman"/>
                <w:i/>
                <w:iCs/>
                <w:szCs w:val="20"/>
              </w:rPr>
              <w:t xml:space="preserve"> µg/day</w:t>
            </w:r>
          </w:p>
        </w:tc>
      </w:tr>
      <w:tr w:rsidR="003138BD" w:rsidRPr="00083624" w14:paraId="009DE93B" w14:textId="77777777" w:rsidTr="00D74C6D">
        <w:tc>
          <w:tcPr>
            <w:tcW w:w="9781" w:type="dxa"/>
            <w:gridSpan w:val="6"/>
            <w:shd w:val="clear" w:color="auto" w:fill="005F85" w:themeFill="accent2"/>
          </w:tcPr>
          <w:p w14:paraId="1E1E0476" w14:textId="77777777" w:rsidR="003138BD" w:rsidRPr="00E97E4D" w:rsidRDefault="003138BD" w:rsidP="00D74C6D">
            <w:pPr>
              <w:spacing w:before="0" w:after="0"/>
              <w:rPr>
                <w:b/>
                <w:bCs/>
              </w:rPr>
            </w:pPr>
            <w:r>
              <w:rPr>
                <w:rFonts w:eastAsia="Times New Roman"/>
                <w:b/>
                <w:bCs/>
                <w:color w:val="FFFFFF" w:themeColor="background1"/>
                <w:szCs w:val="20"/>
              </w:rPr>
              <w:t>NRVs age groupings:</w:t>
            </w:r>
          </w:p>
        </w:tc>
      </w:tr>
      <w:tr w:rsidR="003138BD" w:rsidRPr="00083624" w14:paraId="3996DAB4" w14:textId="77777777" w:rsidTr="00D74C6D">
        <w:tc>
          <w:tcPr>
            <w:tcW w:w="2410" w:type="dxa"/>
          </w:tcPr>
          <w:p w14:paraId="45091F0D" w14:textId="77777777" w:rsidR="003138BD" w:rsidRPr="00B052DE" w:rsidRDefault="003138BD" w:rsidP="00D74C6D">
            <w:pPr>
              <w:spacing w:before="0" w:after="0"/>
              <w:rPr>
                <w:rFonts w:eastAsia="Times New Roman"/>
                <w:szCs w:val="20"/>
              </w:rPr>
            </w:pPr>
            <w:r>
              <w:rPr>
                <w:rFonts w:eastAsia="Times New Roman"/>
                <w:szCs w:val="20"/>
              </w:rPr>
              <w:t>1 to under 4 years</w:t>
            </w:r>
          </w:p>
        </w:tc>
        <w:tc>
          <w:tcPr>
            <w:tcW w:w="1134" w:type="dxa"/>
          </w:tcPr>
          <w:p w14:paraId="09F90C6B" w14:textId="77777777" w:rsidR="003138BD" w:rsidRPr="00B052DE" w:rsidRDefault="003138BD" w:rsidP="00D74C6D">
            <w:pPr>
              <w:spacing w:before="0" w:after="0"/>
              <w:jc w:val="center"/>
              <w:rPr>
                <w:rFonts w:eastAsia="Times New Roman"/>
                <w:szCs w:val="20"/>
              </w:rPr>
            </w:pPr>
            <w:r>
              <w:rPr>
                <w:rFonts w:eastAsia="Times New Roman"/>
                <w:szCs w:val="20"/>
              </w:rPr>
              <w:t>65</w:t>
            </w:r>
          </w:p>
        </w:tc>
        <w:tc>
          <w:tcPr>
            <w:tcW w:w="1701" w:type="dxa"/>
          </w:tcPr>
          <w:p w14:paraId="325E29E2" w14:textId="77777777" w:rsidR="003138BD" w:rsidRPr="00B052DE" w:rsidRDefault="003138BD" w:rsidP="00D74C6D">
            <w:pPr>
              <w:spacing w:before="0" w:after="0"/>
              <w:jc w:val="center"/>
              <w:rPr>
                <w:rFonts w:eastAsia="Times New Roman"/>
                <w:szCs w:val="20"/>
              </w:rPr>
            </w:pPr>
            <w:r>
              <w:rPr>
                <w:rFonts w:eastAsia="Times New Roman"/>
                <w:szCs w:val="20"/>
              </w:rPr>
              <w:t>20%</w:t>
            </w:r>
          </w:p>
        </w:tc>
        <w:tc>
          <w:tcPr>
            <w:tcW w:w="1418" w:type="dxa"/>
          </w:tcPr>
          <w:p w14:paraId="617981BD" w14:textId="77777777" w:rsidR="003138BD" w:rsidRPr="00B052DE" w:rsidRDefault="003138BD" w:rsidP="00D74C6D">
            <w:pPr>
              <w:spacing w:before="0" w:after="0"/>
              <w:jc w:val="center"/>
              <w:rPr>
                <w:rFonts w:eastAsia="Times New Roman"/>
                <w:szCs w:val="20"/>
              </w:rPr>
            </w:pPr>
            <w:r>
              <w:rPr>
                <w:rFonts w:eastAsia="Times New Roman"/>
                <w:szCs w:val="20"/>
              </w:rPr>
              <w:t>91</w:t>
            </w:r>
          </w:p>
        </w:tc>
        <w:tc>
          <w:tcPr>
            <w:tcW w:w="1417" w:type="dxa"/>
          </w:tcPr>
          <w:p w14:paraId="0D732A2C" w14:textId="77777777" w:rsidR="003138BD" w:rsidRPr="00B052DE" w:rsidRDefault="003138BD" w:rsidP="00D74C6D">
            <w:pPr>
              <w:spacing w:before="0" w:after="0"/>
              <w:jc w:val="center"/>
              <w:rPr>
                <w:rFonts w:eastAsia="Times New Roman"/>
                <w:szCs w:val="20"/>
              </w:rPr>
            </w:pPr>
            <w:r>
              <w:rPr>
                <w:rFonts w:eastAsia="Times New Roman"/>
                <w:szCs w:val="20"/>
              </w:rPr>
              <w:t>-1</w:t>
            </w:r>
          </w:p>
        </w:tc>
        <w:tc>
          <w:tcPr>
            <w:tcW w:w="1701" w:type="dxa"/>
          </w:tcPr>
          <w:p w14:paraId="16258CCA" w14:textId="77777777" w:rsidR="003138BD" w:rsidRPr="00E97E4D" w:rsidRDefault="003138BD" w:rsidP="00D74C6D">
            <w:pPr>
              <w:spacing w:before="0" w:after="0"/>
              <w:jc w:val="center"/>
              <w:rPr>
                <w:rFonts w:eastAsia="Times New Roman"/>
                <w:b/>
                <w:bCs/>
                <w:szCs w:val="20"/>
              </w:rPr>
            </w:pPr>
            <w:r w:rsidRPr="00E97E4D">
              <w:rPr>
                <w:b/>
                <w:bCs/>
              </w:rPr>
              <w:t>90</w:t>
            </w:r>
          </w:p>
        </w:tc>
      </w:tr>
      <w:tr w:rsidR="003138BD" w:rsidRPr="00083624" w14:paraId="2E6725E7" w14:textId="77777777" w:rsidTr="00D74C6D">
        <w:tc>
          <w:tcPr>
            <w:tcW w:w="2410" w:type="dxa"/>
          </w:tcPr>
          <w:p w14:paraId="6B510381" w14:textId="77777777" w:rsidR="003138BD" w:rsidRPr="00B052DE" w:rsidRDefault="003138BD" w:rsidP="00D74C6D">
            <w:pPr>
              <w:spacing w:before="0" w:after="0"/>
              <w:rPr>
                <w:rFonts w:eastAsia="Times New Roman"/>
                <w:szCs w:val="20"/>
              </w:rPr>
            </w:pPr>
            <w:r>
              <w:rPr>
                <w:rFonts w:eastAsia="Times New Roman"/>
                <w:szCs w:val="20"/>
              </w:rPr>
              <w:t>4</w:t>
            </w:r>
            <w:r w:rsidRPr="009119C7">
              <w:rPr>
                <w:rFonts w:eastAsia="Times New Roman"/>
                <w:szCs w:val="20"/>
              </w:rPr>
              <w:t xml:space="preserve"> to under </w:t>
            </w:r>
            <w:r>
              <w:rPr>
                <w:rFonts w:eastAsia="Times New Roman"/>
                <w:szCs w:val="20"/>
              </w:rPr>
              <w:t>9</w:t>
            </w:r>
            <w:r w:rsidRPr="009119C7">
              <w:rPr>
                <w:rFonts w:eastAsia="Times New Roman"/>
                <w:szCs w:val="20"/>
              </w:rPr>
              <w:t xml:space="preserve"> years</w:t>
            </w:r>
          </w:p>
        </w:tc>
        <w:tc>
          <w:tcPr>
            <w:tcW w:w="1134" w:type="dxa"/>
          </w:tcPr>
          <w:p w14:paraId="1E005D15" w14:textId="77777777" w:rsidR="003138BD" w:rsidRPr="00B052DE" w:rsidRDefault="003138BD" w:rsidP="00D74C6D">
            <w:pPr>
              <w:spacing w:before="0" w:after="0"/>
              <w:jc w:val="center"/>
              <w:rPr>
                <w:rFonts w:eastAsia="Times New Roman"/>
                <w:szCs w:val="20"/>
              </w:rPr>
            </w:pPr>
            <w:r>
              <w:rPr>
                <w:rFonts w:eastAsia="Times New Roman"/>
                <w:szCs w:val="20"/>
              </w:rPr>
              <w:t>65</w:t>
            </w:r>
          </w:p>
        </w:tc>
        <w:tc>
          <w:tcPr>
            <w:tcW w:w="1701" w:type="dxa"/>
          </w:tcPr>
          <w:p w14:paraId="0EFFB3CB" w14:textId="77777777" w:rsidR="003138BD" w:rsidRPr="00B052DE" w:rsidRDefault="003138BD" w:rsidP="00D74C6D">
            <w:pPr>
              <w:spacing w:before="0" w:after="0"/>
              <w:jc w:val="center"/>
              <w:rPr>
                <w:rFonts w:eastAsia="Times New Roman"/>
                <w:szCs w:val="20"/>
              </w:rPr>
            </w:pPr>
            <w:r>
              <w:rPr>
                <w:rFonts w:eastAsia="Times New Roman"/>
                <w:szCs w:val="20"/>
              </w:rPr>
              <w:t>20%</w:t>
            </w:r>
          </w:p>
        </w:tc>
        <w:tc>
          <w:tcPr>
            <w:tcW w:w="1418" w:type="dxa"/>
          </w:tcPr>
          <w:p w14:paraId="02A118F7" w14:textId="77777777" w:rsidR="003138BD" w:rsidRPr="00B052DE" w:rsidRDefault="003138BD" w:rsidP="00D74C6D">
            <w:pPr>
              <w:spacing w:before="0" w:after="0"/>
              <w:jc w:val="center"/>
              <w:rPr>
                <w:rFonts w:eastAsia="Times New Roman"/>
                <w:szCs w:val="20"/>
              </w:rPr>
            </w:pPr>
            <w:r>
              <w:rPr>
                <w:rFonts w:eastAsia="Times New Roman"/>
                <w:szCs w:val="20"/>
              </w:rPr>
              <w:t>91</w:t>
            </w:r>
          </w:p>
        </w:tc>
        <w:tc>
          <w:tcPr>
            <w:tcW w:w="1417" w:type="dxa"/>
          </w:tcPr>
          <w:p w14:paraId="79476144" w14:textId="77777777" w:rsidR="003138BD" w:rsidRPr="00B052DE" w:rsidRDefault="003138BD" w:rsidP="00D74C6D">
            <w:pPr>
              <w:spacing w:before="0" w:after="0"/>
              <w:jc w:val="center"/>
              <w:rPr>
                <w:rFonts w:eastAsia="Times New Roman"/>
                <w:szCs w:val="20"/>
              </w:rPr>
            </w:pPr>
            <w:r>
              <w:rPr>
                <w:rFonts w:eastAsia="Times New Roman"/>
                <w:szCs w:val="20"/>
              </w:rPr>
              <w:t>-1</w:t>
            </w:r>
          </w:p>
        </w:tc>
        <w:tc>
          <w:tcPr>
            <w:tcW w:w="1701" w:type="dxa"/>
          </w:tcPr>
          <w:p w14:paraId="426B6DFC" w14:textId="77777777" w:rsidR="003138BD" w:rsidRPr="00E97E4D" w:rsidRDefault="003138BD" w:rsidP="00D74C6D">
            <w:pPr>
              <w:spacing w:before="0" w:after="0"/>
              <w:jc w:val="center"/>
              <w:rPr>
                <w:rFonts w:eastAsia="Times New Roman"/>
                <w:b/>
                <w:bCs/>
                <w:szCs w:val="20"/>
              </w:rPr>
            </w:pPr>
            <w:r w:rsidRPr="00E97E4D">
              <w:rPr>
                <w:b/>
                <w:bCs/>
              </w:rPr>
              <w:t>90</w:t>
            </w:r>
          </w:p>
        </w:tc>
      </w:tr>
      <w:tr w:rsidR="003138BD" w:rsidRPr="00083624" w14:paraId="10AA0DBF" w14:textId="77777777" w:rsidTr="00D74C6D">
        <w:tc>
          <w:tcPr>
            <w:tcW w:w="2410" w:type="dxa"/>
          </w:tcPr>
          <w:p w14:paraId="4625E217" w14:textId="77777777" w:rsidR="003138BD" w:rsidRPr="00B052DE" w:rsidRDefault="003138BD" w:rsidP="00D74C6D">
            <w:pPr>
              <w:spacing w:before="0" w:after="0"/>
              <w:rPr>
                <w:rFonts w:eastAsia="Times New Roman"/>
                <w:szCs w:val="20"/>
              </w:rPr>
            </w:pPr>
            <w:r>
              <w:rPr>
                <w:rFonts w:eastAsia="Times New Roman"/>
                <w:szCs w:val="20"/>
              </w:rPr>
              <w:t>9</w:t>
            </w:r>
            <w:r w:rsidRPr="009119C7">
              <w:rPr>
                <w:rFonts w:eastAsia="Times New Roman"/>
                <w:szCs w:val="20"/>
              </w:rPr>
              <w:t xml:space="preserve"> to under 1</w:t>
            </w:r>
            <w:r>
              <w:rPr>
                <w:rFonts w:eastAsia="Times New Roman"/>
                <w:szCs w:val="20"/>
              </w:rPr>
              <w:t>4</w:t>
            </w:r>
            <w:r w:rsidRPr="009119C7">
              <w:rPr>
                <w:rFonts w:eastAsia="Times New Roman"/>
                <w:szCs w:val="20"/>
              </w:rPr>
              <w:t xml:space="preserve"> years</w:t>
            </w:r>
          </w:p>
        </w:tc>
        <w:tc>
          <w:tcPr>
            <w:tcW w:w="1134" w:type="dxa"/>
          </w:tcPr>
          <w:p w14:paraId="365F57A9" w14:textId="77777777" w:rsidR="003138BD" w:rsidRPr="00B052DE" w:rsidRDefault="003138BD" w:rsidP="00D74C6D">
            <w:pPr>
              <w:spacing w:before="0" w:after="0"/>
              <w:jc w:val="center"/>
              <w:rPr>
                <w:rFonts w:eastAsia="Times New Roman"/>
                <w:szCs w:val="20"/>
              </w:rPr>
            </w:pPr>
            <w:r>
              <w:rPr>
                <w:rFonts w:eastAsia="Times New Roman"/>
                <w:szCs w:val="20"/>
              </w:rPr>
              <w:t>75</w:t>
            </w:r>
          </w:p>
        </w:tc>
        <w:tc>
          <w:tcPr>
            <w:tcW w:w="1701" w:type="dxa"/>
          </w:tcPr>
          <w:p w14:paraId="02B2B6EE" w14:textId="77777777" w:rsidR="003138BD" w:rsidRPr="00B052DE" w:rsidRDefault="003138BD" w:rsidP="00D74C6D">
            <w:pPr>
              <w:spacing w:before="0" w:after="0"/>
              <w:jc w:val="center"/>
              <w:rPr>
                <w:rFonts w:eastAsia="Times New Roman"/>
                <w:szCs w:val="20"/>
              </w:rPr>
            </w:pPr>
            <w:r>
              <w:rPr>
                <w:rFonts w:eastAsia="Times New Roman"/>
                <w:szCs w:val="20"/>
              </w:rPr>
              <w:t>20%</w:t>
            </w:r>
          </w:p>
        </w:tc>
        <w:tc>
          <w:tcPr>
            <w:tcW w:w="1418" w:type="dxa"/>
          </w:tcPr>
          <w:p w14:paraId="1D207558" w14:textId="77777777" w:rsidR="003138BD" w:rsidRPr="00B052DE" w:rsidRDefault="003138BD" w:rsidP="00D74C6D">
            <w:pPr>
              <w:spacing w:before="0" w:after="0"/>
              <w:jc w:val="center"/>
              <w:rPr>
                <w:rFonts w:eastAsia="Times New Roman"/>
                <w:szCs w:val="20"/>
              </w:rPr>
            </w:pPr>
            <w:r>
              <w:rPr>
                <w:rFonts w:eastAsia="Times New Roman"/>
                <w:szCs w:val="20"/>
              </w:rPr>
              <w:t>105</w:t>
            </w:r>
          </w:p>
        </w:tc>
        <w:tc>
          <w:tcPr>
            <w:tcW w:w="1417" w:type="dxa"/>
          </w:tcPr>
          <w:p w14:paraId="0142833F" w14:textId="77777777" w:rsidR="003138BD" w:rsidRPr="00B052DE" w:rsidRDefault="003138BD" w:rsidP="00D74C6D">
            <w:pPr>
              <w:spacing w:before="0" w:after="0"/>
              <w:jc w:val="center"/>
              <w:rPr>
                <w:rFonts w:eastAsia="Times New Roman"/>
                <w:szCs w:val="20"/>
              </w:rPr>
            </w:pPr>
            <w:r>
              <w:rPr>
                <w:rFonts w:eastAsia="Times New Roman"/>
                <w:szCs w:val="20"/>
              </w:rPr>
              <w:t>15</w:t>
            </w:r>
          </w:p>
        </w:tc>
        <w:tc>
          <w:tcPr>
            <w:tcW w:w="1701" w:type="dxa"/>
          </w:tcPr>
          <w:p w14:paraId="6FB1BCEF" w14:textId="77777777" w:rsidR="003138BD" w:rsidRPr="00E97E4D" w:rsidRDefault="003138BD" w:rsidP="00D74C6D">
            <w:pPr>
              <w:spacing w:before="0" w:after="0"/>
              <w:jc w:val="center"/>
              <w:rPr>
                <w:rFonts w:eastAsia="Times New Roman"/>
                <w:b/>
                <w:bCs/>
                <w:szCs w:val="20"/>
              </w:rPr>
            </w:pPr>
            <w:r w:rsidRPr="00E97E4D">
              <w:rPr>
                <w:b/>
                <w:bCs/>
              </w:rPr>
              <w:t>1</w:t>
            </w:r>
            <w:r>
              <w:rPr>
                <w:b/>
                <w:bCs/>
              </w:rPr>
              <w:t>2</w:t>
            </w:r>
            <w:r w:rsidRPr="00E97E4D">
              <w:rPr>
                <w:b/>
                <w:bCs/>
              </w:rPr>
              <w:t>0</w:t>
            </w:r>
          </w:p>
        </w:tc>
      </w:tr>
      <w:tr w:rsidR="003138BD" w:rsidRPr="00083624" w14:paraId="7FFEFDB3" w14:textId="77777777" w:rsidTr="00D74C6D">
        <w:tc>
          <w:tcPr>
            <w:tcW w:w="2410" w:type="dxa"/>
          </w:tcPr>
          <w:p w14:paraId="66DE0D36" w14:textId="77777777" w:rsidR="003138BD" w:rsidRPr="00B052DE" w:rsidRDefault="003138BD" w:rsidP="00D74C6D">
            <w:pPr>
              <w:spacing w:before="0" w:after="0"/>
              <w:rPr>
                <w:rFonts w:eastAsia="Times New Roman"/>
                <w:szCs w:val="20"/>
              </w:rPr>
            </w:pPr>
            <w:r w:rsidRPr="009119C7">
              <w:rPr>
                <w:rFonts w:eastAsia="Times New Roman"/>
                <w:szCs w:val="20"/>
              </w:rPr>
              <w:t>1</w:t>
            </w:r>
            <w:r>
              <w:rPr>
                <w:rFonts w:eastAsia="Times New Roman"/>
                <w:szCs w:val="20"/>
              </w:rPr>
              <w:t>4</w:t>
            </w:r>
            <w:r w:rsidRPr="009119C7">
              <w:rPr>
                <w:rFonts w:eastAsia="Times New Roman"/>
                <w:szCs w:val="20"/>
              </w:rPr>
              <w:t xml:space="preserve"> to under 18 years</w:t>
            </w:r>
          </w:p>
        </w:tc>
        <w:tc>
          <w:tcPr>
            <w:tcW w:w="1134" w:type="dxa"/>
          </w:tcPr>
          <w:p w14:paraId="6FADACA0" w14:textId="77777777" w:rsidR="003138BD" w:rsidRPr="00B052DE" w:rsidRDefault="003138BD" w:rsidP="00D74C6D">
            <w:pPr>
              <w:spacing w:before="0" w:after="0"/>
              <w:jc w:val="center"/>
              <w:rPr>
                <w:rFonts w:eastAsia="Times New Roman"/>
                <w:szCs w:val="20"/>
              </w:rPr>
            </w:pPr>
            <w:r>
              <w:rPr>
                <w:rFonts w:eastAsia="Times New Roman"/>
                <w:szCs w:val="20"/>
              </w:rPr>
              <w:t>95</w:t>
            </w:r>
          </w:p>
        </w:tc>
        <w:tc>
          <w:tcPr>
            <w:tcW w:w="1701" w:type="dxa"/>
          </w:tcPr>
          <w:p w14:paraId="74C4786C" w14:textId="77777777" w:rsidR="003138BD" w:rsidRPr="00B052DE" w:rsidRDefault="003138BD" w:rsidP="00D74C6D">
            <w:pPr>
              <w:spacing w:before="0" w:after="0"/>
              <w:jc w:val="center"/>
              <w:rPr>
                <w:rFonts w:eastAsia="Times New Roman"/>
                <w:szCs w:val="20"/>
              </w:rPr>
            </w:pPr>
            <w:r>
              <w:rPr>
                <w:rFonts w:eastAsia="Times New Roman"/>
                <w:szCs w:val="20"/>
              </w:rPr>
              <w:t>20%</w:t>
            </w:r>
          </w:p>
        </w:tc>
        <w:tc>
          <w:tcPr>
            <w:tcW w:w="1418" w:type="dxa"/>
          </w:tcPr>
          <w:p w14:paraId="304CC2A4" w14:textId="77777777" w:rsidR="003138BD" w:rsidRPr="00B052DE" w:rsidRDefault="003138BD" w:rsidP="00D74C6D">
            <w:pPr>
              <w:spacing w:before="0" w:after="0"/>
              <w:jc w:val="center"/>
              <w:rPr>
                <w:rFonts w:eastAsia="Times New Roman"/>
                <w:szCs w:val="20"/>
              </w:rPr>
            </w:pPr>
            <w:r>
              <w:rPr>
                <w:rFonts w:eastAsia="Times New Roman"/>
                <w:szCs w:val="20"/>
              </w:rPr>
              <w:t>133</w:t>
            </w:r>
          </w:p>
        </w:tc>
        <w:tc>
          <w:tcPr>
            <w:tcW w:w="1417" w:type="dxa"/>
          </w:tcPr>
          <w:p w14:paraId="0BD3EDB7" w14:textId="77777777" w:rsidR="003138BD" w:rsidRPr="00B052DE" w:rsidRDefault="003138BD" w:rsidP="00D74C6D">
            <w:pPr>
              <w:spacing w:before="0" w:after="0"/>
              <w:jc w:val="center"/>
              <w:rPr>
                <w:rFonts w:eastAsia="Times New Roman"/>
                <w:szCs w:val="20"/>
              </w:rPr>
            </w:pPr>
            <w:r>
              <w:rPr>
                <w:rFonts w:eastAsia="Times New Roman"/>
                <w:szCs w:val="20"/>
              </w:rPr>
              <w:t>17</w:t>
            </w:r>
          </w:p>
        </w:tc>
        <w:tc>
          <w:tcPr>
            <w:tcW w:w="1701" w:type="dxa"/>
          </w:tcPr>
          <w:p w14:paraId="5C533AAE" w14:textId="77777777" w:rsidR="003138BD" w:rsidRPr="00E97E4D" w:rsidRDefault="003138BD" w:rsidP="00D74C6D">
            <w:pPr>
              <w:spacing w:before="0" w:after="0"/>
              <w:jc w:val="center"/>
              <w:rPr>
                <w:rFonts w:eastAsia="Times New Roman"/>
                <w:b/>
                <w:bCs/>
                <w:szCs w:val="20"/>
              </w:rPr>
            </w:pPr>
            <w:r w:rsidRPr="00E97E4D">
              <w:rPr>
                <w:b/>
                <w:bCs/>
              </w:rPr>
              <w:t>1</w:t>
            </w:r>
            <w:r>
              <w:rPr>
                <w:b/>
                <w:bCs/>
              </w:rPr>
              <w:t>5</w:t>
            </w:r>
            <w:r w:rsidRPr="00E97E4D">
              <w:rPr>
                <w:b/>
                <w:bCs/>
              </w:rPr>
              <w:t>0</w:t>
            </w:r>
          </w:p>
        </w:tc>
      </w:tr>
      <w:tr w:rsidR="003138BD" w:rsidRPr="00083624" w14:paraId="6216F50C" w14:textId="77777777" w:rsidTr="00D74C6D">
        <w:tc>
          <w:tcPr>
            <w:tcW w:w="9781" w:type="dxa"/>
            <w:gridSpan w:val="6"/>
            <w:shd w:val="clear" w:color="auto" w:fill="005F85" w:themeFill="accent2"/>
          </w:tcPr>
          <w:p w14:paraId="7457A9B8" w14:textId="77777777" w:rsidR="003138BD" w:rsidRPr="00E97E4D" w:rsidRDefault="003138BD" w:rsidP="00D74C6D">
            <w:pPr>
              <w:spacing w:before="0" w:after="0"/>
              <w:rPr>
                <w:b/>
                <w:bCs/>
              </w:rPr>
            </w:pPr>
            <w:r>
              <w:rPr>
                <w:rFonts w:eastAsia="Times New Roman"/>
                <w:b/>
                <w:bCs/>
                <w:color w:val="FFFFFF" w:themeColor="background1"/>
                <w:szCs w:val="20"/>
              </w:rPr>
              <w:t>Age (grouped by school-age):</w:t>
            </w:r>
          </w:p>
        </w:tc>
      </w:tr>
      <w:tr w:rsidR="003138BD" w:rsidRPr="00083624" w14:paraId="2EFFF59F" w14:textId="77777777" w:rsidTr="00D74C6D">
        <w:tc>
          <w:tcPr>
            <w:tcW w:w="2410" w:type="dxa"/>
          </w:tcPr>
          <w:p w14:paraId="25C3BB48" w14:textId="77777777" w:rsidR="003138BD" w:rsidRPr="00B052DE" w:rsidRDefault="003138BD" w:rsidP="00D74C6D">
            <w:pPr>
              <w:spacing w:before="0" w:after="0"/>
              <w:rPr>
                <w:rFonts w:eastAsia="Times New Roman"/>
                <w:szCs w:val="20"/>
              </w:rPr>
            </w:pPr>
            <w:r w:rsidRPr="009119C7">
              <w:rPr>
                <w:rFonts w:eastAsia="Times New Roman"/>
                <w:szCs w:val="20"/>
              </w:rPr>
              <w:t>1</w:t>
            </w:r>
            <w:r>
              <w:rPr>
                <w:rFonts w:eastAsia="Times New Roman"/>
                <w:szCs w:val="20"/>
              </w:rPr>
              <w:t>2</w:t>
            </w:r>
            <w:r w:rsidRPr="009119C7">
              <w:rPr>
                <w:rFonts w:eastAsia="Times New Roman"/>
                <w:szCs w:val="20"/>
              </w:rPr>
              <w:t xml:space="preserve"> to under 24 months</w:t>
            </w:r>
          </w:p>
        </w:tc>
        <w:tc>
          <w:tcPr>
            <w:tcW w:w="1134" w:type="dxa"/>
          </w:tcPr>
          <w:p w14:paraId="60F47E8A" w14:textId="77777777" w:rsidR="003138BD" w:rsidRPr="00B052DE" w:rsidRDefault="003138BD" w:rsidP="00D74C6D">
            <w:pPr>
              <w:spacing w:before="0" w:after="0"/>
              <w:jc w:val="center"/>
              <w:rPr>
                <w:rFonts w:eastAsia="Times New Roman"/>
                <w:szCs w:val="20"/>
              </w:rPr>
            </w:pPr>
            <w:r>
              <w:rPr>
                <w:rFonts w:eastAsia="Times New Roman"/>
                <w:szCs w:val="20"/>
              </w:rPr>
              <w:t>65</w:t>
            </w:r>
          </w:p>
        </w:tc>
        <w:tc>
          <w:tcPr>
            <w:tcW w:w="1701" w:type="dxa"/>
          </w:tcPr>
          <w:p w14:paraId="1EA7559E" w14:textId="77777777" w:rsidR="003138BD" w:rsidRPr="00B052DE" w:rsidRDefault="003138BD" w:rsidP="00D74C6D">
            <w:pPr>
              <w:spacing w:before="0" w:after="0"/>
              <w:jc w:val="center"/>
              <w:rPr>
                <w:rFonts w:eastAsia="Times New Roman"/>
                <w:szCs w:val="20"/>
              </w:rPr>
            </w:pPr>
            <w:r>
              <w:rPr>
                <w:rFonts w:eastAsia="Times New Roman"/>
                <w:szCs w:val="20"/>
              </w:rPr>
              <w:t>20%</w:t>
            </w:r>
          </w:p>
        </w:tc>
        <w:tc>
          <w:tcPr>
            <w:tcW w:w="1418" w:type="dxa"/>
          </w:tcPr>
          <w:p w14:paraId="148C4DF1" w14:textId="77777777" w:rsidR="003138BD" w:rsidRPr="00B052DE" w:rsidRDefault="003138BD" w:rsidP="00D74C6D">
            <w:pPr>
              <w:spacing w:before="0" w:after="0"/>
              <w:jc w:val="center"/>
              <w:rPr>
                <w:rFonts w:eastAsia="Times New Roman"/>
                <w:szCs w:val="20"/>
              </w:rPr>
            </w:pPr>
            <w:r>
              <w:rPr>
                <w:rFonts w:eastAsia="Times New Roman"/>
                <w:szCs w:val="20"/>
              </w:rPr>
              <w:t>91</w:t>
            </w:r>
          </w:p>
        </w:tc>
        <w:tc>
          <w:tcPr>
            <w:tcW w:w="1417" w:type="dxa"/>
          </w:tcPr>
          <w:p w14:paraId="6596CB39" w14:textId="77777777" w:rsidR="003138BD" w:rsidRPr="00B052DE" w:rsidRDefault="003138BD" w:rsidP="00D74C6D">
            <w:pPr>
              <w:spacing w:before="0" w:after="0"/>
              <w:jc w:val="center"/>
              <w:rPr>
                <w:rFonts w:eastAsia="Times New Roman"/>
                <w:szCs w:val="20"/>
              </w:rPr>
            </w:pPr>
            <w:r>
              <w:rPr>
                <w:rFonts w:eastAsia="Times New Roman"/>
                <w:szCs w:val="20"/>
              </w:rPr>
              <w:t>-1</w:t>
            </w:r>
          </w:p>
        </w:tc>
        <w:tc>
          <w:tcPr>
            <w:tcW w:w="1701" w:type="dxa"/>
          </w:tcPr>
          <w:p w14:paraId="64FF3E25" w14:textId="77777777" w:rsidR="003138BD" w:rsidRPr="00E97E4D" w:rsidRDefault="003138BD" w:rsidP="00D74C6D">
            <w:pPr>
              <w:spacing w:before="0" w:after="0"/>
              <w:jc w:val="center"/>
              <w:rPr>
                <w:rFonts w:eastAsia="Times New Roman"/>
                <w:b/>
                <w:bCs/>
                <w:szCs w:val="20"/>
              </w:rPr>
            </w:pPr>
            <w:r w:rsidRPr="00E97E4D">
              <w:rPr>
                <w:b/>
                <w:bCs/>
              </w:rPr>
              <w:t>90</w:t>
            </w:r>
          </w:p>
        </w:tc>
      </w:tr>
      <w:tr w:rsidR="003138BD" w:rsidRPr="00083624" w14:paraId="50FCE9B3" w14:textId="77777777" w:rsidTr="00D74C6D">
        <w:tc>
          <w:tcPr>
            <w:tcW w:w="2410" w:type="dxa"/>
          </w:tcPr>
          <w:p w14:paraId="2C7EA8FC" w14:textId="77777777" w:rsidR="003138BD" w:rsidRPr="00B052DE" w:rsidRDefault="003138BD" w:rsidP="00D74C6D">
            <w:pPr>
              <w:spacing w:before="0" w:after="0"/>
              <w:rPr>
                <w:rFonts w:eastAsia="Times New Roman"/>
                <w:szCs w:val="20"/>
              </w:rPr>
            </w:pPr>
            <w:r w:rsidRPr="009119C7">
              <w:rPr>
                <w:rFonts w:eastAsia="Times New Roman"/>
                <w:szCs w:val="20"/>
              </w:rPr>
              <w:t>2 to under 5 years</w:t>
            </w:r>
          </w:p>
        </w:tc>
        <w:tc>
          <w:tcPr>
            <w:tcW w:w="1134" w:type="dxa"/>
          </w:tcPr>
          <w:p w14:paraId="12258552" w14:textId="77777777" w:rsidR="003138BD" w:rsidRPr="00B052DE" w:rsidRDefault="003138BD" w:rsidP="00D74C6D">
            <w:pPr>
              <w:spacing w:before="0" w:after="0"/>
              <w:jc w:val="center"/>
              <w:rPr>
                <w:rFonts w:eastAsia="Times New Roman"/>
                <w:szCs w:val="20"/>
              </w:rPr>
            </w:pPr>
            <w:r>
              <w:rPr>
                <w:rFonts w:eastAsia="Times New Roman"/>
                <w:szCs w:val="20"/>
              </w:rPr>
              <w:t>65</w:t>
            </w:r>
          </w:p>
        </w:tc>
        <w:tc>
          <w:tcPr>
            <w:tcW w:w="1701" w:type="dxa"/>
          </w:tcPr>
          <w:p w14:paraId="44784FFD" w14:textId="77777777" w:rsidR="003138BD" w:rsidRPr="00B052DE" w:rsidRDefault="003138BD" w:rsidP="00D74C6D">
            <w:pPr>
              <w:spacing w:before="0" w:after="0"/>
              <w:jc w:val="center"/>
              <w:rPr>
                <w:rFonts w:eastAsia="Times New Roman"/>
                <w:szCs w:val="20"/>
              </w:rPr>
            </w:pPr>
            <w:r>
              <w:rPr>
                <w:rFonts w:eastAsia="Times New Roman"/>
                <w:szCs w:val="20"/>
              </w:rPr>
              <w:t>20%</w:t>
            </w:r>
          </w:p>
        </w:tc>
        <w:tc>
          <w:tcPr>
            <w:tcW w:w="1418" w:type="dxa"/>
          </w:tcPr>
          <w:p w14:paraId="56A17566" w14:textId="77777777" w:rsidR="003138BD" w:rsidRPr="00B052DE" w:rsidRDefault="003138BD" w:rsidP="00D74C6D">
            <w:pPr>
              <w:spacing w:before="0" w:after="0"/>
              <w:jc w:val="center"/>
              <w:rPr>
                <w:rFonts w:eastAsia="Times New Roman"/>
                <w:szCs w:val="20"/>
              </w:rPr>
            </w:pPr>
            <w:r>
              <w:rPr>
                <w:rFonts w:eastAsia="Times New Roman"/>
                <w:szCs w:val="20"/>
              </w:rPr>
              <w:t>91</w:t>
            </w:r>
          </w:p>
        </w:tc>
        <w:tc>
          <w:tcPr>
            <w:tcW w:w="1417" w:type="dxa"/>
          </w:tcPr>
          <w:p w14:paraId="0B21B7C1" w14:textId="77777777" w:rsidR="003138BD" w:rsidRPr="00B052DE" w:rsidRDefault="003138BD" w:rsidP="00D74C6D">
            <w:pPr>
              <w:spacing w:before="0" w:after="0"/>
              <w:jc w:val="center"/>
              <w:rPr>
                <w:rFonts w:eastAsia="Times New Roman"/>
                <w:szCs w:val="20"/>
              </w:rPr>
            </w:pPr>
            <w:r>
              <w:rPr>
                <w:rFonts w:eastAsia="Times New Roman"/>
                <w:szCs w:val="20"/>
              </w:rPr>
              <w:t>-1</w:t>
            </w:r>
          </w:p>
        </w:tc>
        <w:tc>
          <w:tcPr>
            <w:tcW w:w="1701" w:type="dxa"/>
          </w:tcPr>
          <w:p w14:paraId="27931798" w14:textId="77777777" w:rsidR="003138BD" w:rsidRPr="00E97E4D" w:rsidRDefault="003138BD" w:rsidP="00D74C6D">
            <w:pPr>
              <w:spacing w:before="0" w:after="0"/>
              <w:jc w:val="center"/>
              <w:rPr>
                <w:rFonts w:eastAsia="Times New Roman"/>
                <w:b/>
                <w:bCs/>
                <w:szCs w:val="20"/>
              </w:rPr>
            </w:pPr>
            <w:r w:rsidRPr="00E97E4D">
              <w:rPr>
                <w:b/>
                <w:bCs/>
              </w:rPr>
              <w:t>90</w:t>
            </w:r>
          </w:p>
        </w:tc>
      </w:tr>
      <w:tr w:rsidR="003138BD" w:rsidRPr="00083624" w14:paraId="28F8FD7A" w14:textId="77777777" w:rsidTr="00D74C6D">
        <w:tc>
          <w:tcPr>
            <w:tcW w:w="2410" w:type="dxa"/>
          </w:tcPr>
          <w:p w14:paraId="119E5CCF" w14:textId="77777777" w:rsidR="003138BD" w:rsidRPr="00B052DE" w:rsidRDefault="003138BD" w:rsidP="00D74C6D">
            <w:pPr>
              <w:spacing w:before="0" w:after="0"/>
              <w:rPr>
                <w:rFonts w:eastAsia="Times New Roman"/>
                <w:szCs w:val="20"/>
              </w:rPr>
            </w:pPr>
            <w:r w:rsidRPr="009119C7">
              <w:rPr>
                <w:rFonts w:eastAsia="Times New Roman"/>
                <w:szCs w:val="20"/>
              </w:rPr>
              <w:t>5 to under 12 years</w:t>
            </w:r>
          </w:p>
        </w:tc>
        <w:tc>
          <w:tcPr>
            <w:tcW w:w="1134" w:type="dxa"/>
          </w:tcPr>
          <w:p w14:paraId="035B3071" w14:textId="77777777" w:rsidR="003138BD" w:rsidRPr="00B052DE" w:rsidRDefault="003138BD" w:rsidP="00D74C6D">
            <w:pPr>
              <w:spacing w:before="0" w:after="0"/>
              <w:jc w:val="center"/>
              <w:rPr>
                <w:rFonts w:eastAsia="Times New Roman"/>
                <w:szCs w:val="20"/>
              </w:rPr>
            </w:pPr>
            <w:r>
              <w:rPr>
                <w:rFonts w:eastAsia="Times New Roman"/>
                <w:szCs w:val="20"/>
              </w:rPr>
              <w:t>70</w:t>
            </w:r>
          </w:p>
        </w:tc>
        <w:tc>
          <w:tcPr>
            <w:tcW w:w="1701" w:type="dxa"/>
          </w:tcPr>
          <w:p w14:paraId="5C5E1E37" w14:textId="77777777" w:rsidR="003138BD" w:rsidRPr="00B052DE" w:rsidRDefault="003138BD" w:rsidP="00D74C6D">
            <w:pPr>
              <w:spacing w:before="0" w:after="0"/>
              <w:jc w:val="center"/>
              <w:rPr>
                <w:rFonts w:eastAsia="Times New Roman"/>
                <w:szCs w:val="20"/>
              </w:rPr>
            </w:pPr>
            <w:r>
              <w:rPr>
                <w:rFonts w:eastAsia="Times New Roman"/>
                <w:szCs w:val="20"/>
              </w:rPr>
              <w:t>20%</w:t>
            </w:r>
          </w:p>
        </w:tc>
        <w:tc>
          <w:tcPr>
            <w:tcW w:w="1418" w:type="dxa"/>
          </w:tcPr>
          <w:p w14:paraId="21BA028B" w14:textId="77777777" w:rsidR="003138BD" w:rsidRPr="00B052DE" w:rsidRDefault="003138BD" w:rsidP="00D74C6D">
            <w:pPr>
              <w:spacing w:before="0" w:after="0"/>
              <w:jc w:val="center"/>
              <w:rPr>
                <w:rFonts w:eastAsia="Times New Roman"/>
                <w:szCs w:val="20"/>
              </w:rPr>
            </w:pPr>
            <w:r>
              <w:rPr>
                <w:rFonts w:eastAsia="Times New Roman"/>
                <w:szCs w:val="20"/>
              </w:rPr>
              <w:t>98</w:t>
            </w:r>
          </w:p>
        </w:tc>
        <w:tc>
          <w:tcPr>
            <w:tcW w:w="1417" w:type="dxa"/>
          </w:tcPr>
          <w:p w14:paraId="78004ACF" w14:textId="77777777" w:rsidR="003138BD" w:rsidRPr="00B052DE" w:rsidRDefault="003138BD" w:rsidP="00D74C6D">
            <w:pPr>
              <w:spacing w:before="0" w:after="0"/>
              <w:jc w:val="center"/>
              <w:rPr>
                <w:rFonts w:eastAsia="Times New Roman"/>
                <w:szCs w:val="20"/>
              </w:rPr>
            </w:pPr>
            <w:r>
              <w:rPr>
                <w:rFonts w:eastAsia="Times New Roman"/>
                <w:szCs w:val="20"/>
              </w:rPr>
              <w:t>12</w:t>
            </w:r>
          </w:p>
        </w:tc>
        <w:tc>
          <w:tcPr>
            <w:tcW w:w="1701" w:type="dxa"/>
          </w:tcPr>
          <w:p w14:paraId="3E42EFDE" w14:textId="77777777" w:rsidR="003138BD" w:rsidRPr="00E97E4D" w:rsidRDefault="003138BD" w:rsidP="00D74C6D">
            <w:pPr>
              <w:spacing w:before="0" w:after="0"/>
              <w:jc w:val="center"/>
              <w:rPr>
                <w:rFonts w:eastAsia="Times New Roman"/>
                <w:b/>
                <w:bCs/>
                <w:szCs w:val="20"/>
              </w:rPr>
            </w:pPr>
            <w:r w:rsidRPr="00E97E4D">
              <w:rPr>
                <w:b/>
                <w:bCs/>
              </w:rPr>
              <w:t>110</w:t>
            </w:r>
          </w:p>
        </w:tc>
      </w:tr>
      <w:tr w:rsidR="003138BD" w:rsidRPr="00083624" w14:paraId="3CCE7ABA" w14:textId="77777777" w:rsidTr="00D74C6D">
        <w:tc>
          <w:tcPr>
            <w:tcW w:w="2410" w:type="dxa"/>
          </w:tcPr>
          <w:p w14:paraId="73210563" w14:textId="77777777" w:rsidR="003138BD" w:rsidRPr="00B052DE" w:rsidRDefault="003138BD" w:rsidP="00D74C6D">
            <w:pPr>
              <w:spacing w:before="0" w:after="0"/>
              <w:rPr>
                <w:rFonts w:eastAsia="Times New Roman"/>
                <w:szCs w:val="20"/>
              </w:rPr>
            </w:pPr>
            <w:r w:rsidRPr="009119C7">
              <w:rPr>
                <w:rFonts w:eastAsia="Times New Roman"/>
                <w:szCs w:val="20"/>
              </w:rPr>
              <w:t>12 to under 18 years</w:t>
            </w:r>
          </w:p>
        </w:tc>
        <w:tc>
          <w:tcPr>
            <w:tcW w:w="1134" w:type="dxa"/>
          </w:tcPr>
          <w:p w14:paraId="54D89F86" w14:textId="77777777" w:rsidR="003138BD" w:rsidRPr="00B052DE" w:rsidRDefault="003138BD" w:rsidP="00D74C6D">
            <w:pPr>
              <w:spacing w:before="0" w:after="0"/>
              <w:jc w:val="center"/>
              <w:rPr>
                <w:rFonts w:eastAsia="Times New Roman"/>
                <w:szCs w:val="20"/>
              </w:rPr>
            </w:pPr>
            <w:r>
              <w:rPr>
                <w:rFonts w:eastAsia="Times New Roman"/>
                <w:szCs w:val="20"/>
              </w:rPr>
              <w:t>90</w:t>
            </w:r>
          </w:p>
        </w:tc>
        <w:tc>
          <w:tcPr>
            <w:tcW w:w="1701" w:type="dxa"/>
          </w:tcPr>
          <w:p w14:paraId="156CBB90" w14:textId="77777777" w:rsidR="003138BD" w:rsidRPr="00B052DE" w:rsidRDefault="003138BD" w:rsidP="00D74C6D">
            <w:pPr>
              <w:spacing w:before="0" w:after="0"/>
              <w:jc w:val="center"/>
              <w:rPr>
                <w:rFonts w:eastAsia="Times New Roman"/>
                <w:szCs w:val="20"/>
              </w:rPr>
            </w:pPr>
            <w:r>
              <w:rPr>
                <w:rFonts w:eastAsia="Times New Roman"/>
                <w:szCs w:val="20"/>
              </w:rPr>
              <w:t>20%</w:t>
            </w:r>
          </w:p>
        </w:tc>
        <w:tc>
          <w:tcPr>
            <w:tcW w:w="1418" w:type="dxa"/>
          </w:tcPr>
          <w:p w14:paraId="07643BAA" w14:textId="77777777" w:rsidR="003138BD" w:rsidRPr="00B052DE" w:rsidRDefault="003138BD" w:rsidP="00D74C6D">
            <w:pPr>
              <w:spacing w:before="0" w:after="0"/>
              <w:jc w:val="center"/>
              <w:rPr>
                <w:rFonts w:eastAsia="Times New Roman"/>
                <w:szCs w:val="20"/>
              </w:rPr>
            </w:pPr>
            <w:r>
              <w:rPr>
                <w:rFonts w:eastAsia="Times New Roman"/>
                <w:szCs w:val="20"/>
              </w:rPr>
              <w:t>126</w:t>
            </w:r>
          </w:p>
        </w:tc>
        <w:tc>
          <w:tcPr>
            <w:tcW w:w="1417" w:type="dxa"/>
          </w:tcPr>
          <w:p w14:paraId="2B518CA6" w14:textId="77777777" w:rsidR="003138BD" w:rsidRPr="00B052DE" w:rsidRDefault="003138BD" w:rsidP="00D74C6D">
            <w:pPr>
              <w:spacing w:before="0" w:after="0"/>
              <w:jc w:val="center"/>
              <w:rPr>
                <w:rFonts w:eastAsia="Times New Roman"/>
                <w:szCs w:val="20"/>
              </w:rPr>
            </w:pPr>
            <w:r>
              <w:rPr>
                <w:rFonts w:eastAsia="Times New Roman"/>
                <w:szCs w:val="20"/>
              </w:rPr>
              <w:t>14</w:t>
            </w:r>
          </w:p>
        </w:tc>
        <w:tc>
          <w:tcPr>
            <w:tcW w:w="1701" w:type="dxa"/>
          </w:tcPr>
          <w:p w14:paraId="728D965E" w14:textId="77777777" w:rsidR="003138BD" w:rsidRPr="00E97E4D" w:rsidRDefault="003138BD" w:rsidP="00D74C6D">
            <w:pPr>
              <w:spacing w:before="0" w:after="0"/>
              <w:jc w:val="center"/>
              <w:rPr>
                <w:rFonts w:eastAsia="Times New Roman"/>
                <w:b/>
                <w:bCs/>
                <w:szCs w:val="20"/>
              </w:rPr>
            </w:pPr>
            <w:r w:rsidRPr="00E97E4D">
              <w:rPr>
                <w:b/>
                <w:bCs/>
              </w:rPr>
              <w:t>140</w:t>
            </w:r>
          </w:p>
        </w:tc>
      </w:tr>
    </w:tbl>
    <w:p w14:paraId="5846FEAC" w14:textId="77777777" w:rsidR="003138BD" w:rsidRDefault="003138BD" w:rsidP="003138BD">
      <w:pPr>
        <w:spacing w:after="0" w:line="240" w:lineRule="atLeast"/>
        <w:rPr>
          <w:rFonts w:asciiTheme="majorHAnsi" w:eastAsiaTheme="majorEastAsia" w:hAnsiTheme="majorHAnsi" w:cstheme="majorBidi"/>
          <w:color w:val="379AC4" w:themeColor="accent1" w:themeShade="BF"/>
          <w:sz w:val="32"/>
          <w:szCs w:val="32"/>
        </w:rPr>
      </w:pPr>
      <w:r w:rsidRPr="00E97E4D">
        <w:rPr>
          <w:rFonts w:eastAsia="Times New Roman" w:cs="Arial"/>
          <w:iCs/>
          <w:color w:val="000000"/>
          <w:szCs w:val="20"/>
        </w:rPr>
        <w:t>This represents a change to methods for calculating the EAR and RDI for children and adolescents. However, the EAR and RDI recommendations are not materially changed, beyond the adjustments required to align with new age groupings.</w:t>
      </w:r>
      <w:r>
        <w:br w:type="page"/>
      </w:r>
    </w:p>
    <w:p w14:paraId="36A4E2CD" w14:textId="77777777" w:rsidR="003138BD" w:rsidRDefault="003138BD" w:rsidP="00D74C6D">
      <w:pPr>
        <w:pStyle w:val="Heading3"/>
      </w:pPr>
      <w:bookmarkStart w:id="128" w:name="_Toc210406388"/>
      <w:bookmarkStart w:id="129" w:name="_Toc212567887"/>
      <w:r>
        <w:lastRenderedPageBreak/>
        <w:t>Upper Level (UL)</w:t>
      </w:r>
      <w:bookmarkEnd w:id="128"/>
      <w:bookmarkEnd w:id="129"/>
    </w:p>
    <w:p w14:paraId="6E9DB5E6" w14:textId="77777777" w:rsidR="003138BD" w:rsidRDefault="003138BD" w:rsidP="003138BD">
      <w:r>
        <w:rPr>
          <w:rFonts w:eastAsia="Times New Roman"/>
          <w:szCs w:val="20"/>
        </w:rPr>
        <w:t xml:space="preserve">There is a lack of sensitive end points for establishing upper levels for iodine, with the relationship between iodine intake and adverse health outcomes either not well </w:t>
      </w:r>
      <w:r w:rsidRPr="009A65B3">
        <w:rPr>
          <w:rFonts w:eastAsia="Times New Roman"/>
          <w:szCs w:val="20"/>
        </w:rPr>
        <w:t xml:space="preserve">characterised, or insufficiently sensitive or reliable to inform establishment of an NRV. </w:t>
      </w:r>
      <w:r>
        <w:rPr>
          <w:rFonts w:eastAsia="Times New Roman"/>
          <w:szCs w:val="20"/>
        </w:rPr>
        <w:t xml:space="preserve"> In the absence of more robust biomarkers, elevated TSH </w:t>
      </w:r>
      <w:r w:rsidRPr="00CB0253">
        <w:t xml:space="preserve">has previously been used </w:t>
      </w:r>
      <w:r>
        <w:t xml:space="preserve">to derive </w:t>
      </w:r>
      <w:proofErr w:type="gramStart"/>
      <w:r>
        <w:t>Upper Level</w:t>
      </w:r>
      <w:proofErr w:type="gramEnd"/>
      <w:r>
        <w:t xml:space="preserve"> recommendations, as an early biomarker of thyroid dysfunction. </w:t>
      </w:r>
    </w:p>
    <w:p w14:paraId="33583A2F" w14:textId="77777777" w:rsidR="003138BD" w:rsidRDefault="003138BD" w:rsidP="00D74C6D">
      <w:pPr>
        <w:pStyle w:val="Heading4"/>
      </w:pPr>
      <w:bookmarkStart w:id="130" w:name="_Toc210406389"/>
      <w:bookmarkStart w:id="131" w:name="_Toc212567888"/>
      <w:r>
        <w:t>Adults</w:t>
      </w:r>
      <w:bookmarkEnd w:id="130"/>
      <w:bookmarkEnd w:id="131"/>
    </w:p>
    <w:p w14:paraId="5ABCD9D7" w14:textId="77777777" w:rsidR="003138BD" w:rsidRDefault="003138BD" w:rsidP="003138BD">
      <w:pPr>
        <w:rPr>
          <w:rFonts w:eastAsia="Times New Roman"/>
          <w:szCs w:val="20"/>
        </w:rPr>
      </w:pPr>
      <w:r>
        <w:rPr>
          <w:rFonts w:eastAsia="Times New Roman"/>
          <w:szCs w:val="20"/>
        </w:rPr>
        <w:t xml:space="preserve">Although evidence suggests that the adult thyroid has significant capacity to adapt to high iodine intakes, some individuals may be particularly sensitive to excess iodine.  The UL should aim to protect almost all individuals within a population. Consequently, the UL for adults was established based on elevated TSH using data from Sang (2012) which explored the association between varying intakes of iodine and thyroid function, including elevated TSH. Elevated </w:t>
      </w:r>
      <w:r w:rsidRPr="00AC4519">
        <w:rPr>
          <w:rFonts w:eastAsia="Times New Roman"/>
          <w:szCs w:val="20"/>
        </w:rPr>
        <w:t>TSH</w:t>
      </w:r>
      <w:r>
        <w:rPr>
          <w:rFonts w:eastAsia="Times New Roman"/>
          <w:szCs w:val="20"/>
        </w:rPr>
        <w:t xml:space="preserve"> and increasing rates of subclinical hypothyroidism were observed </w:t>
      </w:r>
      <w:r w:rsidRPr="00AC4519">
        <w:rPr>
          <w:rFonts w:eastAsia="Times New Roman"/>
          <w:szCs w:val="20"/>
        </w:rPr>
        <w:t>with iodine intakes</w:t>
      </w:r>
      <w:r>
        <w:rPr>
          <w:rFonts w:eastAsia="Times New Roman"/>
          <w:szCs w:val="20"/>
        </w:rPr>
        <w:t xml:space="preserve"> of 869 µg/day or greater. Accordingly, 869 µg/day was selected as the LOAEL, as the inflexion point at which cases of subclinical hypothyroidism became significantly increased, and the upper bound of the 95% CI for TSH was elevated beyond 5.0 </w:t>
      </w:r>
      <w:proofErr w:type="spellStart"/>
      <w:r>
        <w:rPr>
          <w:rFonts w:eastAsia="Times New Roman"/>
          <w:szCs w:val="20"/>
        </w:rPr>
        <w:t>mU</w:t>
      </w:r>
      <w:proofErr w:type="spellEnd"/>
      <w:r>
        <w:rPr>
          <w:rFonts w:eastAsia="Times New Roman"/>
          <w:szCs w:val="20"/>
        </w:rPr>
        <w:t xml:space="preserve">/L (Sang et. al. 2012 reported a reference range of 0.3 - 5.0 </w:t>
      </w:r>
      <w:proofErr w:type="spellStart"/>
      <w:r>
        <w:rPr>
          <w:rFonts w:eastAsia="Times New Roman"/>
          <w:szCs w:val="20"/>
        </w:rPr>
        <w:t>mU</w:t>
      </w:r>
      <w:proofErr w:type="spellEnd"/>
      <w:r>
        <w:rPr>
          <w:rFonts w:eastAsia="Times New Roman"/>
          <w:szCs w:val="20"/>
        </w:rPr>
        <w:t xml:space="preserve">/L for the TSH assay used). </w:t>
      </w:r>
    </w:p>
    <w:p w14:paraId="19FDF2DC" w14:textId="77777777" w:rsidR="003138BD" w:rsidRDefault="003138BD" w:rsidP="003138BD">
      <w:pPr>
        <w:spacing w:after="0"/>
        <w:rPr>
          <w:rFonts w:eastAsia="Times New Roman"/>
          <w:szCs w:val="20"/>
        </w:rPr>
      </w:pPr>
      <w:r>
        <w:rPr>
          <w:rFonts w:eastAsia="Times New Roman"/>
          <w:szCs w:val="20"/>
        </w:rPr>
        <w:t>An Uncertainty Factor of 1.5 was applied, with consideration given to:</w:t>
      </w:r>
    </w:p>
    <w:p w14:paraId="3E5AAF06" w14:textId="77777777" w:rsidR="003138BD" w:rsidRDefault="003138BD" w:rsidP="003138BD">
      <w:pPr>
        <w:pStyle w:val="ListParagraph"/>
        <w:numPr>
          <w:ilvl w:val="0"/>
          <w:numId w:val="30"/>
        </w:numPr>
        <w:spacing w:before="0" w:after="0" w:line="259" w:lineRule="auto"/>
        <w:rPr>
          <w:rFonts w:eastAsia="Times New Roman"/>
          <w:szCs w:val="20"/>
        </w:rPr>
      </w:pPr>
      <w:r>
        <w:rPr>
          <w:rFonts w:eastAsia="Times New Roman"/>
          <w:szCs w:val="20"/>
        </w:rPr>
        <w:t>Substantial inter-individual variability in tolerance for high iodine intakes, noting that selection of the LOAEL can be expected to account for some level of individual variability</w:t>
      </w:r>
    </w:p>
    <w:p w14:paraId="37F94F7F" w14:textId="77777777" w:rsidR="003138BD" w:rsidRDefault="003138BD" w:rsidP="003138BD">
      <w:pPr>
        <w:pStyle w:val="ListParagraph"/>
        <w:numPr>
          <w:ilvl w:val="0"/>
          <w:numId w:val="30"/>
        </w:numPr>
        <w:spacing w:before="0" w:after="0" w:line="259" w:lineRule="auto"/>
        <w:rPr>
          <w:rFonts w:eastAsia="Times New Roman"/>
          <w:szCs w:val="20"/>
        </w:rPr>
      </w:pPr>
      <w:r>
        <w:rPr>
          <w:rFonts w:eastAsia="Times New Roman"/>
          <w:szCs w:val="20"/>
        </w:rPr>
        <w:t>The use of a LOAEL rather than a NOAEL as a reference point</w:t>
      </w:r>
    </w:p>
    <w:p w14:paraId="726B9E90" w14:textId="77777777" w:rsidR="003138BD" w:rsidRDefault="003138BD" w:rsidP="003138BD">
      <w:pPr>
        <w:pStyle w:val="ListParagraph"/>
        <w:numPr>
          <w:ilvl w:val="0"/>
          <w:numId w:val="30"/>
        </w:numPr>
        <w:spacing w:before="0" w:after="160" w:line="259" w:lineRule="auto"/>
        <w:rPr>
          <w:rFonts w:eastAsia="Times New Roman"/>
          <w:szCs w:val="20"/>
        </w:rPr>
      </w:pPr>
      <w:r w:rsidRPr="00264873">
        <w:rPr>
          <w:rFonts w:eastAsia="Times New Roman"/>
          <w:szCs w:val="20"/>
        </w:rPr>
        <w:t xml:space="preserve">the mild and reversible nature of the </w:t>
      </w:r>
      <w:proofErr w:type="gramStart"/>
      <w:r w:rsidRPr="00264873">
        <w:rPr>
          <w:rFonts w:eastAsia="Times New Roman"/>
          <w:szCs w:val="20"/>
        </w:rPr>
        <w:t>end-point</w:t>
      </w:r>
      <w:proofErr w:type="gramEnd"/>
    </w:p>
    <w:p w14:paraId="25AEFBF1" w14:textId="77777777" w:rsidR="003138BD" w:rsidRPr="00015251" w:rsidRDefault="003138BD" w:rsidP="003138BD">
      <w:r>
        <w:rPr>
          <w:rFonts w:eastAsia="Times New Roman"/>
          <w:szCs w:val="20"/>
        </w:rPr>
        <w:t xml:space="preserve">This resulted in </w:t>
      </w:r>
      <w:r w:rsidRPr="00851AE1">
        <w:rPr>
          <w:rFonts w:eastAsia="Times New Roman"/>
          <w:szCs w:val="20"/>
        </w:rPr>
        <w:t xml:space="preserve">an estimated UL of </w:t>
      </w:r>
      <w:r w:rsidRPr="00264873">
        <w:rPr>
          <w:rFonts w:eastAsia="Times New Roman"/>
          <w:szCs w:val="20"/>
        </w:rPr>
        <w:t>579.3</w:t>
      </w:r>
      <w:r>
        <w:rPr>
          <w:rFonts w:eastAsia="Times New Roman"/>
          <w:szCs w:val="20"/>
        </w:rPr>
        <w:t xml:space="preserve"> µg/day, which was </w:t>
      </w:r>
      <w:r w:rsidRPr="00851AE1">
        <w:rPr>
          <w:rFonts w:eastAsia="Times New Roman"/>
          <w:szCs w:val="20"/>
        </w:rPr>
        <w:t>rounded up to 600</w:t>
      </w:r>
      <w:r>
        <w:rPr>
          <w:rFonts w:eastAsia="Times New Roman"/>
          <w:szCs w:val="20"/>
        </w:rPr>
        <w:t xml:space="preserve"> µg/day</w:t>
      </w:r>
      <w:r w:rsidRPr="00851AE1">
        <w:rPr>
          <w:rFonts w:eastAsia="Times New Roman"/>
          <w:szCs w:val="20"/>
        </w:rPr>
        <w:t>.</w:t>
      </w:r>
    </w:p>
    <w:p w14:paraId="45040951" w14:textId="77777777" w:rsidR="003138BD" w:rsidRDefault="003138BD" w:rsidP="00D74C6D">
      <w:pPr>
        <w:pStyle w:val="Heading4"/>
      </w:pPr>
      <w:bookmarkStart w:id="132" w:name="_Toc210406390"/>
      <w:bookmarkStart w:id="133" w:name="_Toc212567889"/>
      <w:r>
        <w:t>Pregnancy</w:t>
      </w:r>
      <w:bookmarkEnd w:id="132"/>
      <w:bookmarkEnd w:id="133"/>
    </w:p>
    <w:p w14:paraId="46E64E2E" w14:textId="77777777" w:rsidR="003138BD" w:rsidRDefault="003138BD" w:rsidP="003138BD">
      <w:r>
        <w:t xml:space="preserve">The WHO defines UIC &gt; 500 ug/L during pregnancy as an “excess intake” (WHO, 2007). However, in this context the term excess refers to intakes that are “in </w:t>
      </w:r>
      <w:r w:rsidRPr="00A56421">
        <w:t>excess of the amount required to prevent and control iodine deficienc</w:t>
      </w:r>
      <w:r>
        <w:t xml:space="preserve">y”. Consequently, the 500 µg/L threshold should not be interpreted as describing a UL. </w:t>
      </w:r>
    </w:p>
    <w:p w14:paraId="0C5207D1" w14:textId="77777777" w:rsidR="003138BD" w:rsidRDefault="003138BD" w:rsidP="003138BD">
      <w:r>
        <w:t>There remains a dearth of good quality data on the effects of high intakes of iodine on maternal and child outcomes during pregnancy. Nevertheless, concerns have been raised about the effect of high iodine intakes during pregnancy and adverse effects on the foetus, due to the inability to escape from the Wolff-</w:t>
      </w:r>
      <w:proofErr w:type="spellStart"/>
      <w:r>
        <w:t>Chaikoff</w:t>
      </w:r>
      <w:proofErr w:type="spellEnd"/>
      <w:r>
        <w:t xml:space="preserve"> effect, which begins to develop around 36 weeks gestation, fully maturing during the early neonatal period. </w:t>
      </w:r>
    </w:p>
    <w:p w14:paraId="42028CE1" w14:textId="77777777" w:rsidR="003138BD" w:rsidRDefault="003138BD" w:rsidP="003138BD">
      <w:pPr>
        <w:rPr>
          <w:rFonts w:eastAsia="Times New Roman"/>
          <w:szCs w:val="20"/>
        </w:rPr>
      </w:pPr>
      <w:r w:rsidRPr="0066465F">
        <w:rPr>
          <w:rFonts w:eastAsia="Times New Roman"/>
          <w:szCs w:val="20"/>
        </w:rPr>
        <w:t>Data from cross-sectional studies suggest that intakes &gt;500</w:t>
      </w:r>
      <w:r>
        <w:rPr>
          <w:rFonts w:eastAsia="Times New Roman"/>
          <w:szCs w:val="20"/>
        </w:rPr>
        <w:t xml:space="preserve"> µg/day</w:t>
      </w:r>
      <w:r w:rsidRPr="0066465F">
        <w:rPr>
          <w:rFonts w:eastAsia="Times New Roman"/>
          <w:szCs w:val="20"/>
        </w:rPr>
        <w:t xml:space="preserve"> during pregnancy may be associated with maternal thyroid dysfunction (Wu et al 2023</w:t>
      </w:r>
      <w:r>
        <w:rPr>
          <w:rFonts w:eastAsia="Times New Roman"/>
          <w:szCs w:val="20"/>
        </w:rPr>
        <w:t>;</w:t>
      </w:r>
      <w:r w:rsidRPr="0066465F">
        <w:rPr>
          <w:rFonts w:eastAsia="Times New Roman"/>
          <w:szCs w:val="20"/>
        </w:rPr>
        <w:t xml:space="preserve"> </w:t>
      </w:r>
      <w:r>
        <w:rPr>
          <w:rFonts w:eastAsia="Times New Roman"/>
          <w:szCs w:val="20"/>
        </w:rPr>
        <w:t xml:space="preserve">Shi et al 2015; </w:t>
      </w:r>
      <w:r w:rsidRPr="0066465F">
        <w:rPr>
          <w:rFonts w:eastAsia="Times New Roman"/>
          <w:szCs w:val="20"/>
        </w:rPr>
        <w:t xml:space="preserve">Guo et al 2025). However, </w:t>
      </w:r>
      <w:r>
        <w:rPr>
          <w:rFonts w:eastAsia="Times New Roman"/>
          <w:szCs w:val="20"/>
        </w:rPr>
        <w:t xml:space="preserve">the evidence is not compelling, with a 2018 systematic review reporting </w:t>
      </w:r>
      <w:r w:rsidRPr="0066465F">
        <w:rPr>
          <w:rFonts w:eastAsia="Times New Roman"/>
          <w:szCs w:val="20"/>
        </w:rPr>
        <w:t xml:space="preserve">inconsistent </w:t>
      </w:r>
      <w:r>
        <w:rPr>
          <w:rFonts w:eastAsia="Times New Roman"/>
          <w:szCs w:val="20"/>
        </w:rPr>
        <w:t xml:space="preserve">findings </w:t>
      </w:r>
      <w:r w:rsidRPr="0066465F">
        <w:rPr>
          <w:rFonts w:eastAsia="Times New Roman"/>
          <w:szCs w:val="20"/>
        </w:rPr>
        <w:t>across studies (Kat</w:t>
      </w:r>
      <w:r>
        <w:rPr>
          <w:rFonts w:eastAsia="Times New Roman"/>
          <w:szCs w:val="20"/>
        </w:rPr>
        <w:t>a</w:t>
      </w:r>
      <w:r w:rsidRPr="0066465F">
        <w:rPr>
          <w:rFonts w:eastAsia="Times New Roman"/>
          <w:szCs w:val="20"/>
        </w:rPr>
        <w:t>giri 2018)</w:t>
      </w:r>
      <w:r>
        <w:rPr>
          <w:rFonts w:eastAsia="Times New Roman"/>
          <w:szCs w:val="20"/>
        </w:rPr>
        <w:t xml:space="preserve">. Concerns about imprecise estimation of intake based on urinary iodine during pregnancy and limited generalisability to the Australian and New Zealand nutritional context further limit certainty in the evidence. </w:t>
      </w:r>
    </w:p>
    <w:p w14:paraId="76E3772A" w14:textId="77777777" w:rsidR="003138BD" w:rsidRDefault="003138BD" w:rsidP="003138BD">
      <w:pPr>
        <w:rPr>
          <w:rFonts w:eastAsia="Times New Roman"/>
          <w:szCs w:val="20"/>
        </w:rPr>
      </w:pPr>
      <w:r>
        <w:rPr>
          <w:rFonts w:eastAsia="Times New Roman"/>
          <w:szCs w:val="20"/>
        </w:rPr>
        <w:t xml:space="preserve">In the absence of robust evidence for the effects of excess iodine intake during pregnancy, it is proposed that the adult UL of 600 µg/day be adopted. </w:t>
      </w:r>
    </w:p>
    <w:p w14:paraId="0F5F87E3" w14:textId="77777777" w:rsidR="003138BD" w:rsidRPr="009D4820" w:rsidRDefault="003138BD" w:rsidP="003138BD">
      <w:r>
        <w:rPr>
          <w:rFonts w:eastAsia="Times New Roman" w:cs="Arial"/>
        </w:rPr>
        <w:lastRenderedPageBreak/>
        <w:t>The overwhelming public health concern in Australia and New Zealand continues to be iodine deficiency during pregnancy. Any changes to the UL during pregnancy should be carefully communicated to ensure that the need for supplementation during pregnancy continues to be a core message.</w:t>
      </w:r>
    </w:p>
    <w:p w14:paraId="5EECCC3B" w14:textId="77777777" w:rsidR="003138BD" w:rsidRDefault="003138BD" w:rsidP="00D74C6D">
      <w:pPr>
        <w:pStyle w:val="Heading4"/>
      </w:pPr>
      <w:bookmarkStart w:id="134" w:name="_Toc210406391"/>
      <w:bookmarkStart w:id="135" w:name="_Toc212567890"/>
      <w:r>
        <w:t>Lactation</w:t>
      </w:r>
      <w:bookmarkEnd w:id="134"/>
      <w:bookmarkEnd w:id="135"/>
    </w:p>
    <w:p w14:paraId="3D63D930" w14:textId="77777777" w:rsidR="003138BD" w:rsidRDefault="003138BD" w:rsidP="003138BD">
      <w:r>
        <w:t xml:space="preserve">Concerns have been raised about the effect of high maternal iodine intake on </w:t>
      </w:r>
      <w:proofErr w:type="spellStart"/>
      <w:r>
        <w:t>fetal</w:t>
      </w:r>
      <w:proofErr w:type="spellEnd"/>
      <w:r>
        <w:t xml:space="preserve"> development for pre-term neonates. The </w:t>
      </w:r>
      <w:r w:rsidRPr="00252877">
        <w:rPr>
          <w:rFonts w:eastAsia="Times New Roman"/>
          <w:szCs w:val="20"/>
        </w:rPr>
        <w:t xml:space="preserve">developing </w:t>
      </w:r>
      <w:proofErr w:type="spellStart"/>
      <w:r w:rsidRPr="00252877">
        <w:rPr>
          <w:rFonts w:eastAsia="Times New Roman"/>
          <w:szCs w:val="20"/>
        </w:rPr>
        <w:t>fetus</w:t>
      </w:r>
      <w:proofErr w:type="spellEnd"/>
      <w:r w:rsidRPr="00252877">
        <w:rPr>
          <w:rFonts w:eastAsia="Times New Roman"/>
          <w:szCs w:val="20"/>
        </w:rPr>
        <w:t xml:space="preserve"> </w:t>
      </w:r>
      <w:r>
        <w:rPr>
          <w:rFonts w:eastAsia="Times New Roman"/>
          <w:szCs w:val="20"/>
        </w:rPr>
        <w:t>is particularly vulnerable to excess iodine, as the Wolff-</w:t>
      </w:r>
      <w:proofErr w:type="spellStart"/>
      <w:r>
        <w:rPr>
          <w:rFonts w:eastAsia="Times New Roman"/>
          <w:szCs w:val="20"/>
        </w:rPr>
        <w:t>Chaikoff</w:t>
      </w:r>
      <w:proofErr w:type="spellEnd"/>
      <w:r>
        <w:rPr>
          <w:rFonts w:eastAsia="Times New Roman"/>
          <w:szCs w:val="20"/>
        </w:rPr>
        <w:t xml:space="preserve"> </w:t>
      </w:r>
      <w:r w:rsidRPr="00252877">
        <w:rPr>
          <w:rFonts w:eastAsia="Times New Roman"/>
          <w:szCs w:val="20"/>
        </w:rPr>
        <w:t xml:space="preserve">escape </w:t>
      </w:r>
      <w:r w:rsidRPr="00896E03">
        <w:rPr>
          <w:rFonts w:eastAsia="Times New Roman"/>
          <w:szCs w:val="20"/>
        </w:rPr>
        <w:t>mechanism does not develop until around 36 weeks gestation</w:t>
      </w:r>
      <w:r>
        <w:rPr>
          <w:rFonts w:eastAsia="Times New Roman"/>
          <w:szCs w:val="20"/>
        </w:rPr>
        <w:t>, or after birth in pre-term neonates</w:t>
      </w:r>
      <w:r w:rsidRPr="00896E03">
        <w:t>.</w:t>
      </w:r>
      <w:r>
        <w:t xml:space="preserve"> However, data in this cohort are lacking.</w:t>
      </w:r>
    </w:p>
    <w:p w14:paraId="3A8FD38A" w14:textId="77777777" w:rsidR="003138BD" w:rsidRDefault="003138BD" w:rsidP="003138BD">
      <w:r>
        <w:t>In the absence of data, the UL for lactating women should be set based upon the recommendation for during pregnancy.</w:t>
      </w:r>
    </w:p>
    <w:p w14:paraId="3AB32B73" w14:textId="77777777" w:rsidR="003138BD" w:rsidRPr="00CC5083" w:rsidRDefault="003138BD" w:rsidP="003138BD">
      <w:r>
        <w:rPr>
          <w:rFonts w:eastAsia="Times New Roman" w:cs="Arial"/>
        </w:rPr>
        <w:t>The overwhelming public health concern in Australia and New Zealand continues to be iodine deficiency during pregnancy and lactation. Any changes to the UL during lactation should be carefully communicated to ensure that the need for supplementation during pregnancy and throughout lactation continues to be a core message.</w:t>
      </w:r>
    </w:p>
    <w:p w14:paraId="0696BE36" w14:textId="77777777" w:rsidR="003138BD" w:rsidRPr="00AA5179" w:rsidRDefault="003138BD" w:rsidP="00D74C6D">
      <w:pPr>
        <w:pStyle w:val="Heading4"/>
      </w:pPr>
      <w:bookmarkStart w:id="136" w:name="_Toc210406392"/>
      <w:bookmarkStart w:id="137" w:name="_Toc212567891"/>
      <w:r>
        <w:t>Children and adolescents</w:t>
      </w:r>
      <w:bookmarkEnd w:id="136"/>
      <w:bookmarkEnd w:id="137"/>
    </w:p>
    <w:p w14:paraId="600BD284" w14:textId="77777777" w:rsidR="003138BD" w:rsidRDefault="003138BD" w:rsidP="003138BD">
      <w:pPr>
        <w:rPr>
          <w:rFonts w:eastAsia="Times New Roman"/>
          <w:szCs w:val="20"/>
        </w:rPr>
      </w:pPr>
      <w:r>
        <w:rPr>
          <w:rFonts w:eastAsia="Times New Roman"/>
          <w:szCs w:val="20"/>
        </w:rPr>
        <w:t xml:space="preserve">In the absence of evidence in children and adolescents, </w:t>
      </w:r>
      <w:r w:rsidRPr="00792DD9">
        <w:rPr>
          <w:rFonts w:eastAsia="Times New Roman"/>
          <w:szCs w:val="20"/>
        </w:rPr>
        <w:t xml:space="preserve">recommendations </w:t>
      </w:r>
      <w:r>
        <w:rPr>
          <w:rFonts w:eastAsia="Times New Roman"/>
          <w:szCs w:val="20"/>
        </w:rPr>
        <w:t xml:space="preserve">can be </w:t>
      </w:r>
      <w:r w:rsidRPr="00792DD9">
        <w:rPr>
          <w:rFonts w:eastAsia="Times New Roman"/>
          <w:szCs w:val="20"/>
        </w:rPr>
        <w:t>extrapolated from the adult UL, based on metabolic body weight</w:t>
      </w:r>
      <w:r>
        <w:rPr>
          <w:rFonts w:eastAsia="Times New Roman"/>
          <w:szCs w:val="20"/>
        </w:rPr>
        <w:t xml:space="preserve"> using the following formula:</w:t>
      </w:r>
    </w:p>
    <w:p w14:paraId="4097F4EF" w14:textId="77777777" w:rsidR="003138BD" w:rsidRDefault="003138BD" w:rsidP="003138BD">
      <w:pPr>
        <w:rPr>
          <w:rFonts w:eastAsia="Times New Roman"/>
          <w:szCs w:val="20"/>
          <w:vertAlign w:val="superscript"/>
        </w:rPr>
      </w:pPr>
      <w:proofErr w:type="spellStart"/>
      <w:r w:rsidRPr="0097150A">
        <w:rPr>
          <w:rFonts w:eastAsia="Times New Roman"/>
          <w:szCs w:val="20"/>
        </w:rPr>
        <w:t>UL</w:t>
      </w:r>
      <w:r w:rsidRPr="0097150A">
        <w:rPr>
          <w:rFonts w:eastAsia="Times New Roman"/>
          <w:szCs w:val="20"/>
          <w:vertAlign w:val="subscript"/>
        </w:rPr>
        <w:t>child</w:t>
      </w:r>
      <w:proofErr w:type="spellEnd"/>
      <w:r w:rsidRPr="0097150A">
        <w:rPr>
          <w:rFonts w:eastAsia="Times New Roman"/>
          <w:szCs w:val="20"/>
        </w:rPr>
        <w:t xml:space="preserve"> = </w:t>
      </w:r>
      <w:proofErr w:type="spellStart"/>
      <w:r w:rsidRPr="0097150A">
        <w:rPr>
          <w:rFonts w:eastAsia="Times New Roman"/>
          <w:szCs w:val="20"/>
        </w:rPr>
        <w:t>UL</w:t>
      </w:r>
      <w:r w:rsidRPr="0097150A">
        <w:rPr>
          <w:rFonts w:eastAsia="Times New Roman"/>
          <w:szCs w:val="20"/>
          <w:vertAlign w:val="subscript"/>
        </w:rPr>
        <w:t>adult</w:t>
      </w:r>
      <w:proofErr w:type="spellEnd"/>
      <w:r w:rsidRPr="0097150A">
        <w:rPr>
          <w:rFonts w:eastAsia="Times New Roman"/>
          <w:szCs w:val="20"/>
        </w:rPr>
        <w:t xml:space="preserve"> x (</w:t>
      </w:r>
      <w:proofErr w:type="spellStart"/>
      <w:r w:rsidRPr="0097150A">
        <w:rPr>
          <w:rFonts w:eastAsia="Times New Roman"/>
          <w:szCs w:val="20"/>
        </w:rPr>
        <w:t>Weight</w:t>
      </w:r>
      <w:r w:rsidRPr="0097150A">
        <w:rPr>
          <w:rFonts w:eastAsia="Times New Roman"/>
          <w:szCs w:val="20"/>
          <w:vertAlign w:val="subscript"/>
        </w:rPr>
        <w:t>child</w:t>
      </w:r>
      <w:proofErr w:type="spellEnd"/>
      <w:r w:rsidRPr="0097150A">
        <w:rPr>
          <w:rFonts w:eastAsia="Times New Roman"/>
          <w:szCs w:val="20"/>
        </w:rPr>
        <w:t xml:space="preserve">/Weight </w:t>
      </w:r>
      <w:r w:rsidRPr="0097150A">
        <w:rPr>
          <w:rFonts w:eastAsia="Times New Roman"/>
          <w:szCs w:val="20"/>
          <w:vertAlign w:val="subscript"/>
        </w:rPr>
        <w:t>adult</w:t>
      </w:r>
      <w:r w:rsidRPr="0097150A">
        <w:rPr>
          <w:rFonts w:eastAsia="Times New Roman"/>
          <w:szCs w:val="20"/>
        </w:rPr>
        <w:t>)</w:t>
      </w:r>
      <w:r w:rsidRPr="0097150A">
        <w:rPr>
          <w:rFonts w:eastAsia="Times New Roman"/>
          <w:szCs w:val="20"/>
          <w:vertAlign w:val="superscript"/>
        </w:rPr>
        <w:t>0.75</w:t>
      </w:r>
    </w:p>
    <w:p w14:paraId="209C4CA4" w14:textId="77777777" w:rsidR="003138BD" w:rsidRDefault="003138BD" w:rsidP="003138BD">
      <w:pPr>
        <w:rPr>
          <w:rFonts w:eastAsia="Times New Roman"/>
          <w:szCs w:val="20"/>
        </w:rPr>
      </w:pPr>
      <w:r>
        <w:rPr>
          <w:rFonts w:eastAsia="Times New Roman"/>
          <w:szCs w:val="20"/>
        </w:rPr>
        <w:t>Reference weights used were based on 2022 ‘ideal’ weight data from the Australian Bureau of Statistics, as per the current Methodological Framework (NHMRC, 2025).</w:t>
      </w:r>
    </w:p>
    <w:p w14:paraId="273504EC" w14:textId="77777777" w:rsidR="003138BD" w:rsidRDefault="003138BD" w:rsidP="003138BD">
      <w:pPr>
        <w:rPr>
          <w:rFonts w:eastAsia="Times New Roman"/>
          <w:szCs w:val="20"/>
        </w:rPr>
      </w:pPr>
      <w:r w:rsidRPr="0097150A">
        <w:rPr>
          <w:rFonts w:eastAsia="Times New Roman"/>
          <w:szCs w:val="20"/>
        </w:rPr>
        <w:t xml:space="preserve">Calculated values were rounded up to the nearest 50 (children aged &lt;12 years) or </w:t>
      </w:r>
      <w:r>
        <w:rPr>
          <w:rFonts w:eastAsia="Times New Roman"/>
          <w:szCs w:val="20"/>
        </w:rPr>
        <w:t xml:space="preserve">rounded to the nearest </w:t>
      </w:r>
      <w:r w:rsidRPr="0097150A">
        <w:rPr>
          <w:rFonts w:eastAsia="Times New Roman"/>
          <w:szCs w:val="20"/>
        </w:rPr>
        <w:t>100 (children aged &gt;12 years) to arrive at final values</w:t>
      </w:r>
      <w:r>
        <w:rPr>
          <w:rFonts w:eastAsia="Times New Roman"/>
          <w:szCs w:val="20"/>
        </w:rPr>
        <w:t xml:space="preserve">. When rounding values, consideration was given to smoothing transitions between age groupings per the </w:t>
      </w:r>
      <w:r w:rsidRPr="00CD3E56">
        <w:rPr>
          <w:rFonts w:eastAsia="Times New Roman"/>
          <w:szCs w:val="20"/>
        </w:rPr>
        <w:t xml:space="preserve">Methodological Framework </w:t>
      </w:r>
      <w:r>
        <w:rPr>
          <w:rFonts w:eastAsia="Times New Roman"/>
          <w:szCs w:val="20"/>
        </w:rPr>
        <w:t>(NHMRC, 2025).</w:t>
      </w:r>
    </w:p>
    <w:p w14:paraId="380AA74E" w14:textId="6AE10419" w:rsidR="00D74C6D" w:rsidRDefault="003138BD" w:rsidP="003138BD">
      <w:pPr>
        <w:rPr>
          <w:rFonts w:eastAsia="Times New Roman"/>
          <w:szCs w:val="20"/>
        </w:rPr>
      </w:pPr>
      <w:r w:rsidRPr="0040284F">
        <w:rPr>
          <w:rFonts w:eastAsia="Times New Roman"/>
          <w:szCs w:val="20"/>
        </w:rPr>
        <w:t>Inputs for extrapolation and the raw calculated UL value are shown at</w:t>
      </w:r>
      <w:r>
        <w:rPr>
          <w:rFonts w:eastAsia="Times New Roman"/>
          <w:szCs w:val="20"/>
        </w:rPr>
        <w:t xml:space="preserve"> </w:t>
      </w:r>
      <w:r>
        <w:rPr>
          <w:rFonts w:eastAsia="Times New Roman"/>
          <w:szCs w:val="20"/>
        </w:rPr>
        <w:fldChar w:fldCharType="begin"/>
      </w:r>
      <w:r>
        <w:rPr>
          <w:rFonts w:eastAsia="Times New Roman"/>
          <w:szCs w:val="20"/>
        </w:rPr>
        <w:instrText xml:space="preserve"> REF _Ref205905489 \h </w:instrText>
      </w:r>
      <w:r>
        <w:rPr>
          <w:rFonts w:eastAsia="Times New Roman"/>
          <w:szCs w:val="20"/>
        </w:rPr>
      </w:r>
      <w:r>
        <w:rPr>
          <w:rFonts w:eastAsia="Times New Roman"/>
          <w:szCs w:val="20"/>
        </w:rPr>
        <w:fldChar w:fldCharType="separate"/>
      </w:r>
      <w:r>
        <w:t xml:space="preserve">Table </w:t>
      </w:r>
      <w:r>
        <w:rPr>
          <w:noProof/>
        </w:rPr>
        <w:t>10</w:t>
      </w:r>
      <w:r>
        <w:rPr>
          <w:rFonts w:eastAsia="Times New Roman"/>
          <w:szCs w:val="20"/>
        </w:rPr>
        <w:fldChar w:fldCharType="end"/>
      </w:r>
      <w:r>
        <w:rPr>
          <w:rFonts w:eastAsia="Times New Roman"/>
          <w:szCs w:val="20"/>
        </w:rPr>
        <w:t>.</w:t>
      </w:r>
    </w:p>
    <w:p w14:paraId="34603BC0" w14:textId="6F7593E3" w:rsidR="003138BD" w:rsidRDefault="00D74C6D" w:rsidP="00D74C6D">
      <w:pPr>
        <w:spacing w:line="240" w:lineRule="atLeast"/>
        <w:rPr>
          <w:rFonts w:eastAsia="Times New Roman"/>
          <w:szCs w:val="20"/>
        </w:rPr>
      </w:pPr>
      <w:r>
        <w:rPr>
          <w:rFonts w:eastAsia="Times New Roman"/>
          <w:szCs w:val="20"/>
        </w:rPr>
        <w:br w:type="page"/>
      </w:r>
    </w:p>
    <w:p w14:paraId="0BC11F73" w14:textId="5D70581C" w:rsidR="003138BD" w:rsidRDefault="003138BD" w:rsidP="00D74C6D">
      <w:pPr>
        <w:pStyle w:val="TableTitle"/>
      </w:pPr>
      <w:r>
        <w:lastRenderedPageBreak/>
        <w:t>Extrapolation of Adult UL to child age groups</w:t>
      </w:r>
    </w:p>
    <w:tbl>
      <w:tblPr>
        <w:tblStyle w:val="DefaultTable1"/>
        <w:tblW w:w="9640" w:type="dxa"/>
        <w:tblInd w:w="0" w:type="dxa"/>
        <w:tblLook w:val="0620" w:firstRow="1" w:lastRow="0" w:firstColumn="0" w:lastColumn="0" w:noHBand="1" w:noVBand="1"/>
      </w:tblPr>
      <w:tblGrid>
        <w:gridCol w:w="2411"/>
        <w:gridCol w:w="992"/>
        <w:gridCol w:w="1276"/>
        <w:gridCol w:w="1134"/>
        <w:gridCol w:w="1417"/>
        <w:gridCol w:w="1233"/>
        <w:gridCol w:w="1177"/>
      </w:tblGrid>
      <w:tr w:rsidR="003138BD" w:rsidRPr="0097150A" w14:paraId="2A526BD9" w14:textId="77777777" w:rsidTr="00D74C6D">
        <w:trPr>
          <w:cnfStyle w:val="100000000000" w:firstRow="1" w:lastRow="0" w:firstColumn="0" w:lastColumn="0" w:oddVBand="0" w:evenVBand="0" w:oddHBand="0" w:evenHBand="0" w:firstRowFirstColumn="0" w:firstRowLastColumn="0" w:lastRowFirstColumn="0" w:lastRowLastColumn="0"/>
        </w:trPr>
        <w:tc>
          <w:tcPr>
            <w:tcW w:w="2411" w:type="dxa"/>
          </w:tcPr>
          <w:p w14:paraId="0AE03687" w14:textId="77777777" w:rsidR="003138BD" w:rsidRPr="0097150A" w:rsidRDefault="003138BD">
            <w:pPr>
              <w:rPr>
                <w:rFonts w:eastAsia="Times New Roman"/>
                <w:b w:val="0"/>
                <w:bCs w:val="0"/>
                <w:szCs w:val="20"/>
              </w:rPr>
            </w:pPr>
            <w:r w:rsidRPr="0097150A">
              <w:rPr>
                <w:rFonts w:eastAsia="Times New Roman"/>
                <w:szCs w:val="20"/>
              </w:rPr>
              <w:t>Age group</w:t>
            </w:r>
          </w:p>
        </w:tc>
        <w:tc>
          <w:tcPr>
            <w:tcW w:w="992" w:type="dxa"/>
          </w:tcPr>
          <w:p w14:paraId="569891EA" w14:textId="77777777" w:rsidR="003138BD" w:rsidRPr="0097150A" w:rsidRDefault="003138BD">
            <w:pPr>
              <w:ind w:left="-107"/>
              <w:jc w:val="center"/>
              <w:rPr>
                <w:rFonts w:eastAsia="Times New Roman"/>
                <w:b w:val="0"/>
                <w:bCs w:val="0"/>
                <w:szCs w:val="20"/>
                <w:vertAlign w:val="subscript"/>
              </w:rPr>
            </w:pPr>
            <w:proofErr w:type="spellStart"/>
            <w:r w:rsidRPr="0097150A">
              <w:rPr>
                <w:rFonts w:eastAsia="Times New Roman"/>
                <w:szCs w:val="20"/>
              </w:rPr>
              <w:t>UL</w:t>
            </w:r>
            <w:r w:rsidRPr="0097150A">
              <w:rPr>
                <w:rFonts w:eastAsia="Times New Roman"/>
                <w:szCs w:val="20"/>
                <w:vertAlign w:val="subscript"/>
              </w:rPr>
              <w:t>adult</w:t>
            </w:r>
            <w:proofErr w:type="spellEnd"/>
          </w:p>
          <w:p w14:paraId="362292AD" w14:textId="77777777" w:rsidR="003138BD" w:rsidRPr="0097150A" w:rsidRDefault="003138BD">
            <w:pPr>
              <w:ind w:left="-107"/>
              <w:jc w:val="center"/>
              <w:rPr>
                <w:rFonts w:eastAsia="Times New Roman"/>
                <w:b w:val="0"/>
                <w:bCs w:val="0"/>
                <w:szCs w:val="20"/>
              </w:rPr>
            </w:pPr>
            <w:r w:rsidRPr="0097150A">
              <w:rPr>
                <w:rFonts w:eastAsia="Times New Roman" w:cs="Times New Roman"/>
                <w:szCs w:val="20"/>
              </w:rPr>
              <w:t>(</w:t>
            </w:r>
            <w:r>
              <w:rPr>
                <w:rFonts w:eastAsia="Times New Roman" w:cs="Times New Roman"/>
                <w:szCs w:val="20"/>
              </w:rPr>
              <w:t>µg/day</w:t>
            </w:r>
            <w:r w:rsidRPr="0097150A">
              <w:rPr>
                <w:rFonts w:eastAsia="Times New Roman" w:cs="Times New Roman"/>
                <w:szCs w:val="20"/>
              </w:rPr>
              <w:t>)</w:t>
            </w:r>
          </w:p>
        </w:tc>
        <w:tc>
          <w:tcPr>
            <w:tcW w:w="1276" w:type="dxa"/>
          </w:tcPr>
          <w:p w14:paraId="6761DA6D" w14:textId="77777777" w:rsidR="003138BD" w:rsidRPr="0097150A" w:rsidRDefault="003138BD">
            <w:pPr>
              <w:ind w:left="-113"/>
              <w:jc w:val="center"/>
              <w:rPr>
                <w:rFonts w:eastAsia="Times New Roman"/>
                <w:b w:val="0"/>
                <w:bCs w:val="0"/>
                <w:szCs w:val="20"/>
              </w:rPr>
            </w:pPr>
            <w:r>
              <w:rPr>
                <w:rFonts w:eastAsia="Times New Roman"/>
                <w:szCs w:val="20"/>
              </w:rPr>
              <w:t xml:space="preserve">Child Ref </w:t>
            </w:r>
            <w:r w:rsidRPr="0097150A">
              <w:rPr>
                <w:rFonts w:eastAsia="Times New Roman"/>
                <w:szCs w:val="20"/>
              </w:rPr>
              <w:t>Weight</w:t>
            </w:r>
            <w:r>
              <w:rPr>
                <w:rFonts w:eastAsia="Times New Roman"/>
                <w:szCs w:val="20"/>
              </w:rPr>
              <w:t xml:space="preserve"> </w:t>
            </w:r>
            <w:r w:rsidRPr="0097150A">
              <w:rPr>
                <w:rFonts w:eastAsia="Times New Roman" w:cs="Times New Roman"/>
                <w:szCs w:val="20"/>
              </w:rPr>
              <w:t>(kg)</w:t>
            </w:r>
          </w:p>
        </w:tc>
        <w:tc>
          <w:tcPr>
            <w:tcW w:w="1134" w:type="dxa"/>
          </w:tcPr>
          <w:p w14:paraId="300570CC" w14:textId="77777777" w:rsidR="003138BD" w:rsidRPr="0097150A" w:rsidRDefault="003138BD">
            <w:pPr>
              <w:jc w:val="center"/>
              <w:rPr>
                <w:rFonts w:eastAsia="Times New Roman"/>
                <w:b w:val="0"/>
                <w:bCs w:val="0"/>
                <w:szCs w:val="20"/>
              </w:rPr>
            </w:pPr>
            <w:r>
              <w:rPr>
                <w:rFonts w:eastAsia="Times New Roman"/>
                <w:szCs w:val="20"/>
              </w:rPr>
              <w:t xml:space="preserve">Adult Ref </w:t>
            </w:r>
            <w:r w:rsidRPr="0097150A">
              <w:rPr>
                <w:rFonts w:eastAsia="Times New Roman"/>
                <w:szCs w:val="20"/>
              </w:rPr>
              <w:t>Weight</w:t>
            </w:r>
            <w:r>
              <w:rPr>
                <w:rFonts w:eastAsia="Times New Roman"/>
                <w:szCs w:val="20"/>
              </w:rPr>
              <w:t xml:space="preserve"> (kg)</w:t>
            </w:r>
          </w:p>
        </w:tc>
        <w:tc>
          <w:tcPr>
            <w:tcW w:w="1417" w:type="dxa"/>
          </w:tcPr>
          <w:p w14:paraId="5BC51CD9" w14:textId="77777777" w:rsidR="003138BD" w:rsidRDefault="003138BD">
            <w:pPr>
              <w:jc w:val="center"/>
              <w:rPr>
                <w:rFonts w:eastAsia="Times New Roman"/>
                <w:b w:val="0"/>
                <w:bCs w:val="0"/>
                <w:szCs w:val="20"/>
                <w:vertAlign w:val="subscript"/>
              </w:rPr>
            </w:pPr>
            <w:r>
              <w:rPr>
                <w:rFonts w:eastAsia="Times New Roman"/>
                <w:szCs w:val="20"/>
              </w:rPr>
              <w:t xml:space="preserve">Calculated </w:t>
            </w:r>
            <w:proofErr w:type="spellStart"/>
            <w:r w:rsidRPr="0097150A">
              <w:rPr>
                <w:rFonts w:eastAsia="Times New Roman"/>
                <w:szCs w:val="20"/>
              </w:rPr>
              <w:t>UL</w:t>
            </w:r>
            <w:r w:rsidRPr="0097150A">
              <w:rPr>
                <w:rFonts w:eastAsia="Times New Roman"/>
                <w:szCs w:val="20"/>
                <w:vertAlign w:val="subscript"/>
              </w:rPr>
              <w:t>child</w:t>
            </w:r>
            <w:proofErr w:type="spellEnd"/>
          </w:p>
          <w:p w14:paraId="33F08966" w14:textId="77777777" w:rsidR="003138BD" w:rsidRPr="0097150A" w:rsidRDefault="003138BD">
            <w:pPr>
              <w:jc w:val="center"/>
              <w:rPr>
                <w:rFonts w:eastAsia="Times New Roman"/>
                <w:b w:val="0"/>
                <w:bCs w:val="0"/>
                <w:szCs w:val="20"/>
              </w:rPr>
            </w:pPr>
            <w:r w:rsidRPr="0097150A">
              <w:rPr>
                <w:rFonts w:eastAsia="Times New Roman" w:cs="Times New Roman"/>
                <w:szCs w:val="20"/>
              </w:rPr>
              <w:t>(</w:t>
            </w:r>
            <w:r>
              <w:rPr>
                <w:rFonts w:eastAsia="Times New Roman" w:cs="Times New Roman"/>
                <w:szCs w:val="20"/>
              </w:rPr>
              <w:t>µg/day</w:t>
            </w:r>
            <w:r w:rsidRPr="0097150A">
              <w:rPr>
                <w:rFonts w:eastAsia="Times New Roman" w:cs="Times New Roman"/>
                <w:szCs w:val="20"/>
              </w:rPr>
              <w:t>)</w:t>
            </w:r>
          </w:p>
        </w:tc>
        <w:tc>
          <w:tcPr>
            <w:tcW w:w="1233" w:type="dxa"/>
          </w:tcPr>
          <w:p w14:paraId="2DD3DC5B" w14:textId="77777777" w:rsidR="003138BD" w:rsidRDefault="003138BD">
            <w:pPr>
              <w:jc w:val="center"/>
              <w:rPr>
                <w:rFonts w:eastAsia="Times New Roman"/>
                <w:b w:val="0"/>
                <w:bCs w:val="0"/>
                <w:szCs w:val="20"/>
              </w:rPr>
            </w:pPr>
            <w:r>
              <w:rPr>
                <w:rFonts w:eastAsia="Times New Roman"/>
                <w:szCs w:val="20"/>
              </w:rPr>
              <w:t>Rounding</w:t>
            </w:r>
          </w:p>
          <w:p w14:paraId="33B961C8" w14:textId="77777777" w:rsidR="003138BD" w:rsidRDefault="003138BD">
            <w:pPr>
              <w:jc w:val="center"/>
              <w:rPr>
                <w:rFonts w:eastAsia="Times New Roman"/>
                <w:b w:val="0"/>
                <w:bCs w:val="0"/>
                <w:szCs w:val="20"/>
              </w:rPr>
            </w:pPr>
            <w:r w:rsidRPr="0097150A">
              <w:rPr>
                <w:rFonts w:eastAsia="Times New Roman" w:cs="Times New Roman"/>
                <w:szCs w:val="20"/>
              </w:rPr>
              <w:t>(</w:t>
            </w:r>
            <w:r>
              <w:rPr>
                <w:rFonts w:eastAsia="Times New Roman" w:cs="Times New Roman"/>
                <w:szCs w:val="20"/>
              </w:rPr>
              <w:t>µg/day</w:t>
            </w:r>
            <w:r w:rsidRPr="0097150A">
              <w:rPr>
                <w:rFonts w:eastAsia="Times New Roman" w:cs="Times New Roman"/>
                <w:szCs w:val="20"/>
              </w:rPr>
              <w:t>)</w:t>
            </w:r>
          </w:p>
        </w:tc>
        <w:tc>
          <w:tcPr>
            <w:tcW w:w="1177" w:type="dxa"/>
          </w:tcPr>
          <w:p w14:paraId="69E8FD83" w14:textId="77777777" w:rsidR="003138BD" w:rsidRDefault="003138BD">
            <w:pPr>
              <w:jc w:val="center"/>
              <w:rPr>
                <w:rFonts w:eastAsia="Times New Roman"/>
                <w:b w:val="0"/>
                <w:bCs w:val="0"/>
                <w:szCs w:val="20"/>
              </w:rPr>
            </w:pPr>
            <w:r>
              <w:rPr>
                <w:rFonts w:eastAsia="Times New Roman"/>
                <w:szCs w:val="20"/>
              </w:rPr>
              <w:t xml:space="preserve">Proposed UL </w:t>
            </w:r>
            <w:r w:rsidRPr="0097150A">
              <w:rPr>
                <w:rFonts w:eastAsia="Times New Roman" w:cs="Times New Roman"/>
                <w:szCs w:val="20"/>
              </w:rPr>
              <w:t>(</w:t>
            </w:r>
            <w:r>
              <w:rPr>
                <w:rFonts w:eastAsia="Times New Roman" w:cs="Times New Roman"/>
                <w:szCs w:val="20"/>
              </w:rPr>
              <w:t>µg/day</w:t>
            </w:r>
            <w:r w:rsidRPr="0097150A">
              <w:rPr>
                <w:rFonts w:eastAsia="Times New Roman" w:cs="Times New Roman"/>
                <w:szCs w:val="20"/>
              </w:rPr>
              <w:t>)</w:t>
            </w:r>
          </w:p>
        </w:tc>
      </w:tr>
      <w:tr w:rsidR="003138BD" w14:paraId="1DF7906B" w14:textId="77777777" w:rsidTr="00D74C6D">
        <w:tc>
          <w:tcPr>
            <w:tcW w:w="9640" w:type="dxa"/>
            <w:gridSpan w:val="7"/>
            <w:shd w:val="clear" w:color="auto" w:fill="005F85" w:themeFill="accent2"/>
          </w:tcPr>
          <w:p w14:paraId="370034D5" w14:textId="77777777" w:rsidR="003138BD" w:rsidRDefault="003138BD">
            <w:pPr>
              <w:rPr>
                <w:rFonts w:eastAsia="Times New Roman"/>
                <w:szCs w:val="20"/>
              </w:rPr>
            </w:pPr>
            <w:r>
              <w:rPr>
                <w:rFonts w:eastAsia="Times New Roman"/>
                <w:b/>
                <w:bCs/>
                <w:color w:val="FFFFFF" w:themeColor="background1"/>
                <w:szCs w:val="20"/>
              </w:rPr>
              <w:t>NRVs age groupings:</w:t>
            </w:r>
          </w:p>
        </w:tc>
      </w:tr>
      <w:tr w:rsidR="003138BD" w14:paraId="608F28EE" w14:textId="77777777" w:rsidTr="00D74C6D">
        <w:tc>
          <w:tcPr>
            <w:tcW w:w="2411" w:type="dxa"/>
          </w:tcPr>
          <w:p w14:paraId="3D6C25D3" w14:textId="77777777" w:rsidR="003138BD" w:rsidRDefault="003138BD">
            <w:pPr>
              <w:rPr>
                <w:rFonts w:eastAsia="Times New Roman"/>
                <w:szCs w:val="20"/>
              </w:rPr>
            </w:pPr>
            <w:r>
              <w:rPr>
                <w:rFonts w:eastAsia="Times New Roman"/>
                <w:szCs w:val="20"/>
              </w:rPr>
              <w:t>1 to under 4 years</w:t>
            </w:r>
          </w:p>
        </w:tc>
        <w:tc>
          <w:tcPr>
            <w:tcW w:w="992" w:type="dxa"/>
          </w:tcPr>
          <w:p w14:paraId="78F3D808" w14:textId="77777777" w:rsidR="003138BD" w:rsidRDefault="003138BD">
            <w:pPr>
              <w:jc w:val="center"/>
              <w:rPr>
                <w:rFonts w:eastAsia="Times New Roman"/>
                <w:szCs w:val="20"/>
              </w:rPr>
            </w:pPr>
            <w:r>
              <w:rPr>
                <w:rFonts w:eastAsia="Times New Roman"/>
                <w:szCs w:val="20"/>
              </w:rPr>
              <w:t>600</w:t>
            </w:r>
          </w:p>
        </w:tc>
        <w:tc>
          <w:tcPr>
            <w:tcW w:w="1276" w:type="dxa"/>
          </w:tcPr>
          <w:p w14:paraId="3DB39694" w14:textId="77777777" w:rsidR="003138BD" w:rsidRDefault="003138BD">
            <w:pPr>
              <w:jc w:val="center"/>
              <w:rPr>
                <w:rFonts w:eastAsia="Times New Roman"/>
                <w:szCs w:val="20"/>
              </w:rPr>
            </w:pPr>
            <w:r w:rsidRPr="008A1948">
              <w:t>13</w:t>
            </w:r>
          </w:p>
        </w:tc>
        <w:tc>
          <w:tcPr>
            <w:tcW w:w="1134" w:type="dxa"/>
          </w:tcPr>
          <w:p w14:paraId="2DA4865B" w14:textId="77777777" w:rsidR="003138BD" w:rsidRDefault="003138BD">
            <w:pPr>
              <w:jc w:val="center"/>
              <w:rPr>
                <w:rFonts w:eastAsia="Times New Roman"/>
                <w:szCs w:val="20"/>
              </w:rPr>
            </w:pPr>
            <w:r>
              <w:rPr>
                <w:rFonts w:eastAsia="Times New Roman"/>
                <w:szCs w:val="20"/>
              </w:rPr>
              <w:t>62.9</w:t>
            </w:r>
          </w:p>
        </w:tc>
        <w:tc>
          <w:tcPr>
            <w:tcW w:w="1417" w:type="dxa"/>
          </w:tcPr>
          <w:p w14:paraId="1BC31BB1" w14:textId="77777777" w:rsidR="003138BD" w:rsidRDefault="003138BD">
            <w:pPr>
              <w:jc w:val="center"/>
              <w:rPr>
                <w:rFonts w:eastAsia="Times New Roman"/>
                <w:szCs w:val="20"/>
              </w:rPr>
            </w:pPr>
            <w:r w:rsidRPr="00F13146">
              <w:t>183.9</w:t>
            </w:r>
          </w:p>
        </w:tc>
        <w:tc>
          <w:tcPr>
            <w:tcW w:w="1233" w:type="dxa"/>
          </w:tcPr>
          <w:p w14:paraId="270A057B" w14:textId="77777777" w:rsidR="003138BD" w:rsidRDefault="003138BD">
            <w:pPr>
              <w:jc w:val="center"/>
              <w:rPr>
                <w:rFonts w:eastAsia="Times New Roman"/>
                <w:szCs w:val="20"/>
              </w:rPr>
            </w:pPr>
            <w:r>
              <w:rPr>
                <w:rFonts w:eastAsia="Times New Roman"/>
                <w:szCs w:val="20"/>
              </w:rPr>
              <w:t>16.1</w:t>
            </w:r>
          </w:p>
        </w:tc>
        <w:tc>
          <w:tcPr>
            <w:tcW w:w="1177" w:type="dxa"/>
          </w:tcPr>
          <w:p w14:paraId="468111A8" w14:textId="77777777" w:rsidR="003138BD" w:rsidRDefault="003138BD">
            <w:pPr>
              <w:jc w:val="center"/>
              <w:rPr>
                <w:rFonts w:eastAsia="Times New Roman"/>
                <w:szCs w:val="20"/>
              </w:rPr>
            </w:pPr>
            <w:r>
              <w:rPr>
                <w:rFonts w:eastAsia="Times New Roman"/>
                <w:szCs w:val="20"/>
              </w:rPr>
              <w:t>200</w:t>
            </w:r>
          </w:p>
        </w:tc>
      </w:tr>
      <w:tr w:rsidR="003138BD" w14:paraId="6F6F2050" w14:textId="77777777" w:rsidTr="00D74C6D">
        <w:tc>
          <w:tcPr>
            <w:tcW w:w="2411" w:type="dxa"/>
          </w:tcPr>
          <w:p w14:paraId="6F221690" w14:textId="77777777" w:rsidR="003138BD" w:rsidRDefault="003138BD">
            <w:pPr>
              <w:rPr>
                <w:rFonts w:eastAsia="Times New Roman"/>
                <w:szCs w:val="20"/>
              </w:rPr>
            </w:pPr>
            <w:r>
              <w:rPr>
                <w:rFonts w:eastAsia="Times New Roman"/>
                <w:szCs w:val="20"/>
              </w:rPr>
              <w:t>4</w:t>
            </w:r>
            <w:r w:rsidRPr="009119C7">
              <w:rPr>
                <w:rFonts w:eastAsia="Times New Roman"/>
                <w:szCs w:val="20"/>
              </w:rPr>
              <w:t xml:space="preserve"> to under </w:t>
            </w:r>
            <w:r>
              <w:rPr>
                <w:rFonts w:eastAsia="Times New Roman"/>
                <w:szCs w:val="20"/>
              </w:rPr>
              <w:t>9</w:t>
            </w:r>
            <w:r w:rsidRPr="009119C7">
              <w:rPr>
                <w:rFonts w:eastAsia="Times New Roman"/>
                <w:szCs w:val="20"/>
              </w:rPr>
              <w:t xml:space="preserve"> years</w:t>
            </w:r>
          </w:p>
        </w:tc>
        <w:tc>
          <w:tcPr>
            <w:tcW w:w="992" w:type="dxa"/>
          </w:tcPr>
          <w:p w14:paraId="09C885EE" w14:textId="77777777" w:rsidR="003138BD" w:rsidRDefault="003138BD">
            <w:pPr>
              <w:jc w:val="center"/>
              <w:rPr>
                <w:rFonts w:eastAsia="Times New Roman"/>
                <w:szCs w:val="20"/>
              </w:rPr>
            </w:pPr>
            <w:r>
              <w:rPr>
                <w:rFonts w:eastAsia="Times New Roman"/>
                <w:szCs w:val="20"/>
              </w:rPr>
              <w:t>600</w:t>
            </w:r>
          </w:p>
        </w:tc>
        <w:tc>
          <w:tcPr>
            <w:tcW w:w="1276" w:type="dxa"/>
          </w:tcPr>
          <w:p w14:paraId="6CC6B96D" w14:textId="77777777" w:rsidR="003138BD" w:rsidRDefault="003138BD">
            <w:pPr>
              <w:jc w:val="center"/>
              <w:rPr>
                <w:rFonts w:eastAsia="Times New Roman"/>
                <w:szCs w:val="20"/>
              </w:rPr>
            </w:pPr>
            <w:r w:rsidRPr="008A1948">
              <w:t>22.4</w:t>
            </w:r>
          </w:p>
        </w:tc>
        <w:tc>
          <w:tcPr>
            <w:tcW w:w="1134" w:type="dxa"/>
          </w:tcPr>
          <w:p w14:paraId="1EC46CC2" w14:textId="77777777" w:rsidR="003138BD" w:rsidRDefault="003138BD">
            <w:pPr>
              <w:jc w:val="center"/>
              <w:rPr>
                <w:rFonts w:eastAsia="Times New Roman"/>
                <w:szCs w:val="20"/>
              </w:rPr>
            </w:pPr>
            <w:r>
              <w:rPr>
                <w:rFonts w:eastAsia="Times New Roman"/>
                <w:szCs w:val="20"/>
              </w:rPr>
              <w:t>62.9</w:t>
            </w:r>
          </w:p>
        </w:tc>
        <w:tc>
          <w:tcPr>
            <w:tcW w:w="1417" w:type="dxa"/>
          </w:tcPr>
          <w:p w14:paraId="708D0027" w14:textId="77777777" w:rsidR="003138BD" w:rsidRDefault="003138BD">
            <w:pPr>
              <w:jc w:val="center"/>
              <w:rPr>
                <w:rFonts w:eastAsia="Times New Roman"/>
                <w:szCs w:val="20"/>
              </w:rPr>
            </w:pPr>
            <w:r w:rsidRPr="00F13146">
              <w:t>276.6</w:t>
            </w:r>
          </w:p>
        </w:tc>
        <w:tc>
          <w:tcPr>
            <w:tcW w:w="1233" w:type="dxa"/>
          </w:tcPr>
          <w:p w14:paraId="6C4BC26A" w14:textId="77777777" w:rsidR="003138BD" w:rsidRDefault="003138BD">
            <w:pPr>
              <w:jc w:val="center"/>
              <w:rPr>
                <w:rFonts w:eastAsia="Times New Roman"/>
                <w:szCs w:val="20"/>
              </w:rPr>
            </w:pPr>
            <w:r>
              <w:rPr>
                <w:rFonts w:eastAsia="Times New Roman"/>
                <w:szCs w:val="20"/>
              </w:rPr>
              <w:t>23.4</w:t>
            </w:r>
          </w:p>
        </w:tc>
        <w:tc>
          <w:tcPr>
            <w:tcW w:w="1177" w:type="dxa"/>
          </w:tcPr>
          <w:p w14:paraId="316E4C3A" w14:textId="77777777" w:rsidR="003138BD" w:rsidRDefault="003138BD">
            <w:pPr>
              <w:jc w:val="center"/>
              <w:rPr>
                <w:rFonts w:eastAsia="Times New Roman"/>
                <w:szCs w:val="20"/>
              </w:rPr>
            </w:pPr>
            <w:r>
              <w:rPr>
                <w:rFonts w:eastAsia="Times New Roman"/>
                <w:szCs w:val="20"/>
              </w:rPr>
              <w:t>300</w:t>
            </w:r>
          </w:p>
        </w:tc>
      </w:tr>
      <w:tr w:rsidR="003138BD" w14:paraId="20025736" w14:textId="77777777" w:rsidTr="00D74C6D">
        <w:tc>
          <w:tcPr>
            <w:tcW w:w="2411" w:type="dxa"/>
          </w:tcPr>
          <w:p w14:paraId="153795B3" w14:textId="77777777" w:rsidR="003138BD" w:rsidRDefault="003138BD">
            <w:pPr>
              <w:rPr>
                <w:rFonts w:eastAsia="Times New Roman"/>
                <w:szCs w:val="20"/>
              </w:rPr>
            </w:pPr>
            <w:r>
              <w:rPr>
                <w:rFonts w:eastAsia="Times New Roman"/>
                <w:szCs w:val="20"/>
              </w:rPr>
              <w:t>9</w:t>
            </w:r>
            <w:r w:rsidRPr="009119C7">
              <w:rPr>
                <w:rFonts w:eastAsia="Times New Roman"/>
                <w:szCs w:val="20"/>
              </w:rPr>
              <w:t xml:space="preserve"> to under 1</w:t>
            </w:r>
            <w:r>
              <w:rPr>
                <w:rFonts w:eastAsia="Times New Roman"/>
                <w:szCs w:val="20"/>
              </w:rPr>
              <w:t>4</w:t>
            </w:r>
            <w:r w:rsidRPr="009119C7">
              <w:rPr>
                <w:rFonts w:eastAsia="Times New Roman"/>
                <w:szCs w:val="20"/>
              </w:rPr>
              <w:t xml:space="preserve"> years</w:t>
            </w:r>
          </w:p>
        </w:tc>
        <w:tc>
          <w:tcPr>
            <w:tcW w:w="992" w:type="dxa"/>
          </w:tcPr>
          <w:p w14:paraId="1076B897" w14:textId="77777777" w:rsidR="003138BD" w:rsidRDefault="003138BD">
            <w:pPr>
              <w:jc w:val="center"/>
              <w:rPr>
                <w:rFonts w:eastAsia="Times New Roman"/>
                <w:szCs w:val="20"/>
              </w:rPr>
            </w:pPr>
            <w:r>
              <w:rPr>
                <w:rFonts w:eastAsia="Times New Roman"/>
                <w:szCs w:val="20"/>
              </w:rPr>
              <w:t>600</w:t>
            </w:r>
          </w:p>
        </w:tc>
        <w:tc>
          <w:tcPr>
            <w:tcW w:w="1276" w:type="dxa"/>
          </w:tcPr>
          <w:p w14:paraId="3594340D" w14:textId="77777777" w:rsidR="003138BD" w:rsidRDefault="003138BD">
            <w:pPr>
              <w:jc w:val="center"/>
              <w:rPr>
                <w:rFonts w:eastAsia="Times New Roman"/>
                <w:szCs w:val="20"/>
              </w:rPr>
            </w:pPr>
            <w:r w:rsidRPr="008A1948">
              <w:t>40.7</w:t>
            </w:r>
          </w:p>
        </w:tc>
        <w:tc>
          <w:tcPr>
            <w:tcW w:w="1134" w:type="dxa"/>
          </w:tcPr>
          <w:p w14:paraId="119D9D3C" w14:textId="77777777" w:rsidR="003138BD" w:rsidRDefault="003138BD">
            <w:pPr>
              <w:jc w:val="center"/>
              <w:rPr>
                <w:rFonts w:eastAsia="Times New Roman"/>
                <w:szCs w:val="20"/>
              </w:rPr>
            </w:pPr>
            <w:r>
              <w:rPr>
                <w:rFonts w:eastAsia="Times New Roman"/>
                <w:szCs w:val="20"/>
              </w:rPr>
              <w:t>62.9</w:t>
            </w:r>
          </w:p>
        </w:tc>
        <w:tc>
          <w:tcPr>
            <w:tcW w:w="1417" w:type="dxa"/>
          </w:tcPr>
          <w:p w14:paraId="66A5B759" w14:textId="77777777" w:rsidR="003138BD" w:rsidRDefault="003138BD">
            <w:pPr>
              <w:jc w:val="center"/>
              <w:rPr>
                <w:rFonts w:eastAsia="Times New Roman"/>
                <w:szCs w:val="20"/>
              </w:rPr>
            </w:pPr>
            <w:r w:rsidRPr="00F13146">
              <w:t>432.9</w:t>
            </w:r>
          </w:p>
        </w:tc>
        <w:tc>
          <w:tcPr>
            <w:tcW w:w="1233" w:type="dxa"/>
          </w:tcPr>
          <w:p w14:paraId="7E77C624" w14:textId="77777777" w:rsidR="003138BD" w:rsidRDefault="003138BD">
            <w:pPr>
              <w:jc w:val="center"/>
              <w:rPr>
                <w:rFonts w:eastAsia="Times New Roman"/>
                <w:szCs w:val="20"/>
              </w:rPr>
            </w:pPr>
            <w:r>
              <w:rPr>
                <w:rFonts w:eastAsia="Times New Roman"/>
                <w:szCs w:val="20"/>
              </w:rPr>
              <w:t>17.1</w:t>
            </w:r>
          </w:p>
        </w:tc>
        <w:tc>
          <w:tcPr>
            <w:tcW w:w="1177" w:type="dxa"/>
          </w:tcPr>
          <w:p w14:paraId="53F95A19" w14:textId="77777777" w:rsidR="003138BD" w:rsidRDefault="003138BD">
            <w:pPr>
              <w:jc w:val="center"/>
              <w:rPr>
                <w:rFonts w:eastAsia="Times New Roman"/>
                <w:szCs w:val="20"/>
              </w:rPr>
            </w:pPr>
            <w:r>
              <w:rPr>
                <w:rFonts w:eastAsia="Times New Roman"/>
                <w:szCs w:val="20"/>
              </w:rPr>
              <w:t>450</w:t>
            </w:r>
          </w:p>
        </w:tc>
      </w:tr>
      <w:tr w:rsidR="003138BD" w14:paraId="3A4239B1" w14:textId="77777777" w:rsidTr="00D74C6D">
        <w:tc>
          <w:tcPr>
            <w:tcW w:w="2411" w:type="dxa"/>
          </w:tcPr>
          <w:p w14:paraId="14D87C33" w14:textId="77777777" w:rsidR="003138BD" w:rsidRDefault="003138BD">
            <w:pPr>
              <w:rPr>
                <w:rFonts w:eastAsia="Times New Roman"/>
                <w:szCs w:val="20"/>
              </w:rPr>
            </w:pPr>
            <w:r w:rsidRPr="009119C7">
              <w:rPr>
                <w:rFonts w:eastAsia="Times New Roman"/>
                <w:szCs w:val="20"/>
              </w:rPr>
              <w:t>1</w:t>
            </w:r>
            <w:r>
              <w:rPr>
                <w:rFonts w:eastAsia="Times New Roman"/>
                <w:szCs w:val="20"/>
              </w:rPr>
              <w:t>4</w:t>
            </w:r>
            <w:r w:rsidRPr="009119C7">
              <w:rPr>
                <w:rFonts w:eastAsia="Times New Roman"/>
                <w:szCs w:val="20"/>
              </w:rPr>
              <w:t xml:space="preserve"> to under 18 years</w:t>
            </w:r>
          </w:p>
        </w:tc>
        <w:tc>
          <w:tcPr>
            <w:tcW w:w="992" w:type="dxa"/>
          </w:tcPr>
          <w:p w14:paraId="5021723D" w14:textId="77777777" w:rsidR="003138BD" w:rsidRDefault="003138BD">
            <w:pPr>
              <w:jc w:val="center"/>
              <w:rPr>
                <w:rFonts w:eastAsia="Times New Roman"/>
                <w:szCs w:val="20"/>
              </w:rPr>
            </w:pPr>
            <w:r>
              <w:rPr>
                <w:rFonts w:eastAsia="Times New Roman"/>
                <w:szCs w:val="20"/>
              </w:rPr>
              <w:t>600</w:t>
            </w:r>
          </w:p>
        </w:tc>
        <w:tc>
          <w:tcPr>
            <w:tcW w:w="1276" w:type="dxa"/>
          </w:tcPr>
          <w:p w14:paraId="2E287377" w14:textId="77777777" w:rsidR="003138BD" w:rsidRDefault="003138BD">
            <w:pPr>
              <w:jc w:val="center"/>
              <w:rPr>
                <w:rFonts w:eastAsia="Times New Roman"/>
                <w:szCs w:val="20"/>
              </w:rPr>
            </w:pPr>
            <w:r w:rsidRPr="008A1948">
              <w:t>57.6</w:t>
            </w:r>
          </w:p>
        </w:tc>
        <w:tc>
          <w:tcPr>
            <w:tcW w:w="1134" w:type="dxa"/>
          </w:tcPr>
          <w:p w14:paraId="60E265E2" w14:textId="77777777" w:rsidR="003138BD" w:rsidRDefault="003138BD">
            <w:pPr>
              <w:jc w:val="center"/>
              <w:rPr>
                <w:rFonts w:eastAsia="Times New Roman"/>
                <w:szCs w:val="20"/>
              </w:rPr>
            </w:pPr>
            <w:r>
              <w:rPr>
                <w:rFonts w:eastAsia="Times New Roman"/>
                <w:szCs w:val="20"/>
              </w:rPr>
              <w:t>62.9</w:t>
            </w:r>
          </w:p>
        </w:tc>
        <w:tc>
          <w:tcPr>
            <w:tcW w:w="1417" w:type="dxa"/>
          </w:tcPr>
          <w:p w14:paraId="686B7E25" w14:textId="77777777" w:rsidR="003138BD" w:rsidRDefault="003138BD">
            <w:pPr>
              <w:jc w:val="center"/>
              <w:rPr>
                <w:rFonts w:eastAsia="Times New Roman"/>
                <w:szCs w:val="20"/>
              </w:rPr>
            </w:pPr>
            <w:r w:rsidRPr="00F13146">
              <w:t>561.7</w:t>
            </w:r>
          </w:p>
        </w:tc>
        <w:tc>
          <w:tcPr>
            <w:tcW w:w="1233" w:type="dxa"/>
          </w:tcPr>
          <w:p w14:paraId="7ED3329F" w14:textId="77777777" w:rsidR="003138BD" w:rsidRDefault="003138BD">
            <w:pPr>
              <w:jc w:val="center"/>
              <w:rPr>
                <w:rFonts w:eastAsia="Times New Roman"/>
                <w:szCs w:val="20"/>
              </w:rPr>
            </w:pPr>
            <w:r>
              <w:rPr>
                <w:rFonts w:eastAsia="Times New Roman"/>
                <w:szCs w:val="20"/>
              </w:rPr>
              <w:t>-11.7</w:t>
            </w:r>
          </w:p>
        </w:tc>
        <w:tc>
          <w:tcPr>
            <w:tcW w:w="1177" w:type="dxa"/>
          </w:tcPr>
          <w:p w14:paraId="0749EE28" w14:textId="77777777" w:rsidR="003138BD" w:rsidRDefault="003138BD">
            <w:pPr>
              <w:jc w:val="center"/>
              <w:rPr>
                <w:rFonts w:eastAsia="Times New Roman"/>
                <w:szCs w:val="20"/>
              </w:rPr>
            </w:pPr>
            <w:r>
              <w:rPr>
                <w:rFonts w:eastAsia="Times New Roman"/>
                <w:szCs w:val="20"/>
              </w:rPr>
              <w:t>550</w:t>
            </w:r>
          </w:p>
        </w:tc>
      </w:tr>
      <w:tr w:rsidR="003138BD" w14:paraId="77B70EA3" w14:textId="77777777" w:rsidTr="00D74C6D">
        <w:tc>
          <w:tcPr>
            <w:tcW w:w="9640" w:type="dxa"/>
            <w:gridSpan w:val="7"/>
            <w:shd w:val="clear" w:color="auto" w:fill="005F85" w:themeFill="accent2"/>
          </w:tcPr>
          <w:p w14:paraId="19AC07E1" w14:textId="77777777" w:rsidR="003138BD" w:rsidRDefault="003138BD">
            <w:pPr>
              <w:rPr>
                <w:rFonts w:eastAsia="Times New Roman"/>
                <w:szCs w:val="20"/>
              </w:rPr>
            </w:pPr>
            <w:r>
              <w:rPr>
                <w:rFonts w:eastAsia="Times New Roman"/>
                <w:b/>
                <w:bCs/>
                <w:color w:val="FFFFFF" w:themeColor="background1"/>
                <w:szCs w:val="20"/>
              </w:rPr>
              <w:t>Age (grouped by school-age):</w:t>
            </w:r>
          </w:p>
        </w:tc>
      </w:tr>
      <w:tr w:rsidR="003138BD" w14:paraId="6045A741" w14:textId="77777777" w:rsidTr="00D74C6D">
        <w:tc>
          <w:tcPr>
            <w:tcW w:w="2411" w:type="dxa"/>
          </w:tcPr>
          <w:p w14:paraId="44B9837E" w14:textId="77777777" w:rsidR="003138BD" w:rsidRDefault="003138BD">
            <w:pPr>
              <w:rPr>
                <w:rFonts w:eastAsia="Times New Roman"/>
                <w:szCs w:val="20"/>
              </w:rPr>
            </w:pPr>
            <w:r w:rsidRPr="009119C7">
              <w:rPr>
                <w:rFonts w:eastAsia="Times New Roman"/>
                <w:szCs w:val="20"/>
              </w:rPr>
              <w:t>1</w:t>
            </w:r>
            <w:r>
              <w:rPr>
                <w:rFonts w:eastAsia="Times New Roman"/>
                <w:szCs w:val="20"/>
              </w:rPr>
              <w:t>2</w:t>
            </w:r>
            <w:r w:rsidRPr="009119C7">
              <w:rPr>
                <w:rFonts w:eastAsia="Times New Roman"/>
                <w:szCs w:val="20"/>
              </w:rPr>
              <w:t xml:space="preserve"> to under 24 months</w:t>
            </w:r>
          </w:p>
        </w:tc>
        <w:tc>
          <w:tcPr>
            <w:tcW w:w="992" w:type="dxa"/>
          </w:tcPr>
          <w:p w14:paraId="1BF6516B" w14:textId="77777777" w:rsidR="003138BD" w:rsidRDefault="003138BD">
            <w:pPr>
              <w:jc w:val="center"/>
              <w:rPr>
                <w:rFonts w:eastAsia="Times New Roman"/>
                <w:szCs w:val="20"/>
              </w:rPr>
            </w:pPr>
            <w:r>
              <w:rPr>
                <w:rFonts w:eastAsia="Times New Roman"/>
                <w:szCs w:val="20"/>
              </w:rPr>
              <w:t>600</w:t>
            </w:r>
          </w:p>
        </w:tc>
        <w:tc>
          <w:tcPr>
            <w:tcW w:w="1276" w:type="dxa"/>
          </w:tcPr>
          <w:p w14:paraId="539E24C6" w14:textId="77777777" w:rsidR="003138BD" w:rsidRDefault="003138BD">
            <w:pPr>
              <w:jc w:val="center"/>
              <w:rPr>
                <w:rFonts w:eastAsia="Times New Roman"/>
                <w:szCs w:val="20"/>
              </w:rPr>
            </w:pPr>
            <w:r>
              <w:rPr>
                <w:rFonts w:eastAsia="Times New Roman"/>
                <w:szCs w:val="20"/>
              </w:rPr>
              <w:t>10.6</w:t>
            </w:r>
          </w:p>
        </w:tc>
        <w:tc>
          <w:tcPr>
            <w:tcW w:w="1134" w:type="dxa"/>
          </w:tcPr>
          <w:p w14:paraId="74F5B4E4" w14:textId="77777777" w:rsidR="003138BD" w:rsidRDefault="003138BD">
            <w:pPr>
              <w:jc w:val="center"/>
              <w:rPr>
                <w:rFonts w:eastAsia="Times New Roman"/>
                <w:szCs w:val="20"/>
              </w:rPr>
            </w:pPr>
            <w:r>
              <w:rPr>
                <w:rFonts w:eastAsia="Times New Roman"/>
                <w:szCs w:val="20"/>
              </w:rPr>
              <w:t>62.9</w:t>
            </w:r>
          </w:p>
        </w:tc>
        <w:tc>
          <w:tcPr>
            <w:tcW w:w="1417" w:type="dxa"/>
          </w:tcPr>
          <w:p w14:paraId="11297D6D" w14:textId="77777777" w:rsidR="003138BD" w:rsidRDefault="003138BD">
            <w:pPr>
              <w:jc w:val="center"/>
              <w:rPr>
                <w:rFonts w:eastAsia="Times New Roman"/>
                <w:szCs w:val="20"/>
              </w:rPr>
            </w:pPr>
            <w:r>
              <w:rPr>
                <w:rFonts w:eastAsia="Times New Roman"/>
                <w:szCs w:val="20"/>
              </w:rPr>
              <w:t>157.8.0</w:t>
            </w:r>
          </w:p>
        </w:tc>
        <w:tc>
          <w:tcPr>
            <w:tcW w:w="1233" w:type="dxa"/>
          </w:tcPr>
          <w:p w14:paraId="7FBD75F7" w14:textId="77777777" w:rsidR="003138BD" w:rsidRDefault="003138BD">
            <w:pPr>
              <w:jc w:val="center"/>
              <w:rPr>
                <w:rFonts w:eastAsia="Times New Roman"/>
                <w:szCs w:val="20"/>
              </w:rPr>
            </w:pPr>
            <w:r>
              <w:rPr>
                <w:rFonts w:eastAsia="Times New Roman"/>
                <w:szCs w:val="20"/>
              </w:rPr>
              <w:t>42.2</w:t>
            </w:r>
          </w:p>
        </w:tc>
        <w:tc>
          <w:tcPr>
            <w:tcW w:w="1177" w:type="dxa"/>
          </w:tcPr>
          <w:p w14:paraId="22638DDA" w14:textId="77777777" w:rsidR="003138BD" w:rsidRDefault="003138BD">
            <w:pPr>
              <w:jc w:val="center"/>
              <w:rPr>
                <w:rFonts w:eastAsia="Times New Roman"/>
                <w:szCs w:val="20"/>
              </w:rPr>
            </w:pPr>
            <w:r>
              <w:rPr>
                <w:rFonts w:eastAsia="Times New Roman"/>
                <w:szCs w:val="20"/>
              </w:rPr>
              <w:t>200</w:t>
            </w:r>
          </w:p>
        </w:tc>
      </w:tr>
      <w:tr w:rsidR="003138BD" w14:paraId="5B1617F8" w14:textId="77777777" w:rsidTr="00D74C6D">
        <w:tc>
          <w:tcPr>
            <w:tcW w:w="2411" w:type="dxa"/>
          </w:tcPr>
          <w:p w14:paraId="6B2E5841" w14:textId="77777777" w:rsidR="003138BD" w:rsidRDefault="003138BD">
            <w:pPr>
              <w:rPr>
                <w:rFonts w:eastAsia="Times New Roman"/>
                <w:szCs w:val="20"/>
              </w:rPr>
            </w:pPr>
            <w:r w:rsidRPr="009119C7">
              <w:rPr>
                <w:rFonts w:eastAsia="Times New Roman"/>
                <w:szCs w:val="20"/>
              </w:rPr>
              <w:t>2 to under 5 years</w:t>
            </w:r>
          </w:p>
        </w:tc>
        <w:tc>
          <w:tcPr>
            <w:tcW w:w="992" w:type="dxa"/>
          </w:tcPr>
          <w:p w14:paraId="6BFCA82D" w14:textId="77777777" w:rsidR="003138BD" w:rsidRDefault="003138BD">
            <w:pPr>
              <w:jc w:val="center"/>
              <w:rPr>
                <w:rFonts w:eastAsia="Times New Roman"/>
                <w:szCs w:val="20"/>
              </w:rPr>
            </w:pPr>
            <w:r>
              <w:rPr>
                <w:rFonts w:eastAsia="Times New Roman"/>
                <w:szCs w:val="20"/>
              </w:rPr>
              <w:t>600</w:t>
            </w:r>
          </w:p>
        </w:tc>
        <w:tc>
          <w:tcPr>
            <w:tcW w:w="1276" w:type="dxa"/>
          </w:tcPr>
          <w:p w14:paraId="56CCBC35" w14:textId="77777777" w:rsidR="003138BD" w:rsidRDefault="003138BD">
            <w:pPr>
              <w:jc w:val="center"/>
              <w:rPr>
                <w:rFonts w:eastAsia="Times New Roman"/>
                <w:szCs w:val="20"/>
              </w:rPr>
            </w:pPr>
            <w:r>
              <w:rPr>
                <w:rFonts w:eastAsia="Times New Roman"/>
                <w:szCs w:val="20"/>
              </w:rPr>
              <w:t>15.9</w:t>
            </w:r>
          </w:p>
        </w:tc>
        <w:tc>
          <w:tcPr>
            <w:tcW w:w="1134" w:type="dxa"/>
          </w:tcPr>
          <w:p w14:paraId="075D32D2" w14:textId="77777777" w:rsidR="003138BD" w:rsidRDefault="003138BD">
            <w:pPr>
              <w:jc w:val="center"/>
              <w:rPr>
                <w:rFonts w:eastAsia="Times New Roman"/>
                <w:szCs w:val="20"/>
              </w:rPr>
            </w:pPr>
            <w:r>
              <w:rPr>
                <w:rFonts w:eastAsia="Times New Roman"/>
                <w:szCs w:val="20"/>
              </w:rPr>
              <w:t>62.9</w:t>
            </w:r>
          </w:p>
        </w:tc>
        <w:tc>
          <w:tcPr>
            <w:tcW w:w="1417" w:type="dxa"/>
          </w:tcPr>
          <w:p w14:paraId="1D73558B" w14:textId="77777777" w:rsidR="003138BD" w:rsidRDefault="003138BD">
            <w:pPr>
              <w:jc w:val="center"/>
              <w:rPr>
                <w:rFonts w:eastAsia="Times New Roman"/>
                <w:szCs w:val="20"/>
              </w:rPr>
            </w:pPr>
            <w:r>
              <w:rPr>
                <w:rFonts w:eastAsia="Times New Roman"/>
                <w:szCs w:val="20"/>
              </w:rPr>
              <w:t>213.9</w:t>
            </w:r>
          </w:p>
        </w:tc>
        <w:tc>
          <w:tcPr>
            <w:tcW w:w="1233" w:type="dxa"/>
          </w:tcPr>
          <w:p w14:paraId="6CA57243" w14:textId="77777777" w:rsidR="003138BD" w:rsidRDefault="003138BD">
            <w:pPr>
              <w:jc w:val="center"/>
              <w:rPr>
                <w:rFonts w:eastAsia="Times New Roman"/>
                <w:szCs w:val="20"/>
              </w:rPr>
            </w:pPr>
            <w:r>
              <w:rPr>
                <w:rFonts w:eastAsia="Times New Roman"/>
                <w:szCs w:val="20"/>
              </w:rPr>
              <w:t>36.1</w:t>
            </w:r>
          </w:p>
        </w:tc>
        <w:tc>
          <w:tcPr>
            <w:tcW w:w="1177" w:type="dxa"/>
          </w:tcPr>
          <w:p w14:paraId="221D5A18" w14:textId="77777777" w:rsidR="003138BD" w:rsidRDefault="003138BD">
            <w:pPr>
              <w:jc w:val="center"/>
              <w:rPr>
                <w:rFonts w:eastAsia="Times New Roman"/>
                <w:szCs w:val="20"/>
              </w:rPr>
            </w:pPr>
            <w:r>
              <w:rPr>
                <w:rFonts w:eastAsia="Times New Roman"/>
                <w:szCs w:val="20"/>
              </w:rPr>
              <w:t>250</w:t>
            </w:r>
          </w:p>
        </w:tc>
      </w:tr>
      <w:tr w:rsidR="003138BD" w14:paraId="37F6DF3B" w14:textId="77777777" w:rsidTr="00D74C6D">
        <w:tc>
          <w:tcPr>
            <w:tcW w:w="2411" w:type="dxa"/>
          </w:tcPr>
          <w:p w14:paraId="79A26958" w14:textId="77777777" w:rsidR="003138BD" w:rsidRDefault="003138BD">
            <w:pPr>
              <w:rPr>
                <w:rFonts w:eastAsia="Times New Roman"/>
                <w:szCs w:val="20"/>
              </w:rPr>
            </w:pPr>
            <w:r w:rsidRPr="009119C7">
              <w:rPr>
                <w:rFonts w:eastAsia="Times New Roman"/>
                <w:szCs w:val="20"/>
              </w:rPr>
              <w:t>5 to under 12 years</w:t>
            </w:r>
          </w:p>
        </w:tc>
        <w:tc>
          <w:tcPr>
            <w:tcW w:w="992" w:type="dxa"/>
          </w:tcPr>
          <w:p w14:paraId="66B05685" w14:textId="77777777" w:rsidR="003138BD" w:rsidRDefault="003138BD">
            <w:pPr>
              <w:jc w:val="center"/>
              <w:rPr>
                <w:rFonts w:eastAsia="Times New Roman"/>
                <w:szCs w:val="20"/>
              </w:rPr>
            </w:pPr>
            <w:r>
              <w:rPr>
                <w:rFonts w:eastAsia="Times New Roman"/>
                <w:szCs w:val="20"/>
              </w:rPr>
              <w:t>600</w:t>
            </w:r>
          </w:p>
        </w:tc>
        <w:tc>
          <w:tcPr>
            <w:tcW w:w="1276" w:type="dxa"/>
          </w:tcPr>
          <w:p w14:paraId="15F40868" w14:textId="77777777" w:rsidR="003138BD" w:rsidRDefault="003138BD">
            <w:pPr>
              <w:jc w:val="center"/>
              <w:rPr>
                <w:rFonts w:eastAsia="Times New Roman"/>
                <w:szCs w:val="20"/>
              </w:rPr>
            </w:pPr>
            <w:r>
              <w:rPr>
                <w:rFonts w:eastAsia="Times New Roman"/>
                <w:szCs w:val="20"/>
              </w:rPr>
              <w:t>28.6</w:t>
            </w:r>
          </w:p>
        </w:tc>
        <w:tc>
          <w:tcPr>
            <w:tcW w:w="1134" w:type="dxa"/>
          </w:tcPr>
          <w:p w14:paraId="4DF33A53" w14:textId="77777777" w:rsidR="003138BD" w:rsidRDefault="003138BD">
            <w:pPr>
              <w:jc w:val="center"/>
              <w:rPr>
                <w:rFonts w:eastAsia="Times New Roman"/>
                <w:szCs w:val="20"/>
              </w:rPr>
            </w:pPr>
            <w:r>
              <w:rPr>
                <w:rFonts w:eastAsia="Times New Roman"/>
                <w:szCs w:val="20"/>
              </w:rPr>
              <w:t>62.9</w:t>
            </w:r>
          </w:p>
        </w:tc>
        <w:tc>
          <w:tcPr>
            <w:tcW w:w="1417" w:type="dxa"/>
          </w:tcPr>
          <w:p w14:paraId="07115301" w14:textId="77777777" w:rsidR="003138BD" w:rsidRDefault="003138BD">
            <w:pPr>
              <w:jc w:val="center"/>
              <w:rPr>
                <w:rFonts w:eastAsia="Times New Roman"/>
                <w:szCs w:val="20"/>
              </w:rPr>
            </w:pPr>
            <w:r>
              <w:rPr>
                <w:rFonts w:eastAsia="Times New Roman"/>
                <w:szCs w:val="20"/>
              </w:rPr>
              <w:t>332.2</w:t>
            </w:r>
          </w:p>
        </w:tc>
        <w:tc>
          <w:tcPr>
            <w:tcW w:w="1233" w:type="dxa"/>
          </w:tcPr>
          <w:p w14:paraId="3EAA0077" w14:textId="77777777" w:rsidR="003138BD" w:rsidRDefault="003138BD">
            <w:pPr>
              <w:jc w:val="center"/>
              <w:rPr>
                <w:rFonts w:eastAsia="Times New Roman"/>
                <w:szCs w:val="20"/>
              </w:rPr>
            </w:pPr>
            <w:r>
              <w:rPr>
                <w:rFonts w:eastAsia="Times New Roman"/>
                <w:szCs w:val="20"/>
              </w:rPr>
              <w:t>17.8</w:t>
            </w:r>
          </w:p>
        </w:tc>
        <w:tc>
          <w:tcPr>
            <w:tcW w:w="1177" w:type="dxa"/>
          </w:tcPr>
          <w:p w14:paraId="1AE0AA6D" w14:textId="77777777" w:rsidR="003138BD" w:rsidRDefault="003138BD">
            <w:pPr>
              <w:jc w:val="center"/>
              <w:rPr>
                <w:rFonts w:eastAsia="Times New Roman"/>
                <w:szCs w:val="20"/>
              </w:rPr>
            </w:pPr>
            <w:r>
              <w:rPr>
                <w:rFonts w:eastAsia="Times New Roman"/>
                <w:szCs w:val="20"/>
              </w:rPr>
              <w:t>350</w:t>
            </w:r>
          </w:p>
        </w:tc>
      </w:tr>
      <w:tr w:rsidR="003138BD" w14:paraId="5BD0FAFD" w14:textId="77777777" w:rsidTr="00D74C6D">
        <w:tc>
          <w:tcPr>
            <w:tcW w:w="2411" w:type="dxa"/>
          </w:tcPr>
          <w:p w14:paraId="14DEA6CA" w14:textId="77777777" w:rsidR="003138BD" w:rsidRDefault="003138BD">
            <w:pPr>
              <w:rPr>
                <w:rFonts w:eastAsia="Times New Roman"/>
                <w:szCs w:val="20"/>
              </w:rPr>
            </w:pPr>
            <w:r w:rsidRPr="009119C7">
              <w:rPr>
                <w:rFonts w:eastAsia="Times New Roman"/>
                <w:szCs w:val="20"/>
              </w:rPr>
              <w:t>12 to under 18 years</w:t>
            </w:r>
          </w:p>
        </w:tc>
        <w:tc>
          <w:tcPr>
            <w:tcW w:w="992" w:type="dxa"/>
          </w:tcPr>
          <w:p w14:paraId="3CB14A61" w14:textId="77777777" w:rsidR="003138BD" w:rsidRDefault="003138BD">
            <w:pPr>
              <w:jc w:val="center"/>
              <w:rPr>
                <w:rFonts w:eastAsia="Times New Roman"/>
                <w:szCs w:val="20"/>
              </w:rPr>
            </w:pPr>
            <w:r>
              <w:rPr>
                <w:rFonts w:eastAsia="Times New Roman"/>
                <w:szCs w:val="20"/>
              </w:rPr>
              <w:t>600</w:t>
            </w:r>
          </w:p>
        </w:tc>
        <w:tc>
          <w:tcPr>
            <w:tcW w:w="1276" w:type="dxa"/>
          </w:tcPr>
          <w:p w14:paraId="787F5183" w14:textId="77777777" w:rsidR="003138BD" w:rsidRDefault="003138BD">
            <w:pPr>
              <w:jc w:val="center"/>
              <w:rPr>
                <w:rFonts w:eastAsia="Times New Roman"/>
                <w:szCs w:val="20"/>
              </w:rPr>
            </w:pPr>
            <w:r>
              <w:rPr>
                <w:rFonts w:eastAsia="Times New Roman"/>
                <w:szCs w:val="20"/>
              </w:rPr>
              <w:t>54.5</w:t>
            </w:r>
          </w:p>
        </w:tc>
        <w:tc>
          <w:tcPr>
            <w:tcW w:w="1134" w:type="dxa"/>
          </w:tcPr>
          <w:p w14:paraId="47670C78" w14:textId="77777777" w:rsidR="003138BD" w:rsidRDefault="003138BD">
            <w:pPr>
              <w:jc w:val="center"/>
              <w:rPr>
                <w:rFonts w:eastAsia="Times New Roman"/>
                <w:szCs w:val="20"/>
              </w:rPr>
            </w:pPr>
            <w:r>
              <w:rPr>
                <w:rFonts w:eastAsia="Times New Roman"/>
                <w:szCs w:val="20"/>
              </w:rPr>
              <w:t>62.9</w:t>
            </w:r>
          </w:p>
        </w:tc>
        <w:tc>
          <w:tcPr>
            <w:tcW w:w="1417" w:type="dxa"/>
          </w:tcPr>
          <w:p w14:paraId="5756376D" w14:textId="77777777" w:rsidR="003138BD" w:rsidRDefault="003138BD">
            <w:pPr>
              <w:jc w:val="center"/>
              <w:rPr>
                <w:rFonts w:eastAsia="Times New Roman"/>
                <w:szCs w:val="20"/>
              </w:rPr>
            </w:pPr>
            <w:r>
              <w:rPr>
                <w:rFonts w:eastAsia="Times New Roman"/>
                <w:szCs w:val="20"/>
              </w:rPr>
              <w:t>538.8</w:t>
            </w:r>
          </w:p>
        </w:tc>
        <w:tc>
          <w:tcPr>
            <w:tcW w:w="1233" w:type="dxa"/>
          </w:tcPr>
          <w:p w14:paraId="219936A7" w14:textId="77777777" w:rsidR="003138BD" w:rsidRDefault="003138BD">
            <w:pPr>
              <w:jc w:val="center"/>
              <w:rPr>
                <w:rFonts w:eastAsia="Times New Roman"/>
                <w:szCs w:val="20"/>
              </w:rPr>
            </w:pPr>
            <w:r>
              <w:rPr>
                <w:rFonts w:eastAsia="Times New Roman"/>
                <w:szCs w:val="20"/>
              </w:rPr>
              <w:t>-38.8</w:t>
            </w:r>
          </w:p>
        </w:tc>
        <w:tc>
          <w:tcPr>
            <w:tcW w:w="1177" w:type="dxa"/>
          </w:tcPr>
          <w:p w14:paraId="0DD26748" w14:textId="77777777" w:rsidR="003138BD" w:rsidRDefault="003138BD">
            <w:pPr>
              <w:jc w:val="center"/>
              <w:rPr>
                <w:rFonts w:eastAsia="Times New Roman"/>
                <w:szCs w:val="20"/>
              </w:rPr>
            </w:pPr>
            <w:r>
              <w:rPr>
                <w:rFonts w:eastAsia="Times New Roman"/>
                <w:szCs w:val="20"/>
              </w:rPr>
              <w:t>500</w:t>
            </w:r>
          </w:p>
        </w:tc>
      </w:tr>
    </w:tbl>
    <w:p w14:paraId="7B39A0D6" w14:textId="77777777" w:rsidR="003138BD" w:rsidRDefault="003138BD" w:rsidP="003138BD">
      <w:pPr>
        <w:rPr>
          <w:rFonts w:asciiTheme="majorHAnsi" w:eastAsiaTheme="majorEastAsia" w:hAnsiTheme="majorHAnsi" w:cstheme="majorBidi"/>
          <w:b/>
          <w:bCs/>
          <w:color w:val="379AC4" w:themeColor="accent1" w:themeShade="BF"/>
          <w:sz w:val="40"/>
          <w:szCs w:val="40"/>
        </w:rPr>
      </w:pPr>
      <w:r>
        <w:rPr>
          <w:b/>
          <w:bCs/>
        </w:rPr>
        <w:br w:type="page"/>
      </w:r>
    </w:p>
    <w:p w14:paraId="6CDC2547" w14:textId="77777777" w:rsidR="003138BD" w:rsidRDefault="003138BD" w:rsidP="00D74C6D">
      <w:pPr>
        <w:pStyle w:val="Heading2"/>
      </w:pPr>
      <w:bookmarkStart w:id="138" w:name="_Toc210406393"/>
      <w:bookmarkStart w:id="139" w:name="_Toc212567892"/>
      <w:r>
        <w:lastRenderedPageBreak/>
        <w:t>Benchmarking</w:t>
      </w:r>
      <w:bookmarkEnd w:id="138"/>
      <w:bookmarkEnd w:id="139"/>
      <w:r>
        <w:t xml:space="preserve"> </w:t>
      </w:r>
    </w:p>
    <w:p w14:paraId="548F1897" w14:textId="77777777" w:rsidR="003138BD" w:rsidRDefault="003138BD" w:rsidP="00D74C6D">
      <w:pPr>
        <w:pStyle w:val="Heading3"/>
      </w:pPr>
      <w:bookmarkStart w:id="140" w:name="_Toc210406394"/>
      <w:bookmarkStart w:id="141" w:name="_Toc212567893"/>
      <w:r>
        <w:t>International comparisons</w:t>
      </w:r>
      <w:bookmarkEnd w:id="140"/>
      <w:bookmarkEnd w:id="141"/>
    </w:p>
    <w:p w14:paraId="10AF462E" w14:textId="77777777" w:rsidR="003138BD" w:rsidRDefault="003138BD" w:rsidP="00D74C6D">
      <w:pPr>
        <w:pStyle w:val="Heading4"/>
      </w:pPr>
      <w:bookmarkStart w:id="142" w:name="_Toc210406395"/>
      <w:bookmarkStart w:id="143" w:name="_Toc212567894"/>
      <w:r>
        <w:t>Nutritional adequacy recommendations</w:t>
      </w:r>
      <w:bookmarkEnd w:id="142"/>
      <w:bookmarkEnd w:id="143"/>
    </w:p>
    <w:p w14:paraId="2F2406B6" w14:textId="77777777" w:rsidR="003138BD" w:rsidRPr="00A72016" w:rsidRDefault="003138BD" w:rsidP="003138BD">
      <w:pPr>
        <w:rPr>
          <w:rFonts w:eastAsia="Times New Roman"/>
          <w:szCs w:val="20"/>
        </w:rPr>
      </w:pPr>
      <w:r>
        <w:rPr>
          <w:rFonts w:eastAsia="Times New Roman"/>
          <w:szCs w:val="20"/>
          <w:highlight w:val="yellow"/>
        </w:rPr>
        <w:fldChar w:fldCharType="begin"/>
      </w:r>
      <w:r>
        <w:rPr>
          <w:rFonts w:eastAsia="Times New Roman"/>
          <w:szCs w:val="20"/>
        </w:rPr>
        <w:instrText xml:space="preserve"> REF _Ref205905769 \h </w:instrText>
      </w:r>
      <w:r>
        <w:rPr>
          <w:rFonts w:eastAsia="Times New Roman"/>
          <w:szCs w:val="20"/>
          <w:highlight w:val="yellow"/>
        </w:rPr>
      </w:r>
      <w:r>
        <w:rPr>
          <w:rFonts w:eastAsia="Times New Roman"/>
          <w:szCs w:val="20"/>
          <w:highlight w:val="yellow"/>
        </w:rPr>
        <w:fldChar w:fldCharType="separate"/>
      </w:r>
      <w:r>
        <w:t xml:space="preserve">Table </w:t>
      </w:r>
      <w:r>
        <w:rPr>
          <w:noProof/>
        </w:rPr>
        <w:t>11</w:t>
      </w:r>
      <w:r>
        <w:rPr>
          <w:rFonts w:eastAsia="Times New Roman"/>
          <w:szCs w:val="20"/>
          <w:highlight w:val="yellow"/>
        </w:rPr>
        <w:fldChar w:fldCharType="end"/>
      </w:r>
      <w:r>
        <w:rPr>
          <w:rFonts w:eastAsia="Times New Roman"/>
          <w:szCs w:val="20"/>
        </w:rPr>
        <w:t>shows NRV recommendations for nutritional adequacy (preventing iodine deficiency) across comparable international jurisdictions. To account for differing age groupings across jurisdictions, values have been adjusted using a weighted average calculation, to align with NHMRC’s proposed age groupings. Adjusted values are denoted by * in the table. Where a jurisdiction specifies an EAR and RDI, the RDI has been extracted for comparison purposes.</w:t>
      </w:r>
    </w:p>
    <w:p w14:paraId="14225035" w14:textId="3834A854" w:rsidR="003138BD" w:rsidRDefault="003138BD" w:rsidP="00D74C6D">
      <w:pPr>
        <w:pStyle w:val="TableTitle"/>
      </w:pPr>
      <w:r>
        <w:t>Comparison of proposed AIs with international nutritional adequacy recommendations from comparable international jurisdictions</w:t>
      </w:r>
    </w:p>
    <w:tbl>
      <w:tblPr>
        <w:tblStyle w:val="DefaultTable1"/>
        <w:tblW w:w="9989" w:type="dxa"/>
        <w:tblInd w:w="0" w:type="dxa"/>
        <w:tblLayout w:type="fixed"/>
        <w:tblLook w:val="0620" w:firstRow="1" w:lastRow="0" w:firstColumn="0" w:lastColumn="0" w:noHBand="1" w:noVBand="1"/>
      </w:tblPr>
      <w:tblGrid>
        <w:gridCol w:w="2183"/>
        <w:gridCol w:w="1276"/>
        <w:gridCol w:w="1427"/>
        <w:gridCol w:w="1276"/>
        <w:gridCol w:w="1276"/>
        <w:gridCol w:w="1275"/>
        <w:gridCol w:w="1276"/>
      </w:tblGrid>
      <w:tr w:rsidR="003138BD" w:rsidRPr="00C47322" w14:paraId="067372DE" w14:textId="77777777" w:rsidTr="001376A2">
        <w:trPr>
          <w:cnfStyle w:val="100000000000" w:firstRow="1" w:lastRow="0" w:firstColumn="0" w:lastColumn="0" w:oddVBand="0" w:evenVBand="0" w:oddHBand="0" w:evenHBand="0" w:firstRowFirstColumn="0" w:firstRowLastColumn="0" w:lastRowFirstColumn="0" w:lastRowLastColumn="0"/>
          <w:trHeight w:val="900"/>
        </w:trPr>
        <w:tc>
          <w:tcPr>
            <w:tcW w:w="2183" w:type="dxa"/>
            <w:hideMark/>
          </w:tcPr>
          <w:p w14:paraId="036BBDCD" w14:textId="77777777" w:rsidR="003138BD" w:rsidRPr="00C47322" w:rsidRDefault="003138BD">
            <w:pPr>
              <w:spacing w:after="0" w:line="240" w:lineRule="auto"/>
              <w:rPr>
                <w:rFonts w:eastAsia="Times New Roman" w:cs="Times New Roman"/>
                <w:b w:val="0"/>
                <w:bCs w:val="0"/>
                <w:lang w:eastAsia="en-AU"/>
              </w:rPr>
            </w:pPr>
            <w:r w:rsidRPr="00C47322">
              <w:rPr>
                <w:rFonts w:eastAsia="Times New Roman" w:cs="Times New Roman"/>
                <w:lang w:eastAsia="en-AU"/>
              </w:rPr>
              <w:t>Age (years)</w:t>
            </w:r>
          </w:p>
        </w:tc>
        <w:tc>
          <w:tcPr>
            <w:tcW w:w="1276" w:type="dxa"/>
          </w:tcPr>
          <w:p w14:paraId="575D0BF5" w14:textId="77777777" w:rsidR="003138BD" w:rsidRDefault="003138BD">
            <w:pPr>
              <w:spacing w:after="0" w:line="240" w:lineRule="auto"/>
              <w:ind w:left="-111"/>
              <w:jc w:val="center"/>
              <w:rPr>
                <w:rFonts w:eastAsia="Times New Roman" w:cs="Times New Roman"/>
                <w:b w:val="0"/>
                <w:bCs w:val="0"/>
                <w:lang w:eastAsia="en-AU"/>
              </w:rPr>
            </w:pPr>
            <w:r w:rsidRPr="005E7763">
              <w:rPr>
                <w:rFonts w:eastAsia="Times New Roman" w:cs="Times New Roman"/>
                <w:lang w:eastAsia="en-AU"/>
              </w:rPr>
              <w:t xml:space="preserve">Proposed </w:t>
            </w:r>
            <w:r>
              <w:rPr>
                <w:rFonts w:eastAsia="Times New Roman" w:cs="Times New Roman"/>
                <w:lang w:eastAsia="en-AU"/>
              </w:rPr>
              <w:t>ANZ RDI</w:t>
            </w:r>
          </w:p>
          <w:p w14:paraId="27A08F78" w14:textId="77777777" w:rsidR="003138BD" w:rsidRPr="005E7763" w:rsidRDefault="003138BD">
            <w:pPr>
              <w:spacing w:after="0" w:line="240" w:lineRule="auto"/>
              <w:ind w:left="-111"/>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427" w:type="dxa"/>
            <w:hideMark/>
          </w:tcPr>
          <w:p w14:paraId="55ACC3C9" w14:textId="77777777" w:rsidR="003138BD" w:rsidRDefault="003138BD">
            <w:pPr>
              <w:spacing w:after="0" w:line="240" w:lineRule="auto"/>
              <w:jc w:val="center"/>
              <w:rPr>
                <w:rFonts w:eastAsia="Times New Roman" w:cs="Times New Roman"/>
                <w:b w:val="0"/>
                <w:bCs w:val="0"/>
                <w:lang w:eastAsia="en-AU"/>
              </w:rPr>
            </w:pPr>
            <w:r w:rsidRPr="005E7763">
              <w:rPr>
                <w:rFonts w:eastAsia="Times New Roman" w:cs="Times New Roman"/>
                <w:lang w:eastAsia="en-AU"/>
              </w:rPr>
              <w:t xml:space="preserve">Current </w:t>
            </w:r>
            <w:r>
              <w:rPr>
                <w:rFonts w:eastAsia="Times New Roman" w:cs="Times New Roman"/>
                <w:lang w:eastAsia="en-AU"/>
              </w:rPr>
              <w:t xml:space="preserve">ANZ </w:t>
            </w:r>
            <w:r w:rsidRPr="00C47322">
              <w:rPr>
                <w:rFonts w:eastAsia="Times New Roman" w:cs="Times New Roman"/>
                <w:lang w:eastAsia="en-AU"/>
              </w:rPr>
              <w:t xml:space="preserve">RDI </w:t>
            </w:r>
          </w:p>
          <w:p w14:paraId="5FDFE403" w14:textId="77777777" w:rsidR="003138BD" w:rsidRDefault="003138BD">
            <w:pPr>
              <w:spacing w:after="0" w:line="240" w:lineRule="auto"/>
              <w:jc w:val="center"/>
              <w:rPr>
                <w:rFonts w:eastAsia="Times New Roman" w:cs="Times New Roman"/>
                <w:b w:val="0"/>
                <w:bCs w:val="0"/>
                <w:lang w:eastAsia="en-AU"/>
              </w:rPr>
            </w:pPr>
            <w:r w:rsidRPr="005E7763">
              <w:rPr>
                <w:rFonts w:eastAsia="Times New Roman" w:cs="Times New Roman"/>
                <w:lang w:eastAsia="en-AU"/>
              </w:rPr>
              <w:t>(2006)</w:t>
            </w:r>
          </w:p>
          <w:p w14:paraId="2B3B39CF" w14:textId="77777777" w:rsidR="003138BD" w:rsidRPr="00C47322" w:rsidRDefault="003138BD">
            <w:pPr>
              <w:spacing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276" w:type="dxa"/>
            <w:hideMark/>
          </w:tcPr>
          <w:p w14:paraId="1A257133" w14:textId="77777777" w:rsidR="003138BD" w:rsidRDefault="003138BD">
            <w:pPr>
              <w:spacing w:after="0" w:line="240" w:lineRule="auto"/>
              <w:jc w:val="center"/>
              <w:rPr>
                <w:rFonts w:eastAsia="Times New Roman" w:cs="Times New Roman"/>
                <w:b w:val="0"/>
                <w:bCs w:val="0"/>
                <w:lang w:eastAsia="en-AU"/>
              </w:rPr>
            </w:pPr>
            <w:r w:rsidRPr="00C47322">
              <w:rPr>
                <w:rFonts w:eastAsia="Times New Roman" w:cs="Times New Roman"/>
                <w:lang w:eastAsia="en-AU"/>
              </w:rPr>
              <w:t>EFSA AI</w:t>
            </w:r>
            <w:r w:rsidRPr="005E7763">
              <w:rPr>
                <w:rFonts w:eastAsia="Times New Roman" w:cs="Times New Roman"/>
                <w:lang w:eastAsia="en-AU"/>
              </w:rPr>
              <w:t xml:space="preserve"> </w:t>
            </w:r>
          </w:p>
          <w:p w14:paraId="29747171" w14:textId="77777777" w:rsidR="003138BD" w:rsidRDefault="003138BD">
            <w:pPr>
              <w:spacing w:after="0" w:line="240" w:lineRule="auto"/>
              <w:jc w:val="center"/>
              <w:rPr>
                <w:rFonts w:eastAsia="Times New Roman" w:cs="Times New Roman"/>
                <w:b w:val="0"/>
                <w:bCs w:val="0"/>
                <w:lang w:eastAsia="en-AU"/>
              </w:rPr>
            </w:pPr>
            <w:r w:rsidRPr="005E7763">
              <w:rPr>
                <w:rFonts w:eastAsia="Times New Roman" w:cs="Times New Roman"/>
                <w:lang w:eastAsia="en-AU"/>
              </w:rPr>
              <w:t>(2014)</w:t>
            </w:r>
          </w:p>
          <w:p w14:paraId="7330D390" w14:textId="77777777" w:rsidR="003138BD" w:rsidRPr="00C47322" w:rsidRDefault="003138BD">
            <w:pPr>
              <w:spacing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276" w:type="dxa"/>
            <w:hideMark/>
          </w:tcPr>
          <w:p w14:paraId="33314183" w14:textId="77777777" w:rsidR="003138BD" w:rsidRDefault="003138BD">
            <w:pPr>
              <w:spacing w:after="0" w:line="240" w:lineRule="auto"/>
              <w:jc w:val="center"/>
              <w:rPr>
                <w:rFonts w:eastAsia="Times New Roman" w:cs="Times New Roman"/>
                <w:b w:val="0"/>
                <w:bCs w:val="0"/>
                <w:lang w:eastAsia="en-AU"/>
              </w:rPr>
            </w:pPr>
            <w:r w:rsidRPr="00C47322">
              <w:rPr>
                <w:rFonts w:eastAsia="Times New Roman" w:cs="Times New Roman"/>
                <w:lang w:eastAsia="en-AU"/>
              </w:rPr>
              <w:t>NNR AI</w:t>
            </w:r>
            <w:r w:rsidRPr="005E7763">
              <w:rPr>
                <w:rFonts w:eastAsia="Times New Roman" w:cs="Times New Roman"/>
                <w:lang w:eastAsia="en-AU"/>
              </w:rPr>
              <w:t xml:space="preserve"> (2023)</w:t>
            </w:r>
          </w:p>
          <w:p w14:paraId="03AAFE5C" w14:textId="77777777" w:rsidR="003138BD" w:rsidRPr="00C47322" w:rsidRDefault="003138BD">
            <w:pPr>
              <w:spacing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275" w:type="dxa"/>
          </w:tcPr>
          <w:p w14:paraId="51ECB2A3" w14:textId="77777777" w:rsidR="003138BD" w:rsidRDefault="003138BD">
            <w:pPr>
              <w:spacing w:after="0" w:line="240" w:lineRule="auto"/>
              <w:jc w:val="center"/>
              <w:rPr>
                <w:rFonts w:eastAsia="Times New Roman" w:cs="Times New Roman"/>
                <w:b w:val="0"/>
                <w:bCs w:val="0"/>
                <w:lang w:eastAsia="en-AU"/>
              </w:rPr>
            </w:pPr>
            <w:r w:rsidRPr="005E7763">
              <w:rPr>
                <w:rFonts w:eastAsia="Times New Roman" w:cs="Times New Roman"/>
                <w:lang w:eastAsia="en-AU"/>
              </w:rPr>
              <w:t>WHO RDI (2007)</w:t>
            </w:r>
          </w:p>
          <w:p w14:paraId="008DFF4B" w14:textId="77777777" w:rsidR="003138BD" w:rsidRPr="005E7763" w:rsidRDefault="003138BD">
            <w:pPr>
              <w:spacing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276" w:type="dxa"/>
          </w:tcPr>
          <w:p w14:paraId="62879F2F" w14:textId="77777777" w:rsidR="003138BD" w:rsidRDefault="003138BD">
            <w:pPr>
              <w:spacing w:after="0" w:line="240" w:lineRule="auto"/>
              <w:jc w:val="center"/>
              <w:rPr>
                <w:rFonts w:eastAsia="Times New Roman" w:cs="Times New Roman"/>
                <w:b w:val="0"/>
                <w:bCs w:val="0"/>
                <w:lang w:eastAsia="en-AU"/>
              </w:rPr>
            </w:pPr>
            <w:r w:rsidRPr="005E7763">
              <w:rPr>
                <w:rFonts w:eastAsia="Times New Roman" w:cs="Times New Roman"/>
                <w:lang w:eastAsia="en-AU"/>
              </w:rPr>
              <w:t>D-A-C-H RDI (2013)</w:t>
            </w:r>
          </w:p>
          <w:p w14:paraId="07F2BE19" w14:textId="77777777" w:rsidR="003138BD" w:rsidRPr="005E7763" w:rsidRDefault="003138BD">
            <w:pPr>
              <w:spacing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r>
      <w:tr w:rsidR="003138BD" w:rsidRPr="00C47322" w14:paraId="698505B8" w14:textId="77777777" w:rsidTr="001376A2">
        <w:trPr>
          <w:trHeight w:val="300"/>
        </w:trPr>
        <w:tc>
          <w:tcPr>
            <w:tcW w:w="2183" w:type="dxa"/>
            <w:noWrap/>
          </w:tcPr>
          <w:p w14:paraId="160A6174" w14:textId="77777777" w:rsidR="003138BD" w:rsidRPr="005E7763" w:rsidRDefault="003138BD">
            <w:pPr>
              <w:spacing w:after="0" w:line="240" w:lineRule="auto"/>
              <w:rPr>
                <w:rFonts w:eastAsia="Times New Roman" w:cs="Times New Roman"/>
                <w:color w:val="000000"/>
                <w:lang w:eastAsia="en-AU"/>
              </w:rPr>
            </w:pPr>
            <w:r w:rsidRPr="005E7763">
              <w:rPr>
                <w:rFonts w:eastAsia="Times New Roman" w:cs="Times New Roman"/>
                <w:color w:val="000000"/>
                <w:lang w:eastAsia="en-AU"/>
              </w:rPr>
              <w:t>Adults 18 +years:</w:t>
            </w:r>
          </w:p>
        </w:tc>
        <w:tc>
          <w:tcPr>
            <w:tcW w:w="1276" w:type="dxa"/>
          </w:tcPr>
          <w:p w14:paraId="27495876" w14:textId="77777777" w:rsidR="003138BD" w:rsidRPr="005E7763" w:rsidRDefault="003138BD">
            <w:pPr>
              <w:spacing w:after="0" w:line="240" w:lineRule="auto"/>
              <w:jc w:val="center"/>
              <w:rPr>
                <w:rFonts w:eastAsia="Times New Roman" w:cs="Times New Roman"/>
                <w:color w:val="000000"/>
                <w:lang w:eastAsia="en-AU"/>
              </w:rPr>
            </w:pPr>
            <w:r w:rsidRPr="005E7763">
              <w:rPr>
                <w:rFonts w:eastAsia="Times New Roman" w:cs="Times New Roman"/>
                <w:color w:val="000000"/>
                <w:lang w:eastAsia="en-AU"/>
              </w:rPr>
              <w:t>150</w:t>
            </w:r>
          </w:p>
        </w:tc>
        <w:tc>
          <w:tcPr>
            <w:tcW w:w="1427" w:type="dxa"/>
            <w:noWrap/>
          </w:tcPr>
          <w:p w14:paraId="43D37EFC" w14:textId="77777777" w:rsidR="003138BD" w:rsidRPr="005E7763" w:rsidRDefault="003138BD">
            <w:pPr>
              <w:spacing w:after="0" w:line="240" w:lineRule="auto"/>
              <w:jc w:val="center"/>
              <w:rPr>
                <w:rFonts w:eastAsia="Times New Roman" w:cs="Times New Roman"/>
                <w:color w:val="000000"/>
                <w:lang w:eastAsia="en-AU"/>
              </w:rPr>
            </w:pPr>
            <w:r w:rsidRPr="005E7763">
              <w:rPr>
                <w:rFonts w:eastAsia="Times New Roman" w:cs="Times New Roman"/>
                <w:color w:val="000000"/>
                <w:lang w:eastAsia="en-AU"/>
              </w:rPr>
              <w:t>150</w:t>
            </w:r>
          </w:p>
        </w:tc>
        <w:tc>
          <w:tcPr>
            <w:tcW w:w="1276" w:type="dxa"/>
            <w:noWrap/>
          </w:tcPr>
          <w:p w14:paraId="23BB5467" w14:textId="77777777" w:rsidR="003138BD" w:rsidRPr="005E7763" w:rsidRDefault="003138BD">
            <w:pPr>
              <w:spacing w:after="0" w:line="240" w:lineRule="auto"/>
              <w:jc w:val="center"/>
              <w:rPr>
                <w:rFonts w:eastAsia="Times New Roman" w:cs="Times New Roman"/>
                <w:color w:val="000000"/>
                <w:lang w:eastAsia="en-AU"/>
              </w:rPr>
            </w:pPr>
            <w:r w:rsidRPr="005E7763">
              <w:rPr>
                <w:rFonts w:eastAsia="Times New Roman" w:cs="Times New Roman"/>
                <w:color w:val="000000"/>
                <w:lang w:eastAsia="en-AU"/>
              </w:rPr>
              <w:t>150</w:t>
            </w:r>
          </w:p>
        </w:tc>
        <w:tc>
          <w:tcPr>
            <w:tcW w:w="1276" w:type="dxa"/>
            <w:noWrap/>
          </w:tcPr>
          <w:p w14:paraId="64A1B880" w14:textId="77777777" w:rsidR="003138BD" w:rsidRPr="005E7763" w:rsidRDefault="003138BD">
            <w:pPr>
              <w:spacing w:after="0" w:line="240" w:lineRule="auto"/>
              <w:jc w:val="center"/>
              <w:rPr>
                <w:rFonts w:eastAsia="Times New Roman" w:cs="Times New Roman"/>
                <w:color w:val="000000"/>
                <w:lang w:eastAsia="en-AU"/>
              </w:rPr>
            </w:pPr>
            <w:r w:rsidRPr="005E7763">
              <w:rPr>
                <w:rFonts w:eastAsia="Times New Roman" w:cs="Times New Roman"/>
                <w:color w:val="000000"/>
                <w:lang w:eastAsia="en-AU"/>
              </w:rPr>
              <w:t>150</w:t>
            </w:r>
          </w:p>
        </w:tc>
        <w:tc>
          <w:tcPr>
            <w:tcW w:w="1275" w:type="dxa"/>
          </w:tcPr>
          <w:p w14:paraId="2B2FF279" w14:textId="77777777" w:rsidR="003138BD" w:rsidRPr="005E7763" w:rsidRDefault="003138BD">
            <w:pPr>
              <w:spacing w:after="0" w:line="240" w:lineRule="auto"/>
              <w:jc w:val="center"/>
              <w:rPr>
                <w:rFonts w:eastAsia="Times New Roman" w:cs="Times New Roman"/>
                <w:color w:val="000000"/>
                <w:lang w:eastAsia="en-AU"/>
              </w:rPr>
            </w:pPr>
            <w:r w:rsidRPr="005E7763">
              <w:rPr>
                <w:rFonts w:eastAsia="Times New Roman" w:cs="Times New Roman"/>
                <w:color w:val="000000"/>
                <w:lang w:eastAsia="en-AU"/>
              </w:rPr>
              <w:t>150</w:t>
            </w:r>
          </w:p>
        </w:tc>
        <w:tc>
          <w:tcPr>
            <w:tcW w:w="1276" w:type="dxa"/>
          </w:tcPr>
          <w:p w14:paraId="6975DBFA" w14:textId="77777777" w:rsidR="003138BD" w:rsidRPr="005E7763" w:rsidRDefault="003138BD">
            <w:pPr>
              <w:spacing w:after="0" w:line="240" w:lineRule="auto"/>
              <w:jc w:val="center"/>
              <w:rPr>
                <w:rFonts w:eastAsia="Times New Roman" w:cs="Times New Roman"/>
                <w:color w:val="000000"/>
                <w:lang w:eastAsia="en-AU"/>
              </w:rPr>
            </w:pPr>
            <w:r w:rsidRPr="005E7763">
              <w:rPr>
                <w:rFonts w:eastAsia="Times New Roman" w:cs="Times New Roman"/>
                <w:color w:val="000000"/>
                <w:lang w:eastAsia="en-AU"/>
              </w:rPr>
              <w:t>200</w:t>
            </w:r>
          </w:p>
        </w:tc>
      </w:tr>
      <w:tr w:rsidR="003138BD" w:rsidRPr="00C47322" w14:paraId="786B0701" w14:textId="77777777" w:rsidTr="001376A2">
        <w:trPr>
          <w:trHeight w:val="300"/>
        </w:trPr>
        <w:tc>
          <w:tcPr>
            <w:tcW w:w="2183" w:type="dxa"/>
            <w:noWrap/>
          </w:tcPr>
          <w:p w14:paraId="2F39665F" w14:textId="77777777" w:rsidR="003138BD" w:rsidRPr="005E7763" w:rsidRDefault="003138BD">
            <w:pPr>
              <w:spacing w:after="0" w:line="240" w:lineRule="auto"/>
              <w:rPr>
                <w:rFonts w:eastAsia="Times New Roman" w:cs="Times New Roman"/>
                <w:color w:val="000000"/>
                <w:lang w:eastAsia="en-AU"/>
              </w:rPr>
            </w:pPr>
            <w:r>
              <w:rPr>
                <w:rFonts w:eastAsia="Times New Roman" w:cs="Times New Roman"/>
                <w:color w:val="000000"/>
                <w:lang w:eastAsia="en-AU"/>
              </w:rPr>
              <w:t>Pregnancy (all)</w:t>
            </w:r>
            <w:r w:rsidRPr="005E7763">
              <w:rPr>
                <w:rFonts w:eastAsia="Times New Roman" w:cs="Times New Roman"/>
                <w:color w:val="000000"/>
                <w:lang w:eastAsia="en-AU"/>
              </w:rPr>
              <w:t>:</w:t>
            </w:r>
          </w:p>
        </w:tc>
        <w:tc>
          <w:tcPr>
            <w:tcW w:w="1276" w:type="dxa"/>
          </w:tcPr>
          <w:p w14:paraId="48190E06" w14:textId="77777777" w:rsidR="003138BD" w:rsidRPr="005E7763" w:rsidRDefault="003138BD">
            <w:pPr>
              <w:spacing w:after="0" w:line="240" w:lineRule="auto"/>
              <w:jc w:val="center"/>
              <w:rPr>
                <w:rFonts w:eastAsia="Times New Roman" w:cs="Times New Roman"/>
                <w:color w:val="000000"/>
                <w:lang w:eastAsia="en-AU"/>
              </w:rPr>
            </w:pPr>
            <w:r w:rsidRPr="00713A4C">
              <w:t>220</w:t>
            </w:r>
          </w:p>
        </w:tc>
        <w:tc>
          <w:tcPr>
            <w:tcW w:w="1427" w:type="dxa"/>
            <w:noWrap/>
          </w:tcPr>
          <w:p w14:paraId="043BC8E9" w14:textId="77777777" w:rsidR="003138BD" w:rsidRPr="005E7763" w:rsidRDefault="003138BD">
            <w:pPr>
              <w:spacing w:after="0" w:line="240" w:lineRule="auto"/>
              <w:jc w:val="center"/>
              <w:rPr>
                <w:rFonts w:eastAsia="Times New Roman" w:cs="Times New Roman"/>
                <w:color w:val="000000"/>
                <w:lang w:eastAsia="en-AU"/>
              </w:rPr>
            </w:pPr>
            <w:r w:rsidRPr="00713A4C">
              <w:t>220</w:t>
            </w:r>
          </w:p>
        </w:tc>
        <w:tc>
          <w:tcPr>
            <w:tcW w:w="1276" w:type="dxa"/>
            <w:noWrap/>
          </w:tcPr>
          <w:p w14:paraId="04974620" w14:textId="77777777" w:rsidR="003138BD" w:rsidRPr="005E7763" w:rsidRDefault="003138BD">
            <w:pPr>
              <w:spacing w:after="0" w:line="240" w:lineRule="auto"/>
              <w:jc w:val="center"/>
              <w:rPr>
                <w:rFonts w:eastAsia="Times New Roman" w:cs="Times New Roman"/>
                <w:color w:val="000000"/>
                <w:lang w:eastAsia="en-AU"/>
              </w:rPr>
            </w:pPr>
            <w:r w:rsidRPr="00713A4C">
              <w:t>200</w:t>
            </w:r>
          </w:p>
        </w:tc>
        <w:tc>
          <w:tcPr>
            <w:tcW w:w="1276" w:type="dxa"/>
            <w:noWrap/>
          </w:tcPr>
          <w:p w14:paraId="3A69E4EF" w14:textId="77777777" w:rsidR="003138BD" w:rsidRPr="005E7763" w:rsidRDefault="003138BD">
            <w:pPr>
              <w:spacing w:after="0" w:line="240" w:lineRule="auto"/>
              <w:jc w:val="center"/>
              <w:rPr>
                <w:rFonts w:eastAsia="Times New Roman" w:cs="Times New Roman"/>
                <w:color w:val="000000"/>
                <w:lang w:eastAsia="en-AU"/>
              </w:rPr>
            </w:pPr>
            <w:r w:rsidRPr="00713A4C">
              <w:t>200</w:t>
            </w:r>
          </w:p>
        </w:tc>
        <w:tc>
          <w:tcPr>
            <w:tcW w:w="1275" w:type="dxa"/>
          </w:tcPr>
          <w:p w14:paraId="0B807E38" w14:textId="77777777" w:rsidR="003138BD" w:rsidRPr="005E7763" w:rsidRDefault="003138BD">
            <w:pPr>
              <w:spacing w:after="0" w:line="240" w:lineRule="auto"/>
              <w:jc w:val="center"/>
              <w:rPr>
                <w:rFonts w:eastAsia="Times New Roman" w:cs="Times New Roman"/>
                <w:color w:val="000000"/>
                <w:lang w:eastAsia="en-AU"/>
              </w:rPr>
            </w:pPr>
            <w:r w:rsidRPr="00713A4C">
              <w:t>230</w:t>
            </w:r>
          </w:p>
        </w:tc>
        <w:tc>
          <w:tcPr>
            <w:tcW w:w="1276" w:type="dxa"/>
          </w:tcPr>
          <w:p w14:paraId="5B76D234" w14:textId="77777777" w:rsidR="003138BD" w:rsidRPr="005E7763" w:rsidRDefault="003138BD">
            <w:pPr>
              <w:spacing w:after="0" w:line="240" w:lineRule="auto"/>
              <w:jc w:val="center"/>
              <w:rPr>
                <w:rFonts w:eastAsia="Times New Roman" w:cs="Times New Roman"/>
                <w:color w:val="000000"/>
                <w:lang w:eastAsia="en-AU"/>
              </w:rPr>
            </w:pPr>
            <w:r w:rsidRPr="00713A4C">
              <w:t>230</w:t>
            </w:r>
          </w:p>
        </w:tc>
      </w:tr>
      <w:tr w:rsidR="003138BD" w:rsidRPr="00C47322" w14:paraId="440AC0EE" w14:textId="77777777" w:rsidTr="001376A2">
        <w:trPr>
          <w:trHeight w:val="300"/>
        </w:trPr>
        <w:tc>
          <w:tcPr>
            <w:tcW w:w="2183" w:type="dxa"/>
            <w:noWrap/>
          </w:tcPr>
          <w:p w14:paraId="3CF8A3B4" w14:textId="77777777" w:rsidR="003138BD" w:rsidRDefault="003138BD">
            <w:pPr>
              <w:spacing w:after="0" w:line="240" w:lineRule="auto"/>
              <w:rPr>
                <w:rFonts w:eastAsia="Times New Roman" w:cs="Times New Roman"/>
                <w:color w:val="000000"/>
                <w:lang w:eastAsia="en-AU"/>
              </w:rPr>
            </w:pPr>
            <w:r>
              <w:rPr>
                <w:rFonts w:eastAsia="Times New Roman" w:cs="Times New Roman"/>
                <w:color w:val="000000"/>
                <w:lang w:eastAsia="en-AU"/>
              </w:rPr>
              <w:t>Lactation</w:t>
            </w:r>
          </w:p>
        </w:tc>
        <w:tc>
          <w:tcPr>
            <w:tcW w:w="1276" w:type="dxa"/>
          </w:tcPr>
          <w:p w14:paraId="29AD116D" w14:textId="77777777" w:rsidR="003138BD" w:rsidRPr="00713A4C" w:rsidRDefault="003138BD">
            <w:pPr>
              <w:spacing w:after="0" w:line="240" w:lineRule="auto"/>
              <w:jc w:val="center"/>
            </w:pPr>
            <w:r w:rsidRPr="008F4901">
              <w:t>270</w:t>
            </w:r>
          </w:p>
        </w:tc>
        <w:tc>
          <w:tcPr>
            <w:tcW w:w="1427" w:type="dxa"/>
            <w:noWrap/>
          </w:tcPr>
          <w:p w14:paraId="6F823EB0" w14:textId="77777777" w:rsidR="003138BD" w:rsidRPr="00713A4C" w:rsidRDefault="003138BD">
            <w:pPr>
              <w:spacing w:after="0" w:line="240" w:lineRule="auto"/>
              <w:jc w:val="center"/>
            </w:pPr>
            <w:r w:rsidRPr="008F4901">
              <w:t>270</w:t>
            </w:r>
          </w:p>
        </w:tc>
        <w:tc>
          <w:tcPr>
            <w:tcW w:w="1276" w:type="dxa"/>
            <w:noWrap/>
          </w:tcPr>
          <w:p w14:paraId="72ABD9B3" w14:textId="77777777" w:rsidR="003138BD" w:rsidRPr="00713A4C" w:rsidRDefault="003138BD">
            <w:pPr>
              <w:spacing w:after="0" w:line="240" w:lineRule="auto"/>
              <w:jc w:val="center"/>
            </w:pPr>
            <w:r w:rsidRPr="008F4901">
              <w:t>200</w:t>
            </w:r>
          </w:p>
        </w:tc>
        <w:tc>
          <w:tcPr>
            <w:tcW w:w="1276" w:type="dxa"/>
            <w:noWrap/>
          </w:tcPr>
          <w:p w14:paraId="45CB9A4B" w14:textId="77777777" w:rsidR="003138BD" w:rsidRPr="00713A4C" w:rsidRDefault="003138BD">
            <w:pPr>
              <w:spacing w:after="0" w:line="240" w:lineRule="auto"/>
              <w:jc w:val="center"/>
            </w:pPr>
            <w:r w:rsidRPr="008F4901">
              <w:t>200</w:t>
            </w:r>
          </w:p>
        </w:tc>
        <w:tc>
          <w:tcPr>
            <w:tcW w:w="1275" w:type="dxa"/>
          </w:tcPr>
          <w:p w14:paraId="2EEB093D" w14:textId="77777777" w:rsidR="003138BD" w:rsidRPr="00713A4C" w:rsidRDefault="003138BD">
            <w:pPr>
              <w:spacing w:after="0" w:line="240" w:lineRule="auto"/>
              <w:jc w:val="center"/>
            </w:pPr>
            <w:r w:rsidRPr="008F4901">
              <w:t>260</w:t>
            </w:r>
          </w:p>
        </w:tc>
        <w:tc>
          <w:tcPr>
            <w:tcW w:w="1276" w:type="dxa"/>
          </w:tcPr>
          <w:p w14:paraId="09CE2269" w14:textId="77777777" w:rsidR="003138BD" w:rsidRPr="00713A4C" w:rsidRDefault="003138BD">
            <w:pPr>
              <w:spacing w:after="0" w:line="240" w:lineRule="auto"/>
              <w:jc w:val="center"/>
            </w:pPr>
            <w:r w:rsidRPr="008F4901">
              <w:t>260</w:t>
            </w:r>
          </w:p>
        </w:tc>
      </w:tr>
      <w:tr w:rsidR="003138BD" w:rsidRPr="00C47322" w14:paraId="49E04265" w14:textId="77777777" w:rsidTr="001376A2">
        <w:trPr>
          <w:trHeight w:val="300"/>
        </w:trPr>
        <w:tc>
          <w:tcPr>
            <w:tcW w:w="9989" w:type="dxa"/>
            <w:gridSpan w:val="7"/>
            <w:shd w:val="clear" w:color="auto" w:fill="005F85" w:themeFill="accent2"/>
            <w:noWrap/>
          </w:tcPr>
          <w:p w14:paraId="6B98396F" w14:textId="77777777" w:rsidR="003138BD" w:rsidRPr="00713168" w:rsidRDefault="003138BD">
            <w:pPr>
              <w:spacing w:after="0" w:line="240" w:lineRule="auto"/>
              <w:rPr>
                <w:i/>
                <w:iCs/>
              </w:rPr>
            </w:pPr>
            <w:r w:rsidRPr="00713168">
              <w:rPr>
                <w:i/>
                <w:iCs/>
                <w:color w:val="FFFFFF" w:themeColor="background1"/>
              </w:rPr>
              <w:t xml:space="preserve">Children and adolescents (by </w:t>
            </w:r>
            <w:r>
              <w:rPr>
                <w:i/>
                <w:iCs/>
                <w:color w:val="FFFFFF" w:themeColor="background1"/>
              </w:rPr>
              <w:t>NRVs age groups</w:t>
            </w:r>
            <w:r w:rsidRPr="00713168">
              <w:rPr>
                <w:i/>
                <w:iCs/>
                <w:color w:val="FFFFFF" w:themeColor="background1"/>
              </w:rPr>
              <w:t>)</w:t>
            </w:r>
          </w:p>
        </w:tc>
      </w:tr>
      <w:tr w:rsidR="003138BD" w:rsidRPr="00C47322" w14:paraId="704619A1" w14:textId="77777777" w:rsidTr="001376A2">
        <w:trPr>
          <w:trHeight w:val="300"/>
        </w:trPr>
        <w:tc>
          <w:tcPr>
            <w:tcW w:w="2183" w:type="dxa"/>
            <w:noWrap/>
          </w:tcPr>
          <w:p w14:paraId="3B600C43" w14:textId="77777777" w:rsidR="003138BD" w:rsidRDefault="003138BD">
            <w:pPr>
              <w:spacing w:after="0" w:line="240" w:lineRule="auto"/>
              <w:rPr>
                <w:rFonts w:eastAsia="Times New Roman" w:cs="Times New Roman"/>
                <w:color w:val="000000"/>
                <w:lang w:eastAsia="en-AU"/>
              </w:rPr>
            </w:pPr>
            <w:r w:rsidRPr="00C02FD7">
              <w:t xml:space="preserve">1 to </w:t>
            </w:r>
            <w:r>
              <w:t xml:space="preserve">under </w:t>
            </w:r>
            <w:r w:rsidRPr="00C02FD7">
              <w:t>4</w:t>
            </w:r>
            <w:r>
              <w:t xml:space="preserve"> </w:t>
            </w:r>
            <w:r w:rsidRPr="00C02FD7">
              <w:t>y</w:t>
            </w:r>
            <w:r>
              <w:t>ears</w:t>
            </w:r>
          </w:p>
        </w:tc>
        <w:tc>
          <w:tcPr>
            <w:tcW w:w="1276" w:type="dxa"/>
          </w:tcPr>
          <w:p w14:paraId="6EC32B92" w14:textId="77777777" w:rsidR="003138BD" w:rsidRPr="008F4901" w:rsidRDefault="003138BD">
            <w:pPr>
              <w:spacing w:after="0" w:line="240" w:lineRule="auto"/>
              <w:jc w:val="center"/>
            </w:pPr>
            <w:r w:rsidRPr="00CD7826">
              <w:t>90</w:t>
            </w:r>
          </w:p>
        </w:tc>
        <w:tc>
          <w:tcPr>
            <w:tcW w:w="1427" w:type="dxa"/>
            <w:noWrap/>
          </w:tcPr>
          <w:p w14:paraId="506B79F2" w14:textId="77777777" w:rsidR="003138BD" w:rsidRPr="008F4901" w:rsidRDefault="003138BD">
            <w:pPr>
              <w:spacing w:after="0" w:line="240" w:lineRule="auto"/>
              <w:jc w:val="center"/>
            </w:pPr>
            <w:r w:rsidRPr="00CD7826">
              <w:t>90</w:t>
            </w:r>
          </w:p>
        </w:tc>
        <w:tc>
          <w:tcPr>
            <w:tcW w:w="1276" w:type="dxa"/>
            <w:noWrap/>
          </w:tcPr>
          <w:p w14:paraId="46322722" w14:textId="77777777" w:rsidR="003138BD" w:rsidRPr="008F4901" w:rsidRDefault="003138BD">
            <w:pPr>
              <w:spacing w:after="0" w:line="240" w:lineRule="auto"/>
              <w:jc w:val="center"/>
            </w:pPr>
            <w:r w:rsidRPr="00CD7826">
              <w:t>90</w:t>
            </w:r>
          </w:p>
        </w:tc>
        <w:tc>
          <w:tcPr>
            <w:tcW w:w="1276" w:type="dxa"/>
            <w:noWrap/>
          </w:tcPr>
          <w:p w14:paraId="0D14249D" w14:textId="77777777" w:rsidR="003138BD" w:rsidRPr="008F4901" w:rsidRDefault="003138BD">
            <w:pPr>
              <w:spacing w:after="0" w:line="240" w:lineRule="auto"/>
              <w:jc w:val="center"/>
            </w:pPr>
            <w:r w:rsidRPr="00CD7826">
              <w:t>100</w:t>
            </w:r>
          </w:p>
        </w:tc>
        <w:tc>
          <w:tcPr>
            <w:tcW w:w="1275" w:type="dxa"/>
          </w:tcPr>
          <w:p w14:paraId="58CD45AB" w14:textId="77777777" w:rsidR="003138BD" w:rsidRPr="008F4901" w:rsidRDefault="003138BD">
            <w:pPr>
              <w:spacing w:after="0" w:line="240" w:lineRule="auto"/>
              <w:jc w:val="center"/>
            </w:pPr>
            <w:r w:rsidRPr="00CD7826">
              <w:t>90</w:t>
            </w:r>
          </w:p>
        </w:tc>
        <w:tc>
          <w:tcPr>
            <w:tcW w:w="1276" w:type="dxa"/>
          </w:tcPr>
          <w:p w14:paraId="55F69885" w14:textId="77777777" w:rsidR="003138BD" w:rsidRPr="008F4901" w:rsidRDefault="003138BD">
            <w:pPr>
              <w:spacing w:after="0" w:line="240" w:lineRule="auto"/>
              <w:jc w:val="center"/>
            </w:pPr>
            <w:r>
              <w:rPr>
                <w:rFonts w:eastAsia="Times New Roman" w:cs="Times New Roman"/>
                <w:color w:val="000000"/>
                <w:lang w:eastAsia="en-AU"/>
              </w:rPr>
              <w:t>100 - 120</w:t>
            </w:r>
            <w:r w:rsidRPr="00923770">
              <w:rPr>
                <w:rFonts w:eastAsia="Times New Roman" w:cs="Times New Roman"/>
                <w:color w:val="000000"/>
                <w:lang w:eastAsia="en-AU"/>
              </w:rPr>
              <w:t xml:space="preserve">   </w:t>
            </w:r>
            <w:r>
              <w:rPr>
                <w:rFonts w:eastAsia="Times New Roman" w:cs="Times New Roman"/>
                <w:color w:val="000000"/>
                <w:highlight w:val="yellow"/>
                <w:lang w:eastAsia="en-AU"/>
              </w:rPr>
              <w:t xml:space="preserve"> </w:t>
            </w:r>
          </w:p>
        </w:tc>
      </w:tr>
      <w:tr w:rsidR="003138BD" w:rsidRPr="00C47322" w14:paraId="51A5514D" w14:textId="77777777" w:rsidTr="001376A2">
        <w:trPr>
          <w:trHeight w:val="300"/>
        </w:trPr>
        <w:tc>
          <w:tcPr>
            <w:tcW w:w="2183" w:type="dxa"/>
            <w:noWrap/>
          </w:tcPr>
          <w:p w14:paraId="4C52243B" w14:textId="77777777" w:rsidR="003138BD" w:rsidRDefault="003138BD">
            <w:pPr>
              <w:spacing w:after="0" w:line="240" w:lineRule="auto"/>
              <w:rPr>
                <w:rFonts w:eastAsia="Times New Roman" w:cs="Times New Roman"/>
                <w:color w:val="000000"/>
                <w:lang w:eastAsia="en-AU"/>
              </w:rPr>
            </w:pPr>
            <w:r w:rsidRPr="00C02FD7">
              <w:t xml:space="preserve">4 to </w:t>
            </w:r>
            <w:r>
              <w:t xml:space="preserve">under </w:t>
            </w:r>
            <w:r w:rsidRPr="00C02FD7">
              <w:t>9</w:t>
            </w:r>
            <w:r>
              <w:t xml:space="preserve"> </w:t>
            </w:r>
            <w:r w:rsidRPr="00C02FD7">
              <w:t>y</w:t>
            </w:r>
            <w:r>
              <w:t>ears</w:t>
            </w:r>
          </w:p>
        </w:tc>
        <w:tc>
          <w:tcPr>
            <w:tcW w:w="1276" w:type="dxa"/>
          </w:tcPr>
          <w:p w14:paraId="0644D742" w14:textId="77777777" w:rsidR="003138BD" w:rsidRPr="008F4901" w:rsidRDefault="003138BD">
            <w:pPr>
              <w:spacing w:after="0" w:line="240" w:lineRule="auto"/>
              <w:jc w:val="center"/>
            </w:pPr>
            <w:r w:rsidRPr="00CD7826">
              <w:t>90</w:t>
            </w:r>
          </w:p>
        </w:tc>
        <w:tc>
          <w:tcPr>
            <w:tcW w:w="1427" w:type="dxa"/>
            <w:noWrap/>
          </w:tcPr>
          <w:p w14:paraId="1A02C111" w14:textId="77777777" w:rsidR="003138BD" w:rsidRPr="008F4901" w:rsidRDefault="003138BD">
            <w:pPr>
              <w:spacing w:after="0" w:line="240" w:lineRule="auto"/>
              <w:jc w:val="center"/>
            </w:pPr>
            <w:r w:rsidRPr="00CD7826">
              <w:t>90</w:t>
            </w:r>
          </w:p>
        </w:tc>
        <w:tc>
          <w:tcPr>
            <w:tcW w:w="1276" w:type="dxa"/>
            <w:noWrap/>
          </w:tcPr>
          <w:p w14:paraId="76B56497" w14:textId="77777777" w:rsidR="003138BD" w:rsidRPr="008F4901" w:rsidRDefault="003138BD">
            <w:pPr>
              <w:spacing w:after="0" w:line="240" w:lineRule="auto"/>
              <w:jc w:val="center"/>
            </w:pPr>
            <w:r w:rsidRPr="00CD7826">
              <w:t>90</w:t>
            </w:r>
          </w:p>
        </w:tc>
        <w:tc>
          <w:tcPr>
            <w:tcW w:w="1276" w:type="dxa"/>
            <w:noWrap/>
          </w:tcPr>
          <w:p w14:paraId="27E0F6A2" w14:textId="77777777" w:rsidR="003138BD" w:rsidRPr="008F4901" w:rsidRDefault="003138BD">
            <w:pPr>
              <w:spacing w:after="0" w:line="240" w:lineRule="auto"/>
              <w:jc w:val="center"/>
            </w:pPr>
            <w:r w:rsidRPr="00CD7826">
              <w:t>100</w:t>
            </w:r>
          </w:p>
        </w:tc>
        <w:tc>
          <w:tcPr>
            <w:tcW w:w="1275" w:type="dxa"/>
          </w:tcPr>
          <w:p w14:paraId="7C626F67" w14:textId="77777777" w:rsidR="003138BD" w:rsidRPr="008F4901" w:rsidRDefault="003138BD">
            <w:pPr>
              <w:spacing w:after="0" w:line="240" w:lineRule="auto"/>
              <w:jc w:val="center"/>
            </w:pPr>
            <w:r>
              <w:t>108*</w:t>
            </w:r>
          </w:p>
        </w:tc>
        <w:tc>
          <w:tcPr>
            <w:tcW w:w="1276" w:type="dxa"/>
          </w:tcPr>
          <w:p w14:paraId="6758B85A" w14:textId="77777777" w:rsidR="003138BD" w:rsidRPr="008F4901" w:rsidRDefault="003138BD">
            <w:pPr>
              <w:spacing w:after="0" w:line="240" w:lineRule="auto"/>
              <w:jc w:val="center"/>
            </w:pPr>
            <w:r>
              <w:rPr>
                <w:rFonts w:eastAsia="Times New Roman" w:cs="Times New Roman"/>
                <w:color w:val="000000"/>
                <w:lang w:eastAsia="en-AU"/>
              </w:rPr>
              <w:t>156*</w:t>
            </w:r>
          </w:p>
        </w:tc>
      </w:tr>
      <w:tr w:rsidR="003138BD" w:rsidRPr="00C47322" w14:paraId="133222C8" w14:textId="77777777" w:rsidTr="001376A2">
        <w:trPr>
          <w:trHeight w:val="300"/>
        </w:trPr>
        <w:tc>
          <w:tcPr>
            <w:tcW w:w="2183" w:type="dxa"/>
            <w:noWrap/>
          </w:tcPr>
          <w:p w14:paraId="4E2CD36F" w14:textId="77777777" w:rsidR="003138BD" w:rsidRDefault="003138BD">
            <w:pPr>
              <w:spacing w:after="0" w:line="240" w:lineRule="auto"/>
              <w:rPr>
                <w:rFonts w:eastAsia="Times New Roman" w:cs="Times New Roman"/>
                <w:color w:val="000000"/>
                <w:lang w:eastAsia="en-AU"/>
              </w:rPr>
            </w:pPr>
            <w:r w:rsidRPr="00C02FD7">
              <w:t xml:space="preserve">9 to </w:t>
            </w:r>
            <w:r>
              <w:t xml:space="preserve">under </w:t>
            </w:r>
            <w:r w:rsidRPr="00C02FD7">
              <w:t>14</w:t>
            </w:r>
            <w:r>
              <w:t xml:space="preserve"> </w:t>
            </w:r>
            <w:r w:rsidRPr="00C02FD7">
              <w:t>y</w:t>
            </w:r>
            <w:r>
              <w:t>ears</w:t>
            </w:r>
          </w:p>
        </w:tc>
        <w:tc>
          <w:tcPr>
            <w:tcW w:w="1276" w:type="dxa"/>
          </w:tcPr>
          <w:p w14:paraId="28B828B6" w14:textId="77777777" w:rsidR="003138BD" w:rsidRPr="008F4901" w:rsidRDefault="003138BD">
            <w:pPr>
              <w:spacing w:after="0" w:line="240" w:lineRule="auto"/>
              <w:jc w:val="center"/>
            </w:pPr>
            <w:r w:rsidRPr="00CD7826">
              <w:t>1</w:t>
            </w:r>
            <w:r>
              <w:t>2</w:t>
            </w:r>
            <w:r w:rsidRPr="00CD7826">
              <w:t>0</w:t>
            </w:r>
          </w:p>
        </w:tc>
        <w:tc>
          <w:tcPr>
            <w:tcW w:w="1427" w:type="dxa"/>
            <w:noWrap/>
          </w:tcPr>
          <w:p w14:paraId="3BFE8A5C" w14:textId="77777777" w:rsidR="003138BD" w:rsidRPr="008F4901" w:rsidRDefault="003138BD">
            <w:pPr>
              <w:spacing w:after="0" w:line="240" w:lineRule="auto"/>
              <w:jc w:val="center"/>
            </w:pPr>
            <w:r w:rsidRPr="00CD7826">
              <w:t>1</w:t>
            </w:r>
            <w:r>
              <w:t>20</w:t>
            </w:r>
          </w:p>
        </w:tc>
        <w:tc>
          <w:tcPr>
            <w:tcW w:w="1276" w:type="dxa"/>
            <w:noWrap/>
          </w:tcPr>
          <w:p w14:paraId="2F0EC6C3" w14:textId="77777777" w:rsidR="003138BD" w:rsidRPr="008F4901" w:rsidRDefault="003138BD">
            <w:pPr>
              <w:spacing w:after="0" w:line="240" w:lineRule="auto"/>
              <w:jc w:val="center"/>
            </w:pPr>
            <w:r>
              <w:t>108</w:t>
            </w:r>
            <w:r w:rsidRPr="00CD7826">
              <w:t>*</w:t>
            </w:r>
          </w:p>
        </w:tc>
        <w:tc>
          <w:tcPr>
            <w:tcW w:w="1276" w:type="dxa"/>
            <w:noWrap/>
          </w:tcPr>
          <w:p w14:paraId="64EBEA6C" w14:textId="77777777" w:rsidR="003138BD" w:rsidRPr="008F4901" w:rsidRDefault="003138BD">
            <w:pPr>
              <w:spacing w:after="0" w:line="240" w:lineRule="auto"/>
              <w:jc w:val="center"/>
            </w:pPr>
            <w:r w:rsidRPr="00CD7826">
              <w:t>1</w:t>
            </w:r>
            <w:r>
              <w:t>15</w:t>
            </w:r>
            <w:r w:rsidRPr="00CD7826">
              <w:t>*</w:t>
            </w:r>
          </w:p>
        </w:tc>
        <w:tc>
          <w:tcPr>
            <w:tcW w:w="1275" w:type="dxa"/>
          </w:tcPr>
          <w:p w14:paraId="498D2B4B" w14:textId="77777777" w:rsidR="003138BD" w:rsidRPr="008F4901" w:rsidRDefault="003138BD">
            <w:pPr>
              <w:spacing w:after="0" w:line="240" w:lineRule="auto"/>
              <w:jc w:val="center"/>
            </w:pPr>
            <w:r>
              <w:t>132*</w:t>
            </w:r>
          </w:p>
        </w:tc>
        <w:tc>
          <w:tcPr>
            <w:tcW w:w="1276" w:type="dxa"/>
          </w:tcPr>
          <w:p w14:paraId="47C2B1F7" w14:textId="77777777" w:rsidR="003138BD" w:rsidRPr="008F4901" w:rsidRDefault="003138BD">
            <w:pPr>
              <w:spacing w:after="0" w:line="240" w:lineRule="auto"/>
              <w:jc w:val="center"/>
            </w:pPr>
            <w:r>
              <w:rPr>
                <w:rFonts w:eastAsia="Times New Roman" w:cs="Times New Roman"/>
                <w:color w:val="000000"/>
                <w:lang w:eastAsia="en-AU"/>
              </w:rPr>
              <w:t>176*</w:t>
            </w:r>
          </w:p>
        </w:tc>
      </w:tr>
      <w:tr w:rsidR="003138BD" w:rsidRPr="00C47322" w14:paraId="6CD3AF79" w14:textId="77777777" w:rsidTr="001376A2">
        <w:trPr>
          <w:trHeight w:val="300"/>
        </w:trPr>
        <w:tc>
          <w:tcPr>
            <w:tcW w:w="2183" w:type="dxa"/>
            <w:noWrap/>
          </w:tcPr>
          <w:p w14:paraId="056D022A" w14:textId="77777777" w:rsidR="003138BD" w:rsidRDefault="003138BD">
            <w:pPr>
              <w:spacing w:after="0" w:line="240" w:lineRule="auto"/>
              <w:rPr>
                <w:rFonts w:eastAsia="Times New Roman" w:cs="Times New Roman"/>
                <w:color w:val="000000"/>
                <w:lang w:eastAsia="en-AU"/>
              </w:rPr>
            </w:pPr>
            <w:r w:rsidRPr="00C02FD7">
              <w:t xml:space="preserve">14 to </w:t>
            </w:r>
            <w:r>
              <w:t xml:space="preserve">under </w:t>
            </w:r>
            <w:r w:rsidRPr="00C02FD7">
              <w:t>18</w:t>
            </w:r>
            <w:r>
              <w:t xml:space="preserve"> </w:t>
            </w:r>
            <w:r w:rsidRPr="00C02FD7">
              <w:t>y</w:t>
            </w:r>
            <w:r>
              <w:t>ears</w:t>
            </w:r>
          </w:p>
        </w:tc>
        <w:tc>
          <w:tcPr>
            <w:tcW w:w="1276" w:type="dxa"/>
          </w:tcPr>
          <w:p w14:paraId="41F8BEE1" w14:textId="77777777" w:rsidR="003138BD" w:rsidRPr="008F4901" w:rsidRDefault="003138BD">
            <w:pPr>
              <w:spacing w:after="0" w:line="240" w:lineRule="auto"/>
              <w:jc w:val="center"/>
            </w:pPr>
            <w:r w:rsidRPr="00CD7826">
              <w:t>1</w:t>
            </w:r>
            <w:r>
              <w:t>5</w:t>
            </w:r>
            <w:r w:rsidRPr="00CD7826">
              <w:t>0</w:t>
            </w:r>
          </w:p>
        </w:tc>
        <w:tc>
          <w:tcPr>
            <w:tcW w:w="1427" w:type="dxa"/>
            <w:noWrap/>
          </w:tcPr>
          <w:p w14:paraId="7EBF8B5C" w14:textId="77777777" w:rsidR="003138BD" w:rsidRPr="008F4901" w:rsidRDefault="003138BD">
            <w:pPr>
              <w:spacing w:after="0" w:line="240" w:lineRule="auto"/>
              <w:jc w:val="center"/>
            </w:pPr>
            <w:r w:rsidRPr="00CD7826">
              <w:t>1</w:t>
            </w:r>
            <w:r>
              <w:t>50</w:t>
            </w:r>
          </w:p>
        </w:tc>
        <w:tc>
          <w:tcPr>
            <w:tcW w:w="1276" w:type="dxa"/>
            <w:noWrap/>
          </w:tcPr>
          <w:p w14:paraId="15524F85" w14:textId="77777777" w:rsidR="003138BD" w:rsidRPr="008F4901" w:rsidRDefault="003138BD">
            <w:pPr>
              <w:spacing w:after="0" w:line="240" w:lineRule="auto"/>
              <w:jc w:val="center"/>
            </w:pPr>
            <w:r w:rsidRPr="00CD7826">
              <w:t>1</w:t>
            </w:r>
            <w:r>
              <w:t>28</w:t>
            </w:r>
            <w:r w:rsidRPr="00CD7826">
              <w:t>*</w:t>
            </w:r>
          </w:p>
        </w:tc>
        <w:tc>
          <w:tcPr>
            <w:tcW w:w="1276" w:type="dxa"/>
            <w:noWrap/>
          </w:tcPr>
          <w:p w14:paraId="11C167FA" w14:textId="77777777" w:rsidR="003138BD" w:rsidRPr="008F4901" w:rsidRDefault="003138BD">
            <w:pPr>
              <w:spacing w:after="0" w:line="240" w:lineRule="auto"/>
              <w:jc w:val="center"/>
            </w:pPr>
            <w:r w:rsidRPr="00CD7826">
              <w:t>12</w:t>
            </w:r>
            <w:r>
              <w:t>9</w:t>
            </w:r>
            <w:r w:rsidRPr="00CD7826">
              <w:t>*</w:t>
            </w:r>
          </w:p>
        </w:tc>
        <w:tc>
          <w:tcPr>
            <w:tcW w:w="1275" w:type="dxa"/>
          </w:tcPr>
          <w:p w14:paraId="43BEA050" w14:textId="77777777" w:rsidR="003138BD" w:rsidRPr="008F4901" w:rsidRDefault="003138BD">
            <w:pPr>
              <w:spacing w:after="0" w:line="240" w:lineRule="auto"/>
              <w:jc w:val="center"/>
            </w:pPr>
            <w:r w:rsidRPr="00CD7826">
              <w:t>1</w:t>
            </w:r>
            <w:r>
              <w:t>50</w:t>
            </w:r>
          </w:p>
        </w:tc>
        <w:tc>
          <w:tcPr>
            <w:tcW w:w="1276" w:type="dxa"/>
          </w:tcPr>
          <w:p w14:paraId="0318E346" w14:textId="77777777" w:rsidR="003138BD" w:rsidRPr="008F4901" w:rsidRDefault="003138BD">
            <w:pPr>
              <w:spacing w:after="0" w:line="240" w:lineRule="auto"/>
              <w:jc w:val="center"/>
            </w:pPr>
            <w:r>
              <w:rPr>
                <w:rFonts w:eastAsia="Times New Roman" w:cs="Times New Roman"/>
                <w:color w:val="000000"/>
                <w:lang w:eastAsia="en-AU"/>
              </w:rPr>
              <w:t>200</w:t>
            </w:r>
          </w:p>
        </w:tc>
      </w:tr>
      <w:tr w:rsidR="003138BD" w:rsidRPr="00C47322" w14:paraId="5AD987FD" w14:textId="77777777" w:rsidTr="001376A2">
        <w:trPr>
          <w:trHeight w:val="300"/>
        </w:trPr>
        <w:tc>
          <w:tcPr>
            <w:tcW w:w="9989" w:type="dxa"/>
            <w:gridSpan w:val="7"/>
            <w:shd w:val="clear" w:color="auto" w:fill="005F85" w:themeFill="accent2"/>
            <w:noWrap/>
          </w:tcPr>
          <w:p w14:paraId="0FFF93E6" w14:textId="77777777" w:rsidR="003138BD" w:rsidRPr="00713168" w:rsidRDefault="003138BD">
            <w:pPr>
              <w:spacing w:after="0" w:line="240" w:lineRule="auto"/>
              <w:rPr>
                <w:i/>
                <w:iCs/>
              </w:rPr>
            </w:pPr>
            <w:r w:rsidRPr="00713168">
              <w:rPr>
                <w:i/>
                <w:iCs/>
                <w:color w:val="FFFFFF" w:themeColor="background1"/>
              </w:rPr>
              <w:t>Children and adolescents (grouped by school-age)</w:t>
            </w:r>
          </w:p>
        </w:tc>
      </w:tr>
      <w:tr w:rsidR="003138BD" w:rsidRPr="00C47322" w14:paraId="203E128C" w14:textId="77777777" w:rsidTr="001376A2">
        <w:trPr>
          <w:trHeight w:val="300"/>
        </w:trPr>
        <w:tc>
          <w:tcPr>
            <w:tcW w:w="2183" w:type="dxa"/>
            <w:noWrap/>
          </w:tcPr>
          <w:p w14:paraId="6642DFE8" w14:textId="77777777" w:rsidR="003138BD" w:rsidRDefault="003138BD">
            <w:pPr>
              <w:spacing w:after="0" w:line="240" w:lineRule="auto"/>
              <w:rPr>
                <w:rFonts w:eastAsia="Times New Roman" w:cs="Times New Roman"/>
                <w:color w:val="000000"/>
                <w:lang w:eastAsia="en-AU"/>
              </w:rPr>
            </w:pPr>
            <w:r w:rsidRPr="009119C7">
              <w:rPr>
                <w:rFonts w:eastAsia="Times New Roman"/>
                <w:szCs w:val="20"/>
              </w:rPr>
              <w:t>1</w:t>
            </w:r>
            <w:r>
              <w:rPr>
                <w:rFonts w:eastAsia="Times New Roman"/>
                <w:szCs w:val="20"/>
              </w:rPr>
              <w:t>2</w:t>
            </w:r>
            <w:r w:rsidRPr="009119C7">
              <w:rPr>
                <w:rFonts w:eastAsia="Times New Roman"/>
                <w:szCs w:val="20"/>
              </w:rPr>
              <w:t xml:space="preserve"> to under 24 months</w:t>
            </w:r>
          </w:p>
        </w:tc>
        <w:tc>
          <w:tcPr>
            <w:tcW w:w="1276" w:type="dxa"/>
          </w:tcPr>
          <w:p w14:paraId="2E94AFCF" w14:textId="77777777" w:rsidR="003138BD" w:rsidRPr="008F4901" w:rsidRDefault="003138BD">
            <w:pPr>
              <w:spacing w:after="0" w:line="240" w:lineRule="auto"/>
              <w:jc w:val="center"/>
            </w:pPr>
            <w:r w:rsidRPr="00CD7826">
              <w:t>90</w:t>
            </w:r>
          </w:p>
        </w:tc>
        <w:tc>
          <w:tcPr>
            <w:tcW w:w="1427" w:type="dxa"/>
            <w:noWrap/>
          </w:tcPr>
          <w:p w14:paraId="19295A97" w14:textId="77777777" w:rsidR="003138BD" w:rsidRPr="008F4901" w:rsidRDefault="003138BD">
            <w:pPr>
              <w:spacing w:after="0" w:line="240" w:lineRule="auto"/>
              <w:jc w:val="center"/>
            </w:pPr>
            <w:r w:rsidRPr="00CD7826">
              <w:t>90*</w:t>
            </w:r>
          </w:p>
        </w:tc>
        <w:tc>
          <w:tcPr>
            <w:tcW w:w="1276" w:type="dxa"/>
            <w:noWrap/>
          </w:tcPr>
          <w:p w14:paraId="628503C8" w14:textId="77777777" w:rsidR="003138BD" w:rsidRPr="008F4901" w:rsidRDefault="003138BD">
            <w:pPr>
              <w:spacing w:after="0" w:line="240" w:lineRule="auto"/>
              <w:jc w:val="center"/>
            </w:pPr>
            <w:r w:rsidRPr="00CD7826">
              <w:t>90</w:t>
            </w:r>
          </w:p>
        </w:tc>
        <w:tc>
          <w:tcPr>
            <w:tcW w:w="1276" w:type="dxa"/>
            <w:noWrap/>
          </w:tcPr>
          <w:p w14:paraId="23EF00F3" w14:textId="77777777" w:rsidR="003138BD" w:rsidRPr="008F4901" w:rsidRDefault="003138BD">
            <w:pPr>
              <w:spacing w:after="0" w:line="240" w:lineRule="auto"/>
              <w:jc w:val="center"/>
            </w:pPr>
            <w:r w:rsidRPr="00CD7826">
              <w:t>100</w:t>
            </w:r>
          </w:p>
        </w:tc>
        <w:tc>
          <w:tcPr>
            <w:tcW w:w="1275" w:type="dxa"/>
          </w:tcPr>
          <w:p w14:paraId="23043655" w14:textId="77777777" w:rsidR="003138BD" w:rsidRPr="008F4901" w:rsidRDefault="003138BD">
            <w:pPr>
              <w:spacing w:after="0" w:line="240" w:lineRule="auto"/>
              <w:jc w:val="center"/>
            </w:pPr>
            <w:r w:rsidRPr="00CD7826">
              <w:t>90</w:t>
            </w:r>
          </w:p>
        </w:tc>
        <w:tc>
          <w:tcPr>
            <w:tcW w:w="1276" w:type="dxa"/>
          </w:tcPr>
          <w:p w14:paraId="73A51C5D" w14:textId="77777777" w:rsidR="003138BD" w:rsidRPr="008F4901" w:rsidRDefault="003138BD">
            <w:pPr>
              <w:spacing w:after="0" w:line="240" w:lineRule="auto"/>
              <w:jc w:val="center"/>
            </w:pPr>
            <w:r>
              <w:rPr>
                <w:rFonts w:eastAsia="Times New Roman" w:cs="Times New Roman"/>
                <w:color w:val="000000"/>
                <w:lang w:eastAsia="en-AU"/>
              </w:rPr>
              <w:t>100</w:t>
            </w:r>
            <w:r w:rsidRPr="00923770">
              <w:rPr>
                <w:rFonts w:eastAsia="Times New Roman" w:cs="Times New Roman"/>
                <w:color w:val="000000"/>
                <w:lang w:eastAsia="en-AU"/>
              </w:rPr>
              <w:t xml:space="preserve">   </w:t>
            </w:r>
            <w:r>
              <w:rPr>
                <w:rFonts w:eastAsia="Times New Roman" w:cs="Times New Roman"/>
                <w:color w:val="000000"/>
                <w:highlight w:val="yellow"/>
                <w:lang w:eastAsia="en-AU"/>
              </w:rPr>
              <w:t xml:space="preserve"> </w:t>
            </w:r>
          </w:p>
        </w:tc>
      </w:tr>
      <w:tr w:rsidR="003138BD" w:rsidRPr="00C47322" w14:paraId="480368EF" w14:textId="77777777" w:rsidTr="001376A2">
        <w:trPr>
          <w:trHeight w:val="300"/>
        </w:trPr>
        <w:tc>
          <w:tcPr>
            <w:tcW w:w="2183" w:type="dxa"/>
            <w:noWrap/>
          </w:tcPr>
          <w:p w14:paraId="085A5AF5" w14:textId="77777777" w:rsidR="003138BD" w:rsidRDefault="003138BD">
            <w:pPr>
              <w:spacing w:after="0" w:line="240" w:lineRule="auto"/>
              <w:rPr>
                <w:rFonts w:eastAsia="Times New Roman" w:cs="Times New Roman"/>
                <w:color w:val="000000"/>
                <w:lang w:eastAsia="en-AU"/>
              </w:rPr>
            </w:pPr>
            <w:r w:rsidRPr="009119C7">
              <w:rPr>
                <w:rFonts w:eastAsia="Times New Roman"/>
                <w:szCs w:val="20"/>
              </w:rPr>
              <w:t>2 to under 5 years</w:t>
            </w:r>
          </w:p>
        </w:tc>
        <w:tc>
          <w:tcPr>
            <w:tcW w:w="1276" w:type="dxa"/>
          </w:tcPr>
          <w:p w14:paraId="0D60112B" w14:textId="77777777" w:rsidR="003138BD" w:rsidRPr="008F4901" w:rsidRDefault="003138BD">
            <w:pPr>
              <w:spacing w:after="0" w:line="240" w:lineRule="auto"/>
              <w:jc w:val="center"/>
            </w:pPr>
            <w:r w:rsidRPr="00CD7826">
              <w:t>90</w:t>
            </w:r>
          </w:p>
        </w:tc>
        <w:tc>
          <w:tcPr>
            <w:tcW w:w="1427" w:type="dxa"/>
            <w:noWrap/>
          </w:tcPr>
          <w:p w14:paraId="397F5FE2" w14:textId="77777777" w:rsidR="003138BD" w:rsidRPr="008F4901" w:rsidRDefault="003138BD">
            <w:pPr>
              <w:spacing w:after="0" w:line="240" w:lineRule="auto"/>
              <w:jc w:val="center"/>
            </w:pPr>
            <w:r w:rsidRPr="00CD7826">
              <w:t>90*</w:t>
            </w:r>
          </w:p>
        </w:tc>
        <w:tc>
          <w:tcPr>
            <w:tcW w:w="1276" w:type="dxa"/>
            <w:noWrap/>
          </w:tcPr>
          <w:p w14:paraId="668E42F5" w14:textId="77777777" w:rsidR="003138BD" w:rsidRPr="008F4901" w:rsidRDefault="003138BD">
            <w:pPr>
              <w:spacing w:after="0" w:line="240" w:lineRule="auto"/>
              <w:jc w:val="center"/>
            </w:pPr>
            <w:r w:rsidRPr="00CD7826">
              <w:t>90</w:t>
            </w:r>
          </w:p>
        </w:tc>
        <w:tc>
          <w:tcPr>
            <w:tcW w:w="1276" w:type="dxa"/>
            <w:noWrap/>
          </w:tcPr>
          <w:p w14:paraId="7AAB9362" w14:textId="77777777" w:rsidR="003138BD" w:rsidRPr="008F4901" w:rsidRDefault="003138BD">
            <w:pPr>
              <w:spacing w:after="0" w:line="240" w:lineRule="auto"/>
              <w:jc w:val="center"/>
            </w:pPr>
            <w:r w:rsidRPr="00CD7826">
              <w:t>100</w:t>
            </w:r>
          </w:p>
        </w:tc>
        <w:tc>
          <w:tcPr>
            <w:tcW w:w="1275" w:type="dxa"/>
          </w:tcPr>
          <w:p w14:paraId="23420366" w14:textId="77777777" w:rsidR="003138BD" w:rsidRPr="008F4901" w:rsidRDefault="003138BD">
            <w:pPr>
              <w:spacing w:after="0" w:line="240" w:lineRule="auto"/>
              <w:jc w:val="center"/>
            </w:pPr>
            <w:r w:rsidRPr="00CD7826">
              <w:t>90</w:t>
            </w:r>
          </w:p>
        </w:tc>
        <w:tc>
          <w:tcPr>
            <w:tcW w:w="1276" w:type="dxa"/>
          </w:tcPr>
          <w:p w14:paraId="36893001" w14:textId="77777777" w:rsidR="003138BD" w:rsidRPr="008F4901" w:rsidRDefault="003138BD">
            <w:pPr>
              <w:spacing w:after="0" w:line="240" w:lineRule="auto"/>
              <w:jc w:val="center"/>
            </w:pPr>
            <w:r>
              <w:rPr>
                <w:rFonts w:eastAsia="Times New Roman" w:cs="Times New Roman"/>
                <w:color w:val="000000"/>
                <w:lang w:eastAsia="en-AU"/>
              </w:rPr>
              <w:t>107*</w:t>
            </w:r>
          </w:p>
        </w:tc>
      </w:tr>
      <w:tr w:rsidR="003138BD" w:rsidRPr="00C47322" w14:paraId="31C122BD" w14:textId="77777777" w:rsidTr="001376A2">
        <w:trPr>
          <w:trHeight w:val="300"/>
        </w:trPr>
        <w:tc>
          <w:tcPr>
            <w:tcW w:w="2183" w:type="dxa"/>
            <w:noWrap/>
          </w:tcPr>
          <w:p w14:paraId="45DD791B" w14:textId="77777777" w:rsidR="003138BD" w:rsidRDefault="003138BD">
            <w:pPr>
              <w:spacing w:after="0" w:line="240" w:lineRule="auto"/>
              <w:rPr>
                <w:rFonts w:eastAsia="Times New Roman" w:cs="Times New Roman"/>
                <w:color w:val="000000"/>
                <w:lang w:eastAsia="en-AU"/>
              </w:rPr>
            </w:pPr>
            <w:r w:rsidRPr="009119C7">
              <w:rPr>
                <w:rFonts w:eastAsia="Times New Roman"/>
                <w:szCs w:val="20"/>
              </w:rPr>
              <w:t>5 to under 12 years</w:t>
            </w:r>
          </w:p>
        </w:tc>
        <w:tc>
          <w:tcPr>
            <w:tcW w:w="1276" w:type="dxa"/>
          </w:tcPr>
          <w:p w14:paraId="5C7BEA4E" w14:textId="77777777" w:rsidR="003138BD" w:rsidRPr="008F4901" w:rsidRDefault="003138BD">
            <w:pPr>
              <w:spacing w:after="0" w:line="240" w:lineRule="auto"/>
              <w:jc w:val="center"/>
            </w:pPr>
            <w:r w:rsidRPr="00CD7826">
              <w:t>110</w:t>
            </w:r>
          </w:p>
        </w:tc>
        <w:tc>
          <w:tcPr>
            <w:tcW w:w="1427" w:type="dxa"/>
            <w:noWrap/>
          </w:tcPr>
          <w:p w14:paraId="18D8A8F3" w14:textId="77777777" w:rsidR="003138BD" w:rsidRPr="008F4901" w:rsidRDefault="003138BD">
            <w:pPr>
              <w:spacing w:after="0" w:line="240" w:lineRule="auto"/>
              <w:jc w:val="center"/>
            </w:pPr>
            <w:r w:rsidRPr="00CD7826">
              <w:t>103*</w:t>
            </w:r>
          </w:p>
        </w:tc>
        <w:tc>
          <w:tcPr>
            <w:tcW w:w="1276" w:type="dxa"/>
            <w:noWrap/>
          </w:tcPr>
          <w:p w14:paraId="4AD63A5C" w14:textId="77777777" w:rsidR="003138BD" w:rsidRPr="008F4901" w:rsidRDefault="003138BD">
            <w:pPr>
              <w:spacing w:after="0" w:line="240" w:lineRule="auto"/>
              <w:jc w:val="center"/>
            </w:pPr>
            <w:r w:rsidRPr="00CD7826">
              <w:t>94*</w:t>
            </w:r>
          </w:p>
        </w:tc>
        <w:tc>
          <w:tcPr>
            <w:tcW w:w="1276" w:type="dxa"/>
            <w:noWrap/>
          </w:tcPr>
          <w:p w14:paraId="1789AB39" w14:textId="77777777" w:rsidR="003138BD" w:rsidRPr="008F4901" w:rsidRDefault="003138BD">
            <w:pPr>
              <w:spacing w:after="0" w:line="240" w:lineRule="auto"/>
              <w:jc w:val="center"/>
            </w:pPr>
            <w:r w:rsidRPr="00CD7826">
              <w:t>103*</w:t>
            </w:r>
          </w:p>
        </w:tc>
        <w:tc>
          <w:tcPr>
            <w:tcW w:w="1275" w:type="dxa"/>
          </w:tcPr>
          <w:p w14:paraId="177A6E58" w14:textId="77777777" w:rsidR="003138BD" w:rsidRPr="008F4901" w:rsidRDefault="003138BD">
            <w:pPr>
              <w:spacing w:after="0" w:line="240" w:lineRule="auto"/>
              <w:jc w:val="center"/>
            </w:pPr>
            <w:r w:rsidRPr="00CD7826">
              <w:t>120</w:t>
            </w:r>
          </w:p>
        </w:tc>
        <w:tc>
          <w:tcPr>
            <w:tcW w:w="1276" w:type="dxa"/>
          </w:tcPr>
          <w:p w14:paraId="4EE7E821" w14:textId="77777777" w:rsidR="003138BD" w:rsidRPr="008F4901" w:rsidRDefault="003138BD">
            <w:pPr>
              <w:spacing w:after="0" w:line="240" w:lineRule="auto"/>
              <w:jc w:val="center"/>
            </w:pPr>
            <w:r>
              <w:rPr>
                <w:rFonts w:eastAsia="Times New Roman" w:cs="Times New Roman"/>
                <w:color w:val="000000"/>
                <w:lang w:eastAsia="en-AU"/>
              </w:rPr>
              <w:t>146*</w:t>
            </w:r>
          </w:p>
        </w:tc>
      </w:tr>
      <w:tr w:rsidR="003138BD" w:rsidRPr="00C47322" w14:paraId="28B65EED" w14:textId="77777777" w:rsidTr="001376A2">
        <w:trPr>
          <w:trHeight w:val="300"/>
        </w:trPr>
        <w:tc>
          <w:tcPr>
            <w:tcW w:w="2183" w:type="dxa"/>
            <w:noWrap/>
          </w:tcPr>
          <w:p w14:paraId="595E83F3" w14:textId="77777777" w:rsidR="003138BD" w:rsidRDefault="003138BD">
            <w:pPr>
              <w:spacing w:after="0" w:line="240" w:lineRule="auto"/>
              <w:rPr>
                <w:rFonts w:eastAsia="Times New Roman" w:cs="Times New Roman"/>
                <w:color w:val="000000"/>
                <w:lang w:eastAsia="en-AU"/>
              </w:rPr>
            </w:pPr>
            <w:r w:rsidRPr="009119C7">
              <w:rPr>
                <w:rFonts w:eastAsia="Times New Roman"/>
                <w:szCs w:val="20"/>
              </w:rPr>
              <w:t>12 to under 18 years</w:t>
            </w:r>
          </w:p>
        </w:tc>
        <w:tc>
          <w:tcPr>
            <w:tcW w:w="1276" w:type="dxa"/>
          </w:tcPr>
          <w:p w14:paraId="19F8F292" w14:textId="77777777" w:rsidR="003138BD" w:rsidRPr="008F4901" w:rsidRDefault="003138BD">
            <w:pPr>
              <w:spacing w:after="0" w:line="240" w:lineRule="auto"/>
              <w:jc w:val="center"/>
            </w:pPr>
            <w:r w:rsidRPr="00CD7826">
              <w:t>140</w:t>
            </w:r>
          </w:p>
        </w:tc>
        <w:tc>
          <w:tcPr>
            <w:tcW w:w="1427" w:type="dxa"/>
            <w:noWrap/>
          </w:tcPr>
          <w:p w14:paraId="7E7E9716" w14:textId="77777777" w:rsidR="003138BD" w:rsidRPr="008F4901" w:rsidRDefault="003138BD">
            <w:pPr>
              <w:spacing w:after="0" w:line="240" w:lineRule="auto"/>
              <w:jc w:val="center"/>
            </w:pPr>
            <w:r w:rsidRPr="00CD7826">
              <w:t>140*</w:t>
            </w:r>
          </w:p>
        </w:tc>
        <w:tc>
          <w:tcPr>
            <w:tcW w:w="1276" w:type="dxa"/>
            <w:noWrap/>
          </w:tcPr>
          <w:p w14:paraId="59773534" w14:textId="77777777" w:rsidR="003138BD" w:rsidRPr="008F4901" w:rsidRDefault="003138BD">
            <w:pPr>
              <w:spacing w:after="0" w:line="240" w:lineRule="auto"/>
              <w:jc w:val="center"/>
            </w:pPr>
            <w:r w:rsidRPr="00CD7826">
              <w:t>125*</w:t>
            </w:r>
          </w:p>
        </w:tc>
        <w:tc>
          <w:tcPr>
            <w:tcW w:w="1276" w:type="dxa"/>
            <w:noWrap/>
          </w:tcPr>
          <w:p w14:paraId="4D4102CD" w14:textId="77777777" w:rsidR="003138BD" w:rsidRPr="008F4901" w:rsidRDefault="003138BD">
            <w:pPr>
              <w:spacing w:after="0" w:line="240" w:lineRule="auto"/>
              <w:jc w:val="center"/>
            </w:pPr>
            <w:r w:rsidRPr="00CD7826">
              <w:t>12</w:t>
            </w:r>
            <w:r>
              <w:t>8</w:t>
            </w:r>
            <w:r w:rsidRPr="00CD7826">
              <w:t>*</w:t>
            </w:r>
          </w:p>
        </w:tc>
        <w:tc>
          <w:tcPr>
            <w:tcW w:w="1275" w:type="dxa"/>
          </w:tcPr>
          <w:p w14:paraId="5215566D" w14:textId="77777777" w:rsidR="003138BD" w:rsidRPr="008F4901" w:rsidRDefault="003138BD">
            <w:pPr>
              <w:spacing w:after="0" w:line="240" w:lineRule="auto"/>
              <w:jc w:val="center"/>
            </w:pPr>
            <w:r w:rsidRPr="00CD7826">
              <w:t>145*</w:t>
            </w:r>
          </w:p>
        </w:tc>
        <w:tc>
          <w:tcPr>
            <w:tcW w:w="1276" w:type="dxa"/>
          </w:tcPr>
          <w:p w14:paraId="17A17947" w14:textId="77777777" w:rsidR="003138BD" w:rsidRPr="008F4901" w:rsidRDefault="003138BD">
            <w:pPr>
              <w:spacing w:after="0" w:line="240" w:lineRule="auto"/>
              <w:jc w:val="center"/>
            </w:pPr>
            <w:r>
              <w:rPr>
                <w:rFonts w:eastAsia="Times New Roman" w:cs="Times New Roman"/>
                <w:color w:val="000000"/>
                <w:lang w:eastAsia="en-AU"/>
              </w:rPr>
              <w:t>197*</w:t>
            </w:r>
          </w:p>
        </w:tc>
      </w:tr>
    </w:tbl>
    <w:p w14:paraId="11A119D7" w14:textId="77777777" w:rsidR="00D74C6D" w:rsidRDefault="00D74C6D" w:rsidP="00D74C6D">
      <w:pPr>
        <w:pStyle w:val="Heading4"/>
      </w:pPr>
      <w:bookmarkStart w:id="144" w:name="_Toc210406396"/>
    </w:p>
    <w:p w14:paraId="132E46F8" w14:textId="77777777" w:rsidR="00D74C6D" w:rsidRDefault="00D74C6D">
      <w:pPr>
        <w:spacing w:line="240" w:lineRule="atLeast"/>
        <w:rPr>
          <w:rFonts w:ascii="Gotham Medium" w:eastAsiaTheme="majorEastAsia" w:hAnsi="Gotham Medium" w:cstheme="majorBidi"/>
          <w:color w:val="09002E" w:themeColor="text2"/>
          <w:sz w:val="24"/>
          <w:szCs w:val="24"/>
        </w:rPr>
      </w:pPr>
      <w:r>
        <w:br w:type="page"/>
      </w:r>
    </w:p>
    <w:p w14:paraId="5B6BA396" w14:textId="6C68FFE8" w:rsidR="003138BD" w:rsidRDefault="003138BD" w:rsidP="00D74C6D">
      <w:pPr>
        <w:pStyle w:val="Heading4"/>
      </w:pPr>
      <w:bookmarkStart w:id="145" w:name="_Toc212567895"/>
      <w:r>
        <w:lastRenderedPageBreak/>
        <w:t>Upper Levels</w:t>
      </w:r>
      <w:bookmarkEnd w:id="144"/>
      <w:bookmarkEnd w:id="145"/>
    </w:p>
    <w:p w14:paraId="4B6F90A7" w14:textId="77777777" w:rsidR="003138BD" w:rsidRPr="00A72016" w:rsidRDefault="003138BD" w:rsidP="003138BD">
      <w:pPr>
        <w:rPr>
          <w:rFonts w:eastAsia="Times New Roman"/>
          <w:szCs w:val="20"/>
        </w:rPr>
      </w:pPr>
      <w:r>
        <w:rPr>
          <w:rFonts w:eastAsia="Times New Roman"/>
          <w:szCs w:val="20"/>
          <w:highlight w:val="yellow"/>
        </w:rPr>
        <w:fldChar w:fldCharType="begin"/>
      </w:r>
      <w:r>
        <w:rPr>
          <w:rFonts w:eastAsia="Times New Roman"/>
          <w:szCs w:val="20"/>
        </w:rPr>
        <w:instrText xml:space="preserve"> REF _Ref205905903 \h </w:instrText>
      </w:r>
      <w:r>
        <w:rPr>
          <w:rFonts w:eastAsia="Times New Roman"/>
          <w:szCs w:val="20"/>
          <w:highlight w:val="yellow"/>
        </w:rPr>
      </w:r>
      <w:r>
        <w:rPr>
          <w:rFonts w:eastAsia="Times New Roman"/>
          <w:szCs w:val="20"/>
          <w:highlight w:val="yellow"/>
        </w:rPr>
        <w:fldChar w:fldCharType="separate"/>
      </w:r>
      <w:r>
        <w:t xml:space="preserve">Table </w:t>
      </w:r>
      <w:r>
        <w:rPr>
          <w:noProof/>
        </w:rPr>
        <w:t>12</w:t>
      </w:r>
      <w:r>
        <w:rPr>
          <w:rFonts w:eastAsia="Times New Roman"/>
          <w:szCs w:val="20"/>
          <w:highlight w:val="yellow"/>
        </w:rPr>
        <w:fldChar w:fldCharType="end"/>
      </w:r>
      <w:r>
        <w:rPr>
          <w:rFonts w:eastAsia="Times New Roman"/>
          <w:szCs w:val="20"/>
        </w:rPr>
        <w:t xml:space="preserve"> shows NRV recommendations for iodine upper levels across comparable international jurisdictions. To account for differing age groupings across jurisdictions, values have been adjusted using a weighted average calculation, to align with NHMRC’s proposed age groupings. Adjusted values are denoted by * in the table. Where a jurisdiction specifies an EAR and RDI, the RDI has been extracted for comparison purposes.</w:t>
      </w:r>
    </w:p>
    <w:p w14:paraId="120D245F" w14:textId="24D23EEB" w:rsidR="003138BD" w:rsidRDefault="003138BD" w:rsidP="00D74C6D">
      <w:pPr>
        <w:pStyle w:val="TableTitle"/>
      </w:pPr>
      <w:r w:rsidRPr="003C6D2F">
        <w:t xml:space="preserve">Comparison of proposed </w:t>
      </w:r>
      <w:r>
        <w:t>UL</w:t>
      </w:r>
      <w:r w:rsidRPr="003C6D2F">
        <w:t xml:space="preserve">s with international </w:t>
      </w:r>
      <w:proofErr w:type="gramStart"/>
      <w:r>
        <w:t>Upper Level</w:t>
      </w:r>
      <w:proofErr w:type="gramEnd"/>
      <w:r w:rsidRPr="003C6D2F">
        <w:t xml:space="preserve"> recommendations from comparable international jurisdictions</w:t>
      </w:r>
    </w:p>
    <w:tbl>
      <w:tblPr>
        <w:tblStyle w:val="DefaultTable1"/>
        <w:tblW w:w="10343" w:type="dxa"/>
        <w:tblInd w:w="0" w:type="dxa"/>
        <w:tblLayout w:type="fixed"/>
        <w:tblLook w:val="0620" w:firstRow="1" w:lastRow="0" w:firstColumn="0" w:lastColumn="0" w:noHBand="1" w:noVBand="1"/>
      </w:tblPr>
      <w:tblGrid>
        <w:gridCol w:w="1292"/>
        <w:gridCol w:w="1293"/>
        <w:gridCol w:w="1293"/>
        <w:gridCol w:w="1293"/>
        <w:gridCol w:w="1293"/>
        <w:gridCol w:w="1293"/>
        <w:gridCol w:w="1293"/>
        <w:gridCol w:w="1293"/>
      </w:tblGrid>
      <w:tr w:rsidR="003138BD" w:rsidRPr="00C47322" w14:paraId="50AD96F5" w14:textId="77777777" w:rsidTr="00D74C6D">
        <w:trPr>
          <w:cnfStyle w:val="100000000000" w:firstRow="1" w:lastRow="0" w:firstColumn="0" w:lastColumn="0" w:oddVBand="0" w:evenVBand="0" w:oddHBand="0" w:evenHBand="0" w:firstRowFirstColumn="0" w:firstRowLastColumn="0" w:lastRowFirstColumn="0" w:lastRowLastColumn="0"/>
          <w:trHeight w:val="900"/>
        </w:trPr>
        <w:tc>
          <w:tcPr>
            <w:tcW w:w="1292" w:type="dxa"/>
            <w:hideMark/>
          </w:tcPr>
          <w:p w14:paraId="1D3911DA" w14:textId="77777777" w:rsidR="003138BD" w:rsidRPr="00C47322" w:rsidRDefault="003138BD" w:rsidP="00006531">
            <w:pPr>
              <w:spacing w:before="0" w:after="0" w:line="240" w:lineRule="auto"/>
              <w:rPr>
                <w:rFonts w:eastAsia="Times New Roman" w:cs="Times New Roman"/>
                <w:b w:val="0"/>
                <w:bCs w:val="0"/>
                <w:lang w:eastAsia="en-AU"/>
              </w:rPr>
            </w:pPr>
            <w:r w:rsidRPr="00C47322">
              <w:rPr>
                <w:rFonts w:eastAsia="Times New Roman" w:cs="Times New Roman"/>
                <w:lang w:eastAsia="en-AU"/>
              </w:rPr>
              <w:t>Age (years)</w:t>
            </w:r>
          </w:p>
        </w:tc>
        <w:tc>
          <w:tcPr>
            <w:tcW w:w="1293" w:type="dxa"/>
          </w:tcPr>
          <w:p w14:paraId="316E9AA8" w14:textId="77777777" w:rsidR="003138BD" w:rsidRDefault="003138BD" w:rsidP="00006531">
            <w:pPr>
              <w:spacing w:before="0" w:after="0" w:line="240" w:lineRule="auto"/>
              <w:ind w:left="-111"/>
              <w:jc w:val="center"/>
              <w:rPr>
                <w:rFonts w:eastAsia="Times New Roman" w:cs="Times New Roman"/>
                <w:b w:val="0"/>
                <w:bCs w:val="0"/>
                <w:lang w:eastAsia="en-AU"/>
              </w:rPr>
            </w:pPr>
            <w:r w:rsidRPr="005E7763">
              <w:rPr>
                <w:rFonts w:eastAsia="Times New Roman" w:cs="Times New Roman"/>
                <w:lang w:eastAsia="en-AU"/>
              </w:rPr>
              <w:t xml:space="preserve">Proposed </w:t>
            </w:r>
            <w:r>
              <w:rPr>
                <w:rFonts w:eastAsia="Times New Roman" w:cs="Times New Roman"/>
                <w:lang w:eastAsia="en-AU"/>
              </w:rPr>
              <w:t>ANZ UL</w:t>
            </w:r>
          </w:p>
          <w:p w14:paraId="7B2FFD4A" w14:textId="77777777" w:rsidR="003138BD" w:rsidRPr="005E7763" w:rsidRDefault="003138BD" w:rsidP="00006531">
            <w:pPr>
              <w:spacing w:before="0" w:after="0" w:line="240" w:lineRule="auto"/>
              <w:ind w:left="-111"/>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293" w:type="dxa"/>
            <w:hideMark/>
          </w:tcPr>
          <w:p w14:paraId="7B14ED0D" w14:textId="77777777" w:rsidR="003138BD" w:rsidRDefault="003138BD" w:rsidP="00006531">
            <w:pPr>
              <w:spacing w:before="0" w:after="0" w:line="240" w:lineRule="auto"/>
              <w:jc w:val="center"/>
              <w:rPr>
                <w:rFonts w:eastAsia="Times New Roman" w:cs="Times New Roman"/>
                <w:b w:val="0"/>
                <w:bCs w:val="0"/>
                <w:lang w:eastAsia="en-AU"/>
              </w:rPr>
            </w:pPr>
            <w:r>
              <w:rPr>
                <w:rFonts w:eastAsia="Times New Roman" w:cs="Times New Roman"/>
                <w:lang w:eastAsia="en-AU"/>
              </w:rPr>
              <w:t>NHMRC (</w:t>
            </w:r>
            <w:r w:rsidRPr="005E7763">
              <w:rPr>
                <w:rFonts w:eastAsia="Times New Roman" w:cs="Times New Roman"/>
                <w:lang w:eastAsia="en-AU"/>
              </w:rPr>
              <w:t>2006)</w:t>
            </w:r>
          </w:p>
          <w:p w14:paraId="6CD6FE96" w14:textId="77777777" w:rsidR="003138BD" w:rsidRDefault="003138BD" w:rsidP="00006531">
            <w:pPr>
              <w:spacing w:before="0" w:after="0" w:line="240" w:lineRule="auto"/>
              <w:jc w:val="center"/>
              <w:rPr>
                <w:rFonts w:eastAsia="Times New Roman" w:cs="Times New Roman"/>
                <w:b w:val="0"/>
                <w:bCs w:val="0"/>
                <w:lang w:eastAsia="en-AU"/>
              </w:rPr>
            </w:pPr>
            <w:r>
              <w:rPr>
                <w:rFonts w:eastAsia="Times New Roman" w:cs="Times New Roman"/>
                <w:lang w:eastAsia="en-AU"/>
              </w:rPr>
              <w:t>Current UL</w:t>
            </w:r>
          </w:p>
          <w:p w14:paraId="0EF1ABDE" w14:textId="77777777" w:rsidR="003138BD" w:rsidRPr="00C47322" w:rsidRDefault="003138BD" w:rsidP="00006531">
            <w:pPr>
              <w:spacing w:before="0"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293" w:type="dxa"/>
          </w:tcPr>
          <w:p w14:paraId="685B225C" w14:textId="77777777" w:rsidR="003138BD" w:rsidRPr="00D74C6D" w:rsidRDefault="003138BD" w:rsidP="00006531">
            <w:pPr>
              <w:spacing w:before="0"/>
              <w:jc w:val="center"/>
            </w:pPr>
            <w:r w:rsidRPr="00D74C6D">
              <w:t>US/ Canada (2001) UL</w:t>
            </w:r>
          </w:p>
          <w:p w14:paraId="0B4224E7" w14:textId="77777777" w:rsidR="003138BD" w:rsidRPr="00C47322" w:rsidRDefault="003138BD" w:rsidP="00006531">
            <w:pPr>
              <w:spacing w:before="0"/>
              <w:jc w:val="center"/>
              <w:rPr>
                <w:rFonts w:eastAsia="Times New Roman" w:cs="Times New Roman"/>
                <w:b w:val="0"/>
                <w:bCs w:val="0"/>
                <w:lang w:eastAsia="en-AU"/>
              </w:rPr>
            </w:pPr>
            <w:r w:rsidRPr="00D74C6D">
              <w:t>(µg/day</w:t>
            </w:r>
          </w:p>
        </w:tc>
        <w:tc>
          <w:tcPr>
            <w:tcW w:w="1293" w:type="dxa"/>
            <w:hideMark/>
          </w:tcPr>
          <w:p w14:paraId="038E609A" w14:textId="77777777" w:rsidR="003138BD" w:rsidRDefault="003138BD" w:rsidP="00006531">
            <w:pPr>
              <w:spacing w:before="0" w:after="0" w:line="240" w:lineRule="auto"/>
              <w:jc w:val="center"/>
              <w:rPr>
                <w:rFonts w:eastAsia="Times New Roman" w:cs="Times New Roman"/>
                <w:b w:val="0"/>
                <w:bCs w:val="0"/>
                <w:lang w:eastAsia="en-AU"/>
              </w:rPr>
            </w:pPr>
            <w:r w:rsidRPr="00C47322">
              <w:rPr>
                <w:rFonts w:eastAsia="Times New Roman" w:cs="Times New Roman"/>
                <w:lang w:eastAsia="en-AU"/>
              </w:rPr>
              <w:t xml:space="preserve">EFSA </w:t>
            </w:r>
            <w:r w:rsidRPr="005E7763">
              <w:rPr>
                <w:rFonts w:eastAsia="Times New Roman" w:cs="Times New Roman"/>
                <w:lang w:eastAsia="en-AU"/>
              </w:rPr>
              <w:t>(20</w:t>
            </w:r>
            <w:r>
              <w:rPr>
                <w:rFonts w:eastAsia="Times New Roman" w:cs="Times New Roman"/>
                <w:lang w:eastAsia="en-AU"/>
              </w:rPr>
              <w:t>02</w:t>
            </w:r>
            <w:r w:rsidRPr="005E7763">
              <w:rPr>
                <w:rFonts w:eastAsia="Times New Roman" w:cs="Times New Roman"/>
                <w:lang w:eastAsia="en-AU"/>
              </w:rPr>
              <w:t>)</w:t>
            </w:r>
            <w:r>
              <w:rPr>
                <w:rFonts w:eastAsia="Times New Roman" w:cs="Times New Roman"/>
                <w:lang w:eastAsia="en-AU"/>
              </w:rPr>
              <w:t xml:space="preserve"> UL</w:t>
            </w:r>
            <w:r w:rsidRPr="005E7763">
              <w:rPr>
                <w:rFonts w:eastAsia="Times New Roman" w:cs="Times New Roman"/>
                <w:lang w:eastAsia="en-AU"/>
              </w:rPr>
              <w:t xml:space="preserve"> </w:t>
            </w:r>
          </w:p>
          <w:p w14:paraId="081CADA5" w14:textId="77777777" w:rsidR="003138BD" w:rsidRPr="00C47322" w:rsidRDefault="003138BD" w:rsidP="00006531">
            <w:pPr>
              <w:spacing w:before="0"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293" w:type="dxa"/>
            <w:hideMark/>
          </w:tcPr>
          <w:p w14:paraId="4F3E412C" w14:textId="77777777" w:rsidR="003138BD" w:rsidRDefault="003138BD" w:rsidP="00006531">
            <w:pPr>
              <w:spacing w:before="0" w:after="0" w:line="240" w:lineRule="auto"/>
              <w:jc w:val="center"/>
              <w:rPr>
                <w:rFonts w:eastAsia="Times New Roman" w:cs="Times New Roman"/>
                <w:b w:val="0"/>
                <w:bCs w:val="0"/>
                <w:lang w:eastAsia="en-AU"/>
              </w:rPr>
            </w:pPr>
            <w:r w:rsidRPr="00C47322">
              <w:rPr>
                <w:rFonts w:eastAsia="Times New Roman" w:cs="Times New Roman"/>
                <w:lang w:eastAsia="en-AU"/>
              </w:rPr>
              <w:t xml:space="preserve">NNR </w:t>
            </w:r>
          </w:p>
          <w:p w14:paraId="22571199" w14:textId="77777777" w:rsidR="003138BD" w:rsidRDefault="003138BD" w:rsidP="00006531">
            <w:pPr>
              <w:spacing w:before="0" w:after="0" w:line="240" w:lineRule="auto"/>
              <w:jc w:val="center"/>
              <w:rPr>
                <w:rFonts w:eastAsia="Times New Roman" w:cs="Times New Roman"/>
                <w:b w:val="0"/>
                <w:bCs w:val="0"/>
                <w:lang w:eastAsia="en-AU"/>
              </w:rPr>
            </w:pPr>
            <w:r w:rsidRPr="005E7763">
              <w:rPr>
                <w:rFonts w:eastAsia="Times New Roman" w:cs="Times New Roman"/>
                <w:lang w:eastAsia="en-AU"/>
              </w:rPr>
              <w:t>(2023)</w:t>
            </w:r>
            <w:r>
              <w:rPr>
                <w:rFonts w:eastAsia="Times New Roman" w:cs="Times New Roman"/>
                <w:lang w:eastAsia="en-AU"/>
              </w:rPr>
              <w:t xml:space="preserve"> UL</w:t>
            </w:r>
          </w:p>
          <w:p w14:paraId="014AE18B" w14:textId="77777777" w:rsidR="003138BD" w:rsidRPr="00C47322" w:rsidRDefault="003138BD" w:rsidP="00006531">
            <w:pPr>
              <w:spacing w:before="0"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293" w:type="dxa"/>
          </w:tcPr>
          <w:p w14:paraId="30BB457F" w14:textId="77777777" w:rsidR="003138BD" w:rsidRDefault="003138BD" w:rsidP="00006531">
            <w:pPr>
              <w:spacing w:before="0" w:after="0" w:line="240" w:lineRule="auto"/>
              <w:jc w:val="center"/>
              <w:rPr>
                <w:rFonts w:eastAsia="Times New Roman" w:cs="Times New Roman"/>
                <w:b w:val="0"/>
                <w:bCs w:val="0"/>
                <w:lang w:eastAsia="en-AU"/>
              </w:rPr>
            </w:pPr>
            <w:r w:rsidRPr="005E7763">
              <w:rPr>
                <w:rFonts w:eastAsia="Times New Roman" w:cs="Times New Roman"/>
                <w:lang w:eastAsia="en-AU"/>
              </w:rPr>
              <w:t xml:space="preserve">WHO </w:t>
            </w:r>
          </w:p>
          <w:p w14:paraId="1B65F53A" w14:textId="77777777" w:rsidR="003138BD" w:rsidRDefault="003138BD" w:rsidP="00006531">
            <w:pPr>
              <w:spacing w:before="0" w:after="0" w:line="240" w:lineRule="auto"/>
              <w:jc w:val="center"/>
              <w:rPr>
                <w:rFonts w:eastAsia="Times New Roman" w:cs="Times New Roman"/>
                <w:b w:val="0"/>
                <w:bCs w:val="0"/>
                <w:lang w:eastAsia="en-AU"/>
              </w:rPr>
            </w:pPr>
            <w:r w:rsidRPr="005E7763">
              <w:rPr>
                <w:rFonts w:eastAsia="Times New Roman" w:cs="Times New Roman"/>
                <w:lang w:eastAsia="en-AU"/>
              </w:rPr>
              <w:t>(</w:t>
            </w:r>
            <w:r>
              <w:rPr>
                <w:rFonts w:eastAsia="Times New Roman" w:cs="Times New Roman"/>
                <w:lang w:eastAsia="en-AU"/>
              </w:rPr>
              <w:t>2004</w:t>
            </w:r>
            <w:r w:rsidRPr="005E7763">
              <w:rPr>
                <w:rFonts w:eastAsia="Times New Roman" w:cs="Times New Roman"/>
                <w:lang w:eastAsia="en-AU"/>
              </w:rPr>
              <w:t>)</w:t>
            </w:r>
            <w:r>
              <w:rPr>
                <w:rFonts w:eastAsia="Times New Roman" w:cs="Times New Roman"/>
                <w:lang w:eastAsia="en-AU"/>
              </w:rPr>
              <w:t xml:space="preserve"> UL^</w:t>
            </w:r>
          </w:p>
          <w:p w14:paraId="317D7A1D" w14:textId="77777777" w:rsidR="003138BD" w:rsidRPr="005E7763" w:rsidRDefault="003138BD" w:rsidP="00006531">
            <w:pPr>
              <w:spacing w:before="0"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c>
          <w:tcPr>
            <w:tcW w:w="1293" w:type="dxa"/>
          </w:tcPr>
          <w:p w14:paraId="35C28A08" w14:textId="77777777" w:rsidR="003138BD" w:rsidRDefault="003138BD" w:rsidP="00006531">
            <w:pPr>
              <w:spacing w:before="0" w:after="0" w:line="240" w:lineRule="auto"/>
              <w:jc w:val="center"/>
              <w:rPr>
                <w:rFonts w:eastAsia="Times New Roman" w:cs="Times New Roman"/>
                <w:b w:val="0"/>
                <w:bCs w:val="0"/>
                <w:lang w:eastAsia="en-AU"/>
              </w:rPr>
            </w:pPr>
            <w:r w:rsidRPr="005E7763">
              <w:rPr>
                <w:rFonts w:eastAsia="Times New Roman" w:cs="Times New Roman"/>
                <w:lang w:eastAsia="en-AU"/>
              </w:rPr>
              <w:t>D-A-C-H (201</w:t>
            </w:r>
            <w:r>
              <w:rPr>
                <w:rFonts w:eastAsia="Times New Roman" w:cs="Times New Roman"/>
                <w:lang w:eastAsia="en-AU"/>
              </w:rPr>
              <w:t>5</w:t>
            </w:r>
            <w:r w:rsidRPr="005E7763">
              <w:rPr>
                <w:rFonts w:eastAsia="Times New Roman" w:cs="Times New Roman"/>
                <w:lang w:eastAsia="en-AU"/>
              </w:rPr>
              <w:t>)</w:t>
            </w:r>
            <w:r>
              <w:rPr>
                <w:rFonts w:eastAsia="Times New Roman" w:cs="Times New Roman"/>
                <w:lang w:eastAsia="en-AU"/>
              </w:rPr>
              <w:t xml:space="preserve"> UL</w:t>
            </w:r>
          </w:p>
          <w:p w14:paraId="03362EC9" w14:textId="77777777" w:rsidR="003138BD" w:rsidRPr="005E7763" w:rsidRDefault="003138BD" w:rsidP="00006531">
            <w:pPr>
              <w:spacing w:before="0" w:after="0" w:line="240" w:lineRule="auto"/>
              <w:jc w:val="center"/>
              <w:rPr>
                <w:rFonts w:eastAsia="Times New Roman" w:cs="Times New Roman"/>
                <w:b w:val="0"/>
                <w:bCs w:val="0"/>
                <w:lang w:eastAsia="en-AU"/>
              </w:rPr>
            </w:pPr>
            <w:r w:rsidRPr="00EA035F">
              <w:rPr>
                <w:rFonts w:eastAsia="Times New Roman" w:cs="Times New Roman"/>
                <w:lang w:eastAsia="en-AU"/>
              </w:rPr>
              <w:t>(</w:t>
            </w:r>
            <w:r>
              <w:rPr>
                <w:rFonts w:eastAsia="Times New Roman" w:cs="Times New Roman"/>
                <w:szCs w:val="20"/>
              </w:rPr>
              <w:t>µg/day</w:t>
            </w:r>
            <w:r w:rsidRPr="00EA035F">
              <w:rPr>
                <w:rFonts w:eastAsia="Times New Roman" w:cs="Times New Roman"/>
                <w:szCs w:val="20"/>
              </w:rPr>
              <w:t>)</w:t>
            </w:r>
          </w:p>
        </w:tc>
      </w:tr>
      <w:tr w:rsidR="003138BD" w:rsidRPr="00C47322" w14:paraId="32BCC134" w14:textId="77777777" w:rsidTr="00D74C6D">
        <w:trPr>
          <w:trHeight w:val="300"/>
        </w:trPr>
        <w:tc>
          <w:tcPr>
            <w:tcW w:w="1292" w:type="dxa"/>
            <w:noWrap/>
          </w:tcPr>
          <w:p w14:paraId="2E8508DA" w14:textId="77777777" w:rsidR="003138BD" w:rsidRPr="005E7763" w:rsidRDefault="003138BD" w:rsidP="00006531">
            <w:pPr>
              <w:spacing w:before="0" w:after="0" w:line="240" w:lineRule="auto"/>
              <w:rPr>
                <w:rFonts w:eastAsia="Times New Roman" w:cs="Times New Roman"/>
                <w:color w:val="000000"/>
                <w:lang w:eastAsia="en-AU"/>
              </w:rPr>
            </w:pPr>
            <w:r w:rsidRPr="005E7763">
              <w:rPr>
                <w:rFonts w:eastAsia="Times New Roman" w:cs="Times New Roman"/>
                <w:color w:val="000000"/>
                <w:lang w:eastAsia="en-AU"/>
              </w:rPr>
              <w:t>Adults 18 +years:</w:t>
            </w:r>
          </w:p>
        </w:tc>
        <w:tc>
          <w:tcPr>
            <w:tcW w:w="1293" w:type="dxa"/>
          </w:tcPr>
          <w:p w14:paraId="40B1677D"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600</w:t>
            </w:r>
          </w:p>
        </w:tc>
        <w:tc>
          <w:tcPr>
            <w:tcW w:w="1293" w:type="dxa"/>
            <w:noWrap/>
          </w:tcPr>
          <w:p w14:paraId="70DC0D82"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1,100</w:t>
            </w:r>
          </w:p>
        </w:tc>
        <w:tc>
          <w:tcPr>
            <w:tcW w:w="1293" w:type="dxa"/>
          </w:tcPr>
          <w:p w14:paraId="44FF3208" w14:textId="77777777" w:rsidR="003138BD"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1,100</w:t>
            </w:r>
          </w:p>
        </w:tc>
        <w:tc>
          <w:tcPr>
            <w:tcW w:w="1293" w:type="dxa"/>
            <w:noWrap/>
          </w:tcPr>
          <w:p w14:paraId="0D2F35D9"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600</w:t>
            </w:r>
          </w:p>
        </w:tc>
        <w:tc>
          <w:tcPr>
            <w:tcW w:w="1293" w:type="dxa"/>
            <w:noWrap/>
          </w:tcPr>
          <w:p w14:paraId="6731909C"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600</w:t>
            </w:r>
          </w:p>
        </w:tc>
        <w:tc>
          <w:tcPr>
            <w:tcW w:w="1293" w:type="dxa"/>
          </w:tcPr>
          <w:p w14:paraId="73859526"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1,875</w:t>
            </w:r>
          </w:p>
        </w:tc>
        <w:tc>
          <w:tcPr>
            <w:tcW w:w="1293" w:type="dxa"/>
          </w:tcPr>
          <w:p w14:paraId="66B7C2E5"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500</w:t>
            </w:r>
          </w:p>
        </w:tc>
      </w:tr>
      <w:tr w:rsidR="003138BD" w:rsidRPr="00C47322" w14:paraId="4D04D3B4" w14:textId="77777777" w:rsidTr="00D74C6D">
        <w:trPr>
          <w:trHeight w:val="300"/>
        </w:trPr>
        <w:tc>
          <w:tcPr>
            <w:tcW w:w="1292" w:type="dxa"/>
            <w:noWrap/>
          </w:tcPr>
          <w:p w14:paraId="0E4CC4F4" w14:textId="77777777" w:rsidR="003138BD" w:rsidRPr="005E7763" w:rsidRDefault="003138BD" w:rsidP="00006531">
            <w:pPr>
              <w:spacing w:before="0" w:after="0" w:line="240" w:lineRule="auto"/>
              <w:rPr>
                <w:rFonts w:eastAsia="Times New Roman" w:cs="Times New Roman"/>
                <w:color w:val="000000"/>
                <w:lang w:eastAsia="en-AU"/>
              </w:rPr>
            </w:pPr>
            <w:r>
              <w:rPr>
                <w:rFonts w:eastAsia="Times New Roman" w:cs="Times New Roman"/>
                <w:color w:val="000000"/>
                <w:lang w:eastAsia="en-AU"/>
              </w:rPr>
              <w:t>Pregnancy (all)</w:t>
            </w:r>
            <w:r w:rsidRPr="005E7763">
              <w:rPr>
                <w:rFonts w:eastAsia="Times New Roman" w:cs="Times New Roman"/>
                <w:color w:val="000000"/>
                <w:lang w:eastAsia="en-AU"/>
              </w:rPr>
              <w:t>:</w:t>
            </w:r>
          </w:p>
        </w:tc>
        <w:tc>
          <w:tcPr>
            <w:tcW w:w="1293" w:type="dxa"/>
          </w:tcPr>
          <w:p w14:paraId="322C8F0C"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600</w:t>
            </w:r>
          </w:p>
        </w:tc>
        <w:tc>
          <w:tcPr>
            <w:tcW w:w="1293" w:type="dxa"/>
            <w:noWrap/>
          </w:tcPr>
          <w:p w14:paraId="727880FE"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1,00</w:t>
            </w:r>
          </w:p>
        </w:tc>
        <w:tc>
          <w:tcPr>
            <w:tcW w:w="1293" w:type="dxa"/>
          </w:tcPr>
          <w:p w14:paraId="13F994F9" w14:textId="77777777" w:rsidR="003138BD" w:rsidRPr="00713A4C" w:rsidRDefault="003138BD" w:rsidP="00006531">
            <w:pPr>
              <w:spacing w:before="0" w:after="0" w:line="240" w:lineRule="auto"/>
              <w:jc w:val="center"/>
            </w:pPr>
            <w:r>
              <w:t>1,100</w:t>
            </w:r>
          </w:p>
        </w:tc>
        <w:tc>
          <w:tcPr>
            <w:tcW w:w="1293" w:type="dxa"/>
            <w:noWrap/>
          </w:tcPr>
          <w:p w14:paraId="68D4E24E"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600</w:t>
            </w:r>
          </w:p>
        </w:tc>
        <w:tc>
          <w:tcPr>
            <w:tcW w:w="1293" w:type="dxa"/>
            <w:noWrap/>
          </w:tcPr>
          <w:p w14:paraId="49FABFF9"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600</w:t>
            </w:r>
          </w:p>
        </w:tc>
        <w:tc>
          <w:tcPr>
            <w:tcW w:w="1293" w:type="dxa"/>
          </w:tcPr>
          <w:p w14:paraId="33A3940A"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w:t>
            </w:r>
          </w:p>
        </w:tc>
        <w:tc>
          <w:tcPr>
            <w:tcW w:w="1293" w:type="dxa"/>
          </w:tcPr>
          <w:p w14:paraId="257322A5" w14:textId="77777777" w:rsidR="003138BD" w:rsidRPr="005E7763" w:rsidRDefault="003138BD" w:rsidP="00006531">
            <w:pPr>
              <w:spacing w:before="0" w:after="0" w:line="240" w:lineRule="auto"/>
              <w:jc w:val="center"/>
              <w:rPr>
                <w:rFonts w:eastAsia="Times New Roman" w:cs="Times New Roman"/>
                <w:color w:val="000000"/>
                <w:lang w:eastAsia="en-AU"/>
              </w:rPr>
            </w:pPr>
            <w:r>
              <w:rPr>
                <w:rFonts w:eastAsia="Times New Roman" w:cs="Times New Roman"/>
                <w:color w:val="000000"/>
                <w:lang w:eastAsia="en-AU"/>
              </w:rPr>
              <w:t>-</w:t>
            </w:r>
          </w:p>
        </w:tc>
      </w:tr>
      <w:tr w:rsidR="003138BD" w:rsidRPr="00C47322" w14:paraId="0D8339E5" w14:textId="77777777" w:rsidTr="00D74C6D">
        <w:trPr>
          <w:trHeight w:val="300"/>
        </w:trPr>
        <w:tc>
          <w:tcPr>
            <w:tcW w:w="1292" w:type="dxa"/>
            <w:noWrap/>
          </w:tcPr>
          <w:p w14:paraId="4D3A9055" w14:textId="77777777" w:rsidR="003138BD" w:rsidRDefault="003138BD" w:rsidP="00006531">
            <w:pPr>
              <w:spacing w:before="0" w:after="0" w:line="240" w:lineRule="auto"/>
              <w:rPr>
                <w:rFonts w:eastAsia="Times New Roman" w:cs="Times New Roman"/>
                <w:color w:val="000000"/>
                <w:lang w:eastAsia="en-AU"/>
              </w:rPr>
            </w:pPr>
            <w:r>
              <w:rPr>
                <w:rFonts w:eastAsia="Times New Roman" w:cs="Times New Roman"/>
                <w:color w:val="000000"/>
                <w:lang w:eastAsia="en-AU"/>
              </w:rPr>
              <w:t>Lactation (all)</w:t>
            </w:r>
          </w:p>
        </w:tc>
        <w:tc>
          <w:tcPr>
            <w:tcW w:w="1293" w:type="dxa"/>
          </w:tcPr>
          <w:p w14:paraId="5ABFF4F4" w14:textId="77777777" w:rsidR="003138BD" w:rsidRPr="00713A4C" w:rsidRDefault="003138BD" w:rsidP="00006531">
            <w:pPr>
              <w:spacing w:before="0" w:after="0" w:line="240" w:lineRule="auto"/>
              <w:jc w:val="center"/>
            </w:pPr>
            <w:r>
              <w:t>600</w:t>
            </w:r>
          </w:p>
        </w:tc>
        <w:tc>
          <w:tcPr>
            <w:tcW w:w="1293" w:type="dxa"/>
            <w:noWrap/>
          </w:tcPr>
          <w:p w14:paraId="112519F2" w14:textId="77777777" w:rsidR="003138BD" w:rsidRPr="00713A4C" w:rsidRDefault="003138BD" w:rsidP="00006531">
            <w:pPr>
              <w:spacing w:before="0" w:after="0" w:line="240" w:lineRule="auto"/>
              <w:jc w:val="center"/>
            </w:pPr>
            <w:r>
              <w:t>1,100</w:t>
            </w:r>
          </w:p>
        </w:tc>
        <w:tc>
          <w:tcPr>
            <w:tcW w:w="1293" w:type="dxa"/>
          </w:tcPr>
          <w:p w14:paraId="57612291" w14:textId="77777777" w:rsidR="003138BD" w:rsidRPr="008F4901" w:rsidRDefault="003138BD" w:rsidP="00006531">
            <w:pPr>
              <w:spacing w:before="0" w:after="0" w:line="240" w:lineRule="auto"/>
              <w:jc w:val="center"/>
            </w:pPr>
            <w:r>
              <w:t>1,100</w:t>
            </w:r>
          </w:p>
        </w:tc>
        <w:tc>
          <w:tcPr>
            <w:tcW w:w="1293" w:type="dxa"/>
            <w:noWrap/>
          </w:tcPr>
          <w:p w14:paraId="447803B8" w14:textId="77777777" w:rsidR="003138BD" w:rsidRPr="00713A4C" w:rsidRDefault="003138BD" w:rsidP="00006531">
            <w:pPr>
              <w:spacing w:before="0" w:after="0" w:line="240" w:lineRule="auto"/>
              <w:jc w:val="center"/>
            </w:pPr>
            <w:r>
              <w:t>600</w:t>
            </w:r>
          </w:p>
        </w:tc>
        <w:tc>
          <w:tcPr>
            <w:tcW w:w="1293" w:type="dxa"/>
            <w:noWrap/>
          </w:tcPr>
          <w:p w14:paraId="4B338B06" w14:textId="77777777" w:rsidR="003138BD" w:rsidRPr="00713A4C" w:rsidRDefault="003138BD" w:rsidP="00006531">
            <w:pPr>
              <w:spacing w:before="0" w:after="0" w:line="240" w:lineRule="auto"/>
              <w:jc w:val="center"/>
            </w:pPr>
            <w:r>
              <w:t>600</w:t>
            </w:r>
          </w:p>
        </w:tc>
        <w:tc>
          <w:tcPr>
            <w:tcW w:w="1293" w:type="dxa"/>
          </w:tcPr>
          <w:p w14:paraId="13695593" w14:textId="77777777" w:rsidR="003138BD" w:rsidRPr="00713A4C" w:rsidRDefault="003138BD" w:rsidP="00006531">
            <w:pPr>
              <w:spacing w:before="0" w:after="0" w:line="240" w:lineRule="auto"/>
              <w:jc w:val="center"/>
            </w:pPr>
            <w:r>
              <w:t>-</w:t>
            </w:r>
          </w:p>
        </w:tc>
        <w:tc>
          <w:tcPr>
            <w:tcW w:w="1293" w:type="dxa"/>
          </w:tcPr>
          <w:p w14:paraId="4B04AD90" w14:textId="77777777" w:rsidR="003138BD" w:rsidRPr="00713A4C" w:rsidRDefault="003138BD" w:rsidP="00006531">
            <w:pPr>
              <w:spacing w:before="0" w:after="0" w:line="240" w:lineRule="auto"/>
              <w:jc w:val="center"/>
            </w:pPr>
            <w:r>
              <w:t>-</w:t>
            </w:r>
          </w:p>
        </w:tc>
      </w:tr>
      <w:tr w:rsidR="003138BD" w:rsidRPr="00C47322" w14:paraId="77D8FED8" w14:textId="77777777" w:rsidTr="00D74C6D">
        <w:trPr>
          <w:trHeight w:val="300"/>
        </w:trPr>
        <w:tc>
          <w:tcPr>
            <w:tcW w:w="10343" w:type="dxa"/>
            <w:gridSpan w:val="8"/>
            <w:shd w:val="clear" w:color="auto" w:fill="005F85" w:themeFill="accent2"/>
            <w:noWrap/>
          </w:tcPr>
          <w:p w14:paraId="7E50ABBA" w14:textId="77777777" w:rsidR="003138BD" w:rsidRPr="00D40780" w:rsidRDefault="003138BD" w:rsidP="00006531">
            <w:pPr>
              <w:spacing w:before="0" w:after="0" w:line="240" w:lineRule="auto"/>
              <w:rPr>
                <w:i/>
                <w:iCs/>
              </w:rPr>
            </w:pPr>
            <w:r w:rsidRPr="00D40780">
              <w:rPr>
                <w:i/>
                <w:iCs/>
                <w:color w:val="FFFFFF" w:themeColor="background1"/>
              </w:rPr>
              <w:t>Children and adolescents (by NRVs age groups)</w:t>
            </w:r>
          </w:p>
        </w:tc>
      </w:tr>
      <w:tr w:rsidR="003138BD" w:rsidRPr="00C47322" w14:paraId="1CE69C20" w14:textId="77777777" w:rsidTr="00D74C6D">
        <w:trPr>
          <w:trHeight w:val="300"/>
        </w:trPr>
        <w:tc>
          <w:tcPr>
            <w:tcW w:w="1292" w:type="dxa"/>
            <w:noWrap/>
          </w:tcPr>
          <w:p w14:paraId="5AB5A379" w14:textId="77777777" w:rsidR="003138BD" w:rsidRDefault="003138BD" w:rsidP="00006531">
            <w:pPr>
              <w:spacing w:before="0" w:after="0" w:line="240" w:lineRule="auto"/>
              <w:rPr>
                <w:rFonts w:eastAsia="Times New Roman" w:cs="Times New Roman"/>
                <w:color w:val="000000"/>
                <w:lang w:eastAsia="en-AU"/>
              </w:rPr>
            </w:pPr>
            <w:r w:rsidRPr="00C02FD7">
              <w:t xml:space="preserve">1 to </w:t>
            </w:r>
            <w:r>
              <w:t xml:space="preserve">under </w:t>
            </w:r>
            <w:r w:rsidRPr="00C02FD7">
              <w:t>4</w:t>
            </w:r>
            <w:r>
              <w:t xml:space="preserve"> </w:t>
            </w:r>
            <w:r w:rsidRPr="00C02FD7">
              <w:t>y</w:t>
            </w:r>
            <w:r>
              <w:t>ears</w:t>
            </w:r>
          </w:p>
        </w:tc>
        <w:tc>
          <w:tcPr>
            <w:tcW w:w="1293" w:type="dxa"/>
          </w:tcPr>
          <w:p w14:paraId="054D2E4E" w14:textId="77777777" w:rsidR="003138BD" w:rsidRPr="008F4901" w:rsidRDefault="003138BD" w:rsidP="00006531">
            <w:pPr>
              <w:spacing w:before="0" w:after="0" w:line="240" w:lineRule="auto"/>
              <w:jc w:val="center"/>
            </w:pPr>
            <w:r>
              <w:t>200</w:t>
            </w:r>
          </w:p>
        </w:tc>
        <w:tc>
          <w:tcPr>
            <w:tcW w:w="1293" w:type="dxa"/>
            <w:noWrap/>
          </w:tcPr>
          <w:p w14:paraId="7CF6158A" w14:textId="77777777" w:rsidR="003138BD" w:rsidRPr="008F4901" w:rsidRDefault="003138BD" w:rsidP="00006531">
            <w:pPr>
              <w:spacing w:before="0" w:after="0" w:line="240" w:lineRule="auto"/>
              <w:jc w:val="center"/>
            </w:pPr>
            <w:r>
              <w:rPr>
                <w:rFonts w:eastAsia="Times New Roman" w:cs="Times New Roman"/>
                <w:color w:val="000000"/>
                <w:lang w:eastAsia="en-AU"/>
              </w:rPr>
              <w:t>200</w:t>
            </w:r>
          </w:p>
        </w:tc>
        <w:tc>
          <w:tcPr>
            <w:tcW w:w="1293" w:type="dxa"/>
          </w:tcPr>
          <w:p w14:paraId="07A5399C" w14:textId="77777777" w:rsidR="003138BD" w:rsidRPr="00CD7826" w:rsidRDefault="003138BD" w:rsidP="00006531">
            <w:pPr>
              <w:spacing w:before="0" w:after="0" w:line="240" w:lineRule="auto"/>
              <w:jc w:val="center"/>
            </w:pPr>
            <w:r>
              <w:rPr>
                <w:rFonts w:eastAsia="Times New Roman" w:cs="Times New Roman"/>
                <w:color w:val="000000"/>
                <w:lang w:eastAsia="en-AU"/>
              </w:rPr>
              <w:t>200</w:t>
            </w:r>
          </w:p>
        </w:tc>
        <w:tc>
          <w:tcPr>
            <w:tcW w:w="1293" w:type="dxa"/>
            <w:noWrap/>
          </w:tcPr>
          <w:p w14:paraId="689FCD7E" w14:textId="77777777" w:rsidR="003138BD" w:rsidRPr="008F4901" w:rsidRDefault="003138BD" w:rsidP="00006531">
            <w:pPr>
              <w:spacing w:before="0" w:after="0" w:line="240" w:lineRule="auto"/>
              <w:jc w:val="center"/>
            </w:pPr>
            <w:r>
              <w:t>200</w:t>
            </w:r>
          </w:p>
        </w:tc>
        <w:tc>
          <w:tcPr>
            <w:tcW w:w="1293" w:type="dxa"/>
            <w:noWrap/>
          </w:tcPr>
          <w:p w14:paraId="559B40FA" w14:textId="77777777" w:rsidR="003138BD" w:rsidRPr="008F4901" w:rsidRDefault="003138BD" w:rsidP="00006531">
            <w:pPr>
              <w:spacing w:before="0" w:after="0" w:line="240" w:lineRule="auto"/>
              <w:jc w:val="center"/>
            </w:pPr>
            <w:r>
              <w:t>-</w:t>
            </w:r>
          </w:p>
        </w:tc>
        <w:tc>
          <w:tcPr>
            <w:tcW w:w="1293" w:type="dxa"/>
          </w:tcPr>
          <w:p w14:paraId="4018875E" w14:textId="77777777" w:rsidR="003138BD" w:rsidRPr="008F4901" w:rsidRDefault="003138BD" w:rsidP="00006531">
            <w:pPr>
              <w:spacing w:before="0" w:after="0" w:line="240" w:lineRule="auto"/>
              <w:jc w:val="center"/>
            </w:pPr>
            <w:r>
              <w:t>-</w:t>
            </w:r>
          </w:p>
        </w:tc>
        <w:tc>
          <w:tcPr>
            <w:tcW w:w="1293" w:type="dxa"/>
          </w:tcPr>
          <w:p w14:paraId="080E051B" w14:textId="77777777" w:rsidR="003138BD" w:rsidRPr="008F4901" w:rsidRDefault="003138BD" w:rsidP="00006531">
            <w:pPr>
              <w:spacing w:before="0" w:after="0" w:line="240" w:lineRule="auto"/>
              <w:jc w:val="center"/>
            </w:pPr>
            <w:r>
              <w:t>-</w:t>
            </w:r>
          </w:p>
        </w:tc>
      </w:tr>
      <w:tr w:rsidR="003138BD" w:rsidRPr="00C47322" w14:paraId="7CEF132C" w14:textId="77777777" w:rsidTr="00D74C6D">
        <w:trPr>
          <w:trHeight w:val="300"/>
        </w:trPr>
        <w:tc>
          <w:tcPr>
            <w:tcW w:w="1292" w:type="dxa"/>
            <w:noWrap/>
          </w:tcPr>
          <w:p w14:paraId="56003DC2" w14:textId="77777777" w:rsidR="003138BD" w:rsidRDefault="003138BD" w:rsidP="00006531">
            <w:pPr>
              <w:spacing w:before="0" w:after="0" w:line="240" w:lineRule="auto"/>
              <w:rPr>
                <w:rFonts w:eastAsia="Times New Roman" w:cs="Times New Roman"/>
                <w:color w:val="000000"/>
                <w:lang w:eastAsia="en-AU"/>
              </w:rPr>
            </w:pPr>
            <w:r w:rsidRPr="00C02FD7">
              <w:t xml:space="preserve">4 to </w:t>
            </w:r>
            <w:r>
              <w:t xml:space="preserve">under </w:t>
            </w:r>
            <w:r w:rsidRPr="00C02FD7">
              <w:t>9</w:t>
            </w:r>
            <w:r>
              <w:t xml:space="preserve"> </w:t>
            </w:r>
            <w:r w:rsidRPr="00C02FD7">
              <w:t>y</w:t>
            </w:r>
            <w:r>
              <w:t>ears</w:t>
            </w:r>
          </w:p>
        </w:tc>
        <w:tc>
          <w:tcPr>
            <w:tcW w:w="1293" w:type="dxa"/>
          </w:tcPr>
          <w:p w14:paraId="624E15EA" w14:textId="77777777" w:rsidR="003138BD" w:rsidRPr="008F4901" w:rsidRDefault="003138BD" w:rsidP="00006531">
            <w:pPr>
              <w:spacing w:before="0" w:after="0" w:line="240" w:lineRule="auto"/>
              <w:jc w:val="center"/>
            </w:pPr>
            <w:r>
              <w:t>300</w:t>
            </w:r>
          </w:p>
        </w:tc>
        <w:tc>
          <w:tcPr>
            <w:tcW w:w="1293" w:type="dxa"/>
            <w:noWrap/>
          </w:tcPr>
          <w:p w14:paraId="68AB9510" w14:textId="77777777" w:rsidR="003138BD" w:rsidRPr="008F4901" w:rsidRDefault="003138BD" w:rsidP="00006531">
            <w:pPr>
              <w:spacing w:before="0" w:after="0" w:line="240" w:lineRule="auto"/>
              <w:jc w:val="center"/>
            </w:pPr>
            <w:r>
              <w:t>300</w:t>
            </w:r>
          </w:p>
        </w:tc>
        <w:tc>
          <w:tcPr>
            <w:tcW w:w="1293" w:type="dxa"/>
          </w:tcPr>
          <w:p w14:paraId="19826599" w14:textId="77777777" w:rsidR="003138BD" w:rsidRPr="00CD7826" w:rsidRDefault="003138BD" w:rsidP="00006531">
            <w:pPr>
              <w:spacing w:before="0" w:after="0" w:line="240" w:lineRule="auto"/>
              <w:jc w:val="center"/>
            </w:pPr>
            <w:r>
              <w:t>300</w:t>
            </w:r>
          </w:p>
        </w:tc>
        <w:tc>
          <w:tcPr>
            <w:tcW w:w="1293" w:type="dxa"/>
            <w:noWrap/>
          </w:tcPr>
          <w:p w14:paraId="3A806FCE" w14:textId="77777777" w:rsidR="003138BD" w:rsidRPr="008F4901" w:rsidRDefault="003138BD" w:rsidP="00006531">
            <w:pPr>
              <w:spacing w:before="0" w:after="0" w:line="240" w:lineRule="auto"/>
              <w:jc w:val="center"/>
            </w:pPr>
            <w:r>
              <w:t>280*</w:t>
            </w:r>
          </w:p>
        </w:tc>
        <w:tc>
          <w:tcPr>
            <w:tcW w:w="1293" w:type="dxa"/>
            <w:noWrap/>
          </w:tcPr>
          <w:p w14:paraId="6C4E07C7" w14:textId="77777777" w:rsidR="003138BD" w:rsidRPr="008F4901" w:rsidRDefault="003138BD" w:rsidP="00006531">
            <w:pPr>
              <w:spacing w:before="0" w:after="0" w:line="240" w:lineRule="auto"/>
              <w:jc w:val="center"/>
            </w:pPr>
            <w:r>
              <w:t>-</w:t>
            </w:r>
          </w:p>
        </w:tc>
        <w:tc>
          <w:tcPr>
            <w:tcW w:w="1293" w:type="dxa"/>
          </w:tcPr>
          <w:p w14:paraId="088D4440" w14:textId="77777777" w:rsidR="003138BD" w:rsidRPr="008F4901" w:rsidRDefault="003138BD" w:rsidP="00006531">
            <w:pPr>
              <w:spacing w:before="0" w:after="0" w:line="240" w:lineRule="auto"/>
              <w:jc w:val="center"/>
            </w:pPr>
            <w:r>
              <w:t>-</w:t>
            </w:r>
          </w:p>
        </w:tc>
        <w:tc>
          <w:tcPr>
            <w:tcW w:w="1293" w:type="dxa"/>
          </w:tcPr>
          <w:p w14:paraId="2E7FEE8B" w14:textId="77777777" w:rsidR="003138BD" w:rsidRPr="008F4901" w:rsidRDefault="003138BD" w:rsidP="00006531">
            <w:pPr>
              <w:spacing w:before="0" w:after="0" w:line="240" w:lineRule="auto"/>
              <w:jc w:val="center"/>
            </w:pPr>
            <w:r>
              <w:t>-</w:t>
            </w:r>
          </w:p>
        </w:tc>
      </w:tr>
      <w:tr w:rsidR="003138BD" w:rsidRPr="00C47322" w14:paraId="552EA6E0" w14:textId="77777777" w:rsidTr="00D74C6D">
        <w:trPr>
          <w:trHeight w:val="300"/>
        </w:trPr>
        <w:tc>
          <w:tcPr>
            <w:tcW w:w="1292" w:type="dxa"/>
            <w:noWrap/>
          </w:tcPr>
          <w:p w14:paraId="7ABF8687" w14:textId="77777777" w:rsidR="003138BD" w:rsidRDefault="003138BD" w:rsidP="00006531">
            <w:pPr>
              <w:spacing w:before="0" w:after="0" w:line="240" w:lineRule="auto"/>
              <w:rPr>
                <w:rFonts w:eastAsia="Times New Roman" w:cs="Times New Roman"/>
                <w:color w:val="000000"/>
                <w:lang w:eastAsia="en-AU"/>
              </w:rPr>
            </w:pPr>
            <w:r w:rsidRPr="00C02FD7">
              <w:t xml:space="preserve">9 to </w:t>
            </w:r>
            <w:r>
              <w:t xml:space="preserve">under </w:t>
            </w:r>
            <w:r w:rsidRPr="00C02FD7">
              <w:t>14</w:t>
            </w:r>
            <w:r>
              <w:t xml:space="preserve"> </w:t>
            </w:r>
            <w:r w:rsidRPr="00C02FD7">
              <w:t>y</w:t>
            </w:r>
            <w:r>
              <w:t>ears</w:t>
            </w:r>
          </w:p>
        </w:tc>
        <w:tc>
          <w:tcPr>
            <w:tcW w:w="1293" w:type="dxa"/>
          </w:tcPr>
          <w:p w14:paraId="2098D983" w14:textId="77777777" w:rsidR="003138BD" w:rsidRPr="008F4901" w:rsidRDefault="003138BD" w:rsidP="00006531">
            <w:pPr>
              <w:spacing w:before="0" w:after="0" w:line="240" w:lineRule="auto"/>
              <w:jc w:val="center"/>
            </w:pPr>
            <w:r>
              <w:t>450</w:t>
            </w:r>
          </w:p>
        </w:tc>
        <w:tc>
          <w:tcPr>
            <w:tcW w:w="1293" w:type="dxa"/>
            <w:noWrap/>
          </w:tcPr>
          <w:p w14:paraId="22DD42CB" w14:textId="77777777" w:rsidR="003138BD" w:rsidRPr="008F4901" w:rsidRDefault="003138BD" w:rsidP="00006531">
            <w:pPr>
              <w:spacing w:before="0" w:after="0" w:line="240" w:lineRule="auto"/>
              <w:jc w:val="center"/>
            </w:pPr>
            <w:r>
              <w:t>600</w:t>
            </w:r>
          </w:p>
        </w:tc>
        <w:tc>
          <w:tcPr>
            <w:tcW w:w="1293" w:type="dxa"/>
          </w:tcPr>
          <w:p w14:paraId="1D58352C" w14:textId="77777777" w:rsidR="003138BD" w:rsidRPr="00CD7826" w:rsidRDefault="003138BD" w:rsidP="00006531">
            <w:pPr>
              <w:spacing w:before="0" w:after="0" w:line="240" w:lineRule="auto"/>
              <w:jc w:val="center"/>
            </w:pPr>
            <w:r>
              <w:t>600</w:t>
            </w:r>
          </w:p>
        </w:tc>
        <w:tc>
          <w:tcPr>
            <w:tcW w:w="1293" w:type="dxa"/>
            <w:noWrap/>
          </w:tcPr>
          <w:p w14:paraId="5BFCA124" w14:textId="77777777" w:rsidR="003138BD" w:rsidRPr="008F4901" w:rsidRDefault="003138BD" w:rsidP="00006531">
            <w:pPr>
              <w:spacing w:before="0" w:after="0" w:line="240" w:lineRule="auto"/>
              <w:jc w:val="center"/>
            </w:pPr>
            <w:r>
              <w:t>390*</w:t>
            </w:r>
          </w:p>
        </w:tc>
        <w:tc>
          <w:tcPr>
            <w:tcW w:w="1293" w:type="dxa"/>
            <w:noWrap/>
          </w:tcPr>
          <w:p w14:paraId="05BEB8D9" w14:textId="77777777" w:rsidR="003138BD" w:rsidRPr="008F4901" w:rsidRDefault="003138BD" w:rsidP="00006531">
            <w:pPr>
              <w:spacing w:before="0" w:after="0" w:line="240" w:lineRule="auto"/>
              <w:jc w:val="center"/>
            </w:pPr>
            <w:r>
              <w:t>-</w:t>
            </w:r>
          </w:p>
        </w:tc>
        <w:tc>
          <w:tcPr>
            <w:tcW w:w="1293" w:type="dxa"/>
          </w:tcPr>
          <w:p w14:paraId="00C61D59" w14:textId="77777777" w:rsidR="003138BD" w:rsidRPr="008F4901" w:rsidRDefault="003138BD" w:rsidP="00006531">
            <w:pPr>
              <w:spacing w:before="0" w:after="0" w:line="240" w:lineRule="auto"/>
              <w:jc w:val="center"/>
            </w:pPr>
            <w:r>
              <w:t>-</w:t>
            </w:r>
          </w:p>
        </w:tc>
        <w:tc>
          <w:tcPr>
            <w:tcW w:w="1293" w:type="dxa"/>
          </w:tcPr>
          <w:p w14:paraId="4B60A1DE" w14:textId="77777777" w:rsidR="003138BD" w:rsidRPr="008F4901" w:rsidRDefault="003138BD" w:rsidP="00006531">
            <w:pPr>
              <w:spacing w:before="0" w:after="0" w:line="240" w:lineRule="auto"/>
              <w:jc w:val="center"/>
            </w:pPr>
            <w:r>
              <w:t>-</w:t>
            </w:r>
          </w:p>
        </w:tc>
      </w:tr>
      <w:tr w:rsidR="003138BD" w:rsidRPr="00C47322" w14:paraId="6381B859" w14:textId="77777777" w:rsidTr="00D74C6D">
        <w:trPr>
          <w:trHeight w:val="300"/>
        </w:trPr>
        <w:tc>
          <w:tcPr>
            <w:tcW w:w="1292" w:type="dxa"/>
            <w:noWrap/>
          </w:tcPr>
          <w:p w14:paraId="79C4D3E3" w14:textId="77777777" w:rsidR="003138BD" w:rsidRDefault="003138BD" w:rsidP="00006531">
            <w:pPr>
              <w:spacing w:before="0" w:after="0" w:line="240" w:lineRule="auto"/>
              <w:rPr>
                <w:rFonts w:eastAsia="Times New Roman" w:cs="Times New Roman"/>
                <w:color w:val="000000"/>
                <w:lang w:eastAsia="en-AU"/>
              </w:rPr>
            </w:pPr>
            <w:r w:rsidRPr="00C02FD7">
              <w:t xml:space="preserve">14 to </w:t>
            </w:r>
            <w:r>
              <w:t xml:space="preserve">under </w:t>
            </w:r>
            <w:r w:rsidRPr="00C02FD7">
              <w:t>18</w:t>
            </w:r>
            <w:r>
              <w:t xml:space="preserve"> </w:t>
            </w:r>
            <w:r w:rsidRPr="00C02FD7">
              <w:t>y</w:t>
            </w:r>
            <w:r>
              <w:t>ears</w:t>
            </w:r>
          </w:p>
        </w:tc>
        <w:tc>
          <w:tcPr>
            <w:tcW w:w="1293" w:type="dxa"/>
          </w:tcPr>
          <w:p w14:paraId="0F01969E" w14:textId="77777777" w:rsidR="003138BD" w:rsidRPr="008F4901" w:rsidRDefault="003138BD" w:rsidP="00006531">
            <w:pPr>
              <w:spacing w:before="0" w:after="0" w:line="240" w:lineRule="auto"/>
              <w:jc w:val="center"/>
            </w:pPr>
            <w:r>
              <w:t>550</w:t>
            </w:r>
          </w:p>
        </w:tc>
        <w:tc>
          <w:tcPr>
            <w:tcW w:w="1293" w:type="dxa"/>
            <w:noWrap/>
          </w:tcPr>
          <w:p w14:paraId="4AFBD548" w14:textId="77777777" w:rsidR="003138BD" w:rsidRPr="008F4901" w:rsidRDefault="003138BD" w:rsidP="00006531">
            <w:pPr>
              <w:spacing w:before="0" w:after="0" w:line="240" w:lineRule="auto"/>
              <w:jc w:val="center"/>
            </w:pPr>
            <w:r>
              <w:t>900</w:t>
            </w:r>
          </w:p>
        </w:tc>
        <w:tc>
          <w:tcPr>
            <w:tcW w:w="1293" w:type="dxa"/>
          </w:tcPr>
          <w:p w14:paraId="3A32199A" w14:textId="77777777" w:rsidR="003138BD" w:rsidRPr="00CD7826" w:rsidRDefault="003138BD" w:rsidP="00006531">
            <w:pPr>
              <w:spacing w:before="0" w:after="0" w:line="240" w:lineRule="auto"/>
              <w:jc w:val="center"/>
            </w:pPr>
            <w:r>
              <w:t>900</w:t>
            </w:r>
          </w:p>
        </w:tc>
        <w:tc>
          <w:tcPr>
            <w:tcW w:w="1293" w:type="dxa"/>
            <w:noWrap/>
          </w:tcPr>
          <w:p w14:paraId="2F0CF8BF" w14:textId="77777777" w:rsidR="003138BD" w:rsidRPr="008F4901" w:rsidRDefault="003138BD" w:rsidP="00006531">
            <w:pPr>
              <w:spacing w:before="0" w:after="0" w:line="240" w:lineRule="auto"/>
              <w:jc w:val="center"/>
            </w:pPr>
            <w:r>
              <w:t>488*</w:t>
            </w:r>
          </w:p>
        </w:tc>
        <w:tc>
          <w:tcPr>
            <w:tcW w:w="1293" w:type="dxa"/>
            <w:noWrap/>
          </w:tcPr>
          <w:p w14:paraId="1FAF7C06" w14:textId="77777777" w:rsidR="003138BD" w:rsidRPr="008F4901" w:rsidRDefault="003138BD" w:rsidP="00006531">
            <w:pPr>
              <w:spacing w:before="0" w:after="0" w:line="240" w:lineRule="auto"/>
              <w:jc w:val="center"/>
            </w:pPr>
            <w:r>
              <w:t>600^</w:t>
            </w:r>
          </w:p>
        </w:tc>
        <w:tc>
          <w:tcPr>
            <w:tcW w:w="1293" w:type="dxa"/>
          </w:tcPr>
          <w:p w14:paraId="2A35B458" w14:textId="77777777" w:rsidR="003138BD" w:rsidRPr="008F4901" w:rsidRDefault="003138BD" w:rsidP="00006531">
            <w:pPr>
              <w:spacing w:before="0" w:after="0" w:line="240" w:lineRule="auto"/>
              <w:jc w:val="center"/>
            </w:pPr>
            <w:r>
              <w:t>-</w:t>
            </w:r>
          </w:p>
        </w:tc>
        <w:tc>
          <w:tcPr>
            <w:tcW w:w="1293" w:type="dxa"/>
          </w:tcPr>
          <w:p w14:paraId="6954565A" w14:textId="77777777" w:rsidR="003138BD" w:rsidRPr="008F4901" w:rsidRDefault="003138BD" w:rsidP="00006531">
            <w:pPr>
              <w:spacing w:before="0" w:after="0" w:line="240" w:lineRule="auto"/>
              <w:jc w:val="center"/>
            </w:pPr>
            <w:r>
              <w:t>-</w:t>
            </w:r>
          </w:p>
        </w:tc>
      </w:tr>
      <w:tr w:rsidR="003138BD" w:rsidRPr="00C47322" w14:paraId="07EC092E" w14:textId="77777777" w:rsidTr="00D74C6D">
        <w:trPr>
          <w:trHeight w:val="300"/>
        </w:trPr>
        <w:tc>
          <w:tcPr>
            <w:tcW w:w="10343" w:type="dxa"/>
            <w:gridSpan w:val="8"/>
            <w:shd w:val="clear" w:color="auto" w:fill="005F85" w:themeFill="accent2"/>
            <w:noWrap/>
          </w:tcPr>
          <w:p w14:paraId="028A1FA1" w14:textId="77777777" w:rsidR="003138BD" w:rsidRPr="00D40780" w:rsidRDefault="003138BD" w:rsidP="00006531">
            <w:pPr>
              <w:spacing w:before="0" w:after="0" w:line="240" w:lineRule="auto"/>
              <w:rPr>
                <w:i/>
                <w:iCs/>
              </w:rPr>
            </w:pPr>
            <w:r w:rsidRPr="00D40780">
              <w:rPr>
                <w:i/>
                <w:iCs/>
                <w:color w:val="FFFFFF" w:themeColor="background1"/>
              </w:rPr>
              <w:t>Children and adolescents (grouped by school-age)</w:t>
            </w:r>
          </w:p>
        </w:tc>
      </w:tr>
      <w:tr w:rsidR="003138BD" w:rsidRPr="00C47322" w14:paraId="5E1AAA35" w14:textId="77777777" w:rsidTr="00D74C6D">
        <w:trPr>
          <w:trHeight w:val="300"/>
        </w:trPr>
        <w:tc>
          <w:tcPr>
            <w:tcW w:w="1292" w:type="dxa"/>
            <w:noWrap/>
          </w:tcPr>
          <w:p w14:paraId="0528EB34" w14:textId="77777777" w:rsidR="003138BD" w:rsidRDefault="003138BD" w:rsidP="00006531">
            <w:pPr>
              <w:spacing w:before="0" w:after="0" w:line="240" w:lineRule="auto"/>
              <w:rPr>
                <w:rFonts w:eastAsia="Times New Roman" w:cs="Times New Roman"/>
                <w:color w:val="000000"/>
                <w:lang w:eastAsia="en-AU"/>
              </w:rPr>
            </w:pPr>
            <w:r w:rsidRPr="009119C7">
              <w:rPr>
                <w:rFonts w:eastAsia="Times New Roman"/>
                <w:szCs w:val="20"/>
              </w:rPr>
              <w:t>1</w:t>
            </w:r>
            <w:r>
              <w:rPr>
                <w:rFonts w:eastAsia="Times New Roman"/>
                <w:szCs w:val="20"/>
              </w:rPr>
              <w:t>2</w:t>
            </w:r>
            <w:r w:rsidRPr="009119C7">
              <w:rPr>
                <w:rFonts w:eastAsia="Times New Roman"/>
                <w:szCs w:val="20"/>
              </w:rPr>
              <w:t xml:space="preserve"> to under 24 months</w:t>
            </w:r>
          </w:p>
        </w:tc>
        <w:tc>
          <w:tcPr>
            <w:tcW w:w="1293" w:type="dxa"/>
          </w:tcPr>
          <w:p w14:paraId="0DD3EAEC" w14:textId="77777777" w:rsidR="003138BD" w:rsidRPr="008F4901" w:rsidRDefault="003138BD" w:rsidP="00006531">
            <w:pPr>
              <w:spacing w:before="0" w:after="0" w:line="240" w:lineRule="auto"/>
              <w:jc w:val="center"/>
            </w:pPr>
            <w:r>
              <w:t>200</w:t>
            </w:r>
          </w:p>
        </w:tc>
        <w:tc>
          <w:tcPr>
            <w:tcW w:w="1293" w:type="dxa"/>
            <w:noWrap/>
          </w:tcPr>
          <w:p w14:paraId="15E81D6E" w14:textId="77777777" w:rsidR="003138BD" w:rsidRPr="008F4901" w:rsidRDefault="003138BD" w:rsidP="00006531">
            <w:pPr>
              <w:spacing w:before="0" w:after="0" w:line="240" w:lineRule="auto"/>
              <w:jc w:val="center"/>
            </w:pPr>
            <w:r>
              <w:t>200</w:t>
            </w:r>
          </w:p>
        </w:tc>
        <w:tc>
          <w:tcPr>
            <w:tcW w:w="1293" w:type="dxa"/>
          </w:tcPr>
          <w:p w14:paraId="04BDD2AA" w14:textId="77777777" w:rsidR="003138BD" w:rsidRPr="00CD7826" w:rsidRDefault="003138BD" w:rsidP="00006531">
            <w:pPr>
              <w:spacing w:before="0" w:after="0" w:line="240" w:lineRule="auto"/>
              <w:jc w:val="center"/>
            </w:pPr>
            <w:r>
              <w:t>200</w:t>
            </w:r>
          </w:p>
        </w:tc>
        <w:tc>
          <w:tcPr>
            <w:tcW w:w="1293" w:type="dxa"/>
            <w:noWrap/>
          </w:tcPr>
          <w:p w14:paraId="01478519" w14:textId="77777777" w:rsidR="003138BD" w:rsidRPr="008F4901" w:rsidRDefault="003138BD" w:rsidP="00006531">
            <w:pPr>
              <w:spacing w:before="0" w:after="0" w:line="240" w:lineRule="auto"/>
              <w:jc w:val="center"/>
            </w:pPr>
            <w:r>
              <w:t>200</w:t>
            </w:r>
          </w:p>
        </w:tc>
        <w:tc>
          <w:tcPr>
            <w:tcW w:w="1293" w:type="dxa"/>
            <w:noWrap/>
          </w:tcPr>
          <w:p w14:paraId="2FC9D28B" w14:textId="77777777" w:rsidR="003138BD" w:rsidRPr="008F4901" w:rsidRDefault="003138BD" w:rsidP="00006531">
            <w:pPr>
              <w:spacing w:before="0" w:after="0" w:line="240" w:lineRule="auto"/>
              <w:jc w:val="center"/>
            </w:pPr>
            <w:r>
              <w:t>-</w:t>
            </w:r>
          </w:p>
        </w:tc>
        <w:tc>
          <w:tcPr>
            <w:tcW w:w="1293" w:type="dxa"/>
          </w:tcPr>
          <w:p w14:paraId="6C9EFCC1" w14:textId="77777777" w:rsidR="003138BD" w:rsidRPr="008F4901" w:rsidRDefault="003138BD" w:rsidP="00006531">
            <w:pPr>
              <w:spacing w:before="0" w:after="0" w:line="240" w:lineRule="auto"/>
              <w:jc w:val="center"/>
            </w:pPr>
            <w:r>
              <w:t>-</w:t>
            </w:r>
          </w:p>
        </w:tc>
        <w:tc>
          <w:tcPr>
            <w:tcW w:w="1293" w:type="dxa"/>
          </w:tcPr>
          <w:p w14:paraId="2A5370C9" w14:textId="77777777" w:rsidR="003138BD" w:rsidRPr="008F4901" w:rsidRDefault="003138BD" w:rsidP="00006531">
            <w:pPr>
              <w:spacing w:before="0" w:after="0" w:line="240" w:lineRule="auto"/>
              <w:jc w:val="center"/>
            </w:pPr>
            <w:r>
              <w:t>-</w:t>
            </w:r>
          </w:p>
        </w:tc>
      </w:tr>
      <w:tr w:rsidR="003138BD" w:rsidRPr="00C47322" w14:paraId="6E1A4E77" w14:textId="77777777" w:rsidTr="00D74C6D">
        <w:trPr>
          <w:trHeight w:val="300"/>
        </w:trPr>
        <w:tc>
          <w:tcPr>
            <w:tcW w:w="1292" w:type="dxa"/>
            <w:noWrap/>
          </w:tcPr>
          <w:p w14:paraId="40008F44" w14:textId="77777777" w:rsidR="003138BD" w:rsidRDefault="003138BD" w:rsidP="00006531">
            <w:pPr>
              <w:spacing w:before="0" w:after="0" w:line="240" w:lineRule="auto"/>
              <w:rPr>
                <w:rFonts w:eastAsia="Times New Roman" w:cs="Times New Roman"/>
                <w:color w:val="000000"/>
                <w:lang w:eastAsia="en-AU"/>
              </w:rPr>
            </w:pPr>
            <w:r w:rsidRPr="009119C7">
              <w:rPr>
                <w:rFonts w:eastAsia="Times New Roman"/>
                <w:szCs w:val="20"/>
              </w:rPr>
              <w:t>2 to under 5 years</w:t>
            </w:r>
          </w:p>
        </w:tc>
        <w:tc>
          <w:tcPr>
            <w:tcW w:w="1293" w:type="dxa"/>
          </w:tcPr>
          <w:p w14:paraId="7084FFA3" w14:textId="77777777" w:rsidR="003138BD" w:rsidRPr="008F4901" w:rsidRDefault="003138BD" w:rsidP="00006531">
            <w:pPr>
              <w:spacing w:before="0" w:after="0" w:line="240" w:lineRule="auto"/>
              <w:jc w:val="center"/>
            </w:pPr>
            <w:r>
              <w:t>250</w:t>
            </w:r>
          </w:p>
        </w:tc>
        <w:tc>
          <w:tcPr>
            <w:tcW w:w="1293" w:type="dxa"/>
            <w:noWrap/>
          </w:tcPr>
          <w:p w14:paraId="39500B8C" w14:textId="77777777" w:rsidR="003138BD" w:rsidRPr="008F4901" w:rsidRDefault="003138BD" w:rsidP="00006531">
            <w:pPr>
              <w:spacing w:before="0" w:after="0" w:line="240" w:lineRule="auto"/>
              <w:jc w:val="center"/>
            </w:pPr>
            <w:r>
              <w:t>233*</w:t>
            </w:r>
          </w:p>
        </w:tc>
        <w:tc>
          <w:tcPr>
            <w:tcW w:w="1293" w:type="dxa"/>
          </w:tcPr>
          <w:p w14:paraId="4ED7D319" w14:textId="77777777" w:rsidR="003138BD" w:rsidRPr="00CD7826" w:rsidRDefault="003138BD" w:rsidP="00006531">
            <w:pPr>
              <w:spacing w:before="0" w:after="0" w:line="240" w:lineRule="auto"/>
              <w:jc w:val="center"/>
            </w:pPr>
            <w:r>
              <w:t>233*</w:t>
            </w:r>
          </w:p>
        </w:tc>
        <w:tc>
          <w:tcPr>
            <w:tcW w:w="1293" w:type="dxa"/>
            <w:noWrap/>
          </w:tcPr>
          <w:p w14:paraId="48CA4CBC" w14:textId="77777777" w:rsidR="003138BD" w:rsidRPr="008F4901" w:rsidRDefault="003138BD" w:rsidP="00006531">
            <w:pPr>
              <w:spacing w:before="0" w:after="0" w:line="240" w:lineRule="auto"/>
              <w:jc w:val="center"/>
            </w:pPr>
            <w:r>
              <w:t>217*</w:t>
            </w:r>
          </w:p>
        </w:tc>
        <w:tc>
          <w:tcPr>
            <w:tcW w:w="1293" w:type="dxa"/>
            <w:noWrap/>
          </w:tcPr>
          <w:p w14:paraId="13EE9C4B" w14:textId="77777777" w:rsidR="003138BD" w:rsidRPr="008F4901" w:rsidRDefault="003138BD" w:rsidP="00006531">
            <w:pPr>
              <w:spacing w:before="0" w:after="0" w:line="240" w:lineRule="auto"/>
              <w:jc w:val="center"/>
            </w:pPr>
            <w:r>
              <w:t>-</w:t>
            </w:r>
          </w:p>
        </w:tc>
        <w:tc>
          <w:tcPr>
            <w:tcW w:w="1293" w:type="dxa"/>
          </w:tcPr>
          <w:p w14:paraId="43EEB479" w14:textId="77777777" w:rsidR="003138BD" w:rsidRPr="008F4901" w:rsidRDefault="003138BD" w:rsidP="00006531">
            <w:pPr>
              <w:spacing w:before="0" w:after="0" w:line="240" w:lineRule="auto"/>
              <w:jc w:val="center"/>
            </w:pPr>
            <w:r>
              <w:t>-</w:t>
            </w:r>
          </w:p>
        </w:tc>
        <w:tc>
          <w:tcPr>
            <w:tcW w:w="1293" w:type="dxa"/>
          </w:tcPr>
          <w:p w14:paraId="378E6DE2" w14:textId="77777777" w:rsidR="003138BD" w:rsidRPr="008F4901" w:rsidRDefault="003138BD" w:rsidP="00006531">
            <w:pPr>
              <w:spacing w:before="0" w:after="0" w:line="240" w:lineRule="auto"/>
              <w:jc w:val="center"/>
            </w:pPr>
            <w:r>
              <w:t>-</w:t>
            </w:r>
          </w:p>
        </w:tc>
      </w:tr>
      <w:tr w:rsidR="003138BD" w:rsidRPr="00C47322" w14:paraId="677E7FDD" w14:textId="77777777" w:rsidTr="00D74C6D">
        <w:trPr>
          <w:trHeight w:val="300"/>
        </w:trPr>
        <w:tc>
          <w:tcPr>
            <w:tcW w:w="1292" w:type="dxa"/>
            <w:noWrap/>
          </w:tcPr>
          <w:p w14:paraId="0241237F" w14:textId="77777777" w:rsidR="003138BD" w:rsidRDefault="003138BD" w:rsidP="00006531">
            <w:pPr>
              <w:spacing w:before="0" w:after="0" w:line="240" w:lineRule="auto"/>
              <w:rPr>
                <w:rFonts w:eastAsia="Times New Roman" w:cs="Times New Roman"/>
                <w:color w:val="000000"/>
                <w:lang w:eastAsia="en-AU"/>
              </w:rPr>
            </w:pPr>
            <w:r w:rsidRPr="009119C7">
              <w:rPr>
                <w:rFonts w:eastAsia="Times New Roman"/>
                <w:szCs w:val="20"/>
              </w:rPr>
              <w:t>5 to under 12 years</w:t>
            </w:r>
          </w:p>
        </w:tc>
        <w:tc>
          <w:tcPr>
            <w:tcW w:w="1293" w:type="dxa"/>
          </w:tcPr>
          <w:p w14:paraId="17FB60C8" w14:textId="77777777" w:rsidR="003138BD" w:rsidRPr="008F4901" w:rsidRDefault="003138BD" w:rsidP="00006531">
            <w:pPr>
              <w:spacing w:before="0" w:after="0" w:line="240" w:lineRule="auto"/>
              <w:jc w:val="center"/>
            </w:pPr>
            <w:r>
              <w:t>350</w:t>
            </w:r>
          </w:p>
        </w:tc>
        <w:tc>
          <w:tcPr>
            <w:tcW w:w="1293" w:type="dxa"/>
            <w:noWrap/>
          </w:tcPr>
          <w:p w14:paraId="21BCA17E" w14:textId="77777777" w:rsidR="003138BD" w:rsidRPr="008F4901" w:rsidRDefault="003138BD" w:rsidP="00006531">
            <w:pPr>
              <w:spacing w:before="0" w:after="0" w:line="240" w:lineRule="auto"/>
              <w:jc w:val="center"/>
            </w:pPr>
            <w:r>
              <w:t>429*</w:t>
            </w:r>
          </w:p>
        </w:tc>
        <w:tc>
          <w:tcPr>
            <w:tcW w:w="1293" w:type="dxa"/>
          </w:tcPr>
          <w:p w14:paraId="5C8C182B" w14:textId="77777777" w:rsidR="003138BD" w:rsidRPr="00CD7826" w:rsidRDefault="003138BD" w:rsidP="00006531">
            <w:pPr>
              <w:spacing w:before="0" w:after="0" w:line="240" w:lineRule="auto"/>
              <w:jc w:val="center"/>
            </w:pPr>
            <w:r>
              <w:t>429*</w:t>
            </w:r>
          </w:p>
        </w:tc>
        <w:tc>
          <w:tcPr>
            <w:tcW w:w="1293" w:type="dxa"/>
            <w:noWrap/>
          </w:tcPr>
          <w:p w14:paraId="058808B6" w14:textId="77777777" w:rsidR="003138BD" w:rsidRPr="008F4901" w:rsidRDefault="003138BD" w:rsidP="00006531">
            <w:pPr>
              <w:spacing w:before="0" w:after="0" w:line="240" w:lineRule="auto"/>
              <w:jc w:val="center"/>
            </w:pPr>
            <w:r>
              <w:t>307*</w:t>
            </w:r>
          </w:p>
        </w:tc>
        <w:tc>
          <w:tcPr>
            <w:tcW w:w="1293" w:type="dxa"/>
            <w:noWrap/>
          </w:tcPr>
          <w:p w14:paraId="4EC2CE7C" w14:textId="77777777" w:rsidR="003138BD" w:rsidRPr="008F4901" w:rsidRDefault="003138BD" w:rsidP="00006531">
            <w:pPr>
              <w:spacing w:before="0" w:after="0" w:line="240" w:lineRule="auto"/>
              <w:jc w:val="center"/>
            </w:pPr>
            <w:r>
              <w:t>-</w:t>
            </w:r>
          </w:p>
        </w:tc>
        <w:tc>
          <w:tcPr>
            <w:tcW w:w="1293" w:type="dxa"/>
          </w:tcPr>
          <w:p w14:paraId="227856DF" w14:textId="77777777" w:rsidR="003138BD" w:rsidRPr="008F4901" w:rsidRDefault="003138BD" w:rsidP="00006531">
            <w:pPr>
              <w:spacing w:before="0" w:after="0" w:line="240" w:lineRule="auto"/>
              <w:jc w:val="center"/>
            </w:pPr>
            <w:r>
              <w:t>-</w:t>
            </w:r>
          </w:p>
        </w:tc>
        <w:tc>
          <w:tcPr>
            <w:tcW w:w="1293" w:type="dxa"/>
          </w:tcPr>
          <w:p w14:paraId="7DA96B18" w14:textId="77777777" w:rsidR="003138BD" w:rsidRPr="008F4901" w:rsidRDefault="003138BD" w:rsidP="00006531">
            <w:pPr>
              <w:spacing w:before="0" w:after="0" w:line="240" w:lineRule="auto"/>
              <w:jc w:val="center"/>
            </w:pPr>
            <w:r>
              <w:t>-</w:t>
            </w:r>
          </w:p>
        </w:tc>
      </w:tr>
      <w:tr w:rsidR="003138BD" w:rsidRPr="00C47322" w14:paraId="6396931A" w14:textId="77777777" w:rsidTr="00D74C6D">
        <w:trPr>
          <w:trHeight w:val="300"/>
        </w:trPr>
        <w:tc>
          <w:tcPr>
            <w:tcW w:w="1292" w:type="dxa"/>
            <w:noWrap/>
          </w:tcPr>
          <w:p w14:paraId="7AFC1CC5" w14:textId="77777777" w:rsidR="003138BD" w:rsidRDefault="003138BD" w:rsidP="00006531">
            <w:pPr>
              <w:spacing w:before="0" w:after="0" w:line="240" w:lineRule="auto"/>
              <w:rPr>
                <w:rFonts w:eastAsia="Times New Roman" w:cs="Times New Roman"/>
                <w:color w:val="000000"/>
                <w:lang w:eastAsia="en-AU"/>
              </w:rPr>
            </w:pPr>
            <w:r w:rsidRPr="009119C7">
              <w:rPr>
                <w:rFonts w:eastAsia="Times New Roman"/>
                <w:szCs w:val="20"/>
              </w:rPr>
              <w:t>12 to under 18 years</w:t>
            </w:r>
          </w:p>
        </w:tc>
        <w:tc>
          <w:tcPr>
            <w:tcW w:w="1293" w:type="dxa"/>
          </w:tcPr>
          <w:p w14:paraId="34E8A974" w14:textId="77777777" w:rsidR="003138BD" w:rsidRPr="008F4901" w:rsidRDefault="003138BD" w:rsidP="00006531">
            <w:pPr>
              <w:spacing w:before="0" w:after="0" w:line="240" w:lineRule="auto"/>
              <w:jc w:val="center"/>
            </w:pPr>
            <w:r>
              <w:t>500</w:t>
            </w:r>
          </w:p>
        </w:tc>
        <w:tc>
          <w:tcPr>
            <w:tcW w:w="1293" w:type="dxa"/>
            <w:noWrap/>
          </w:tcPr>
          <w:p w14:paraId="5CB99298" w14:textId="77777777" w:rsidR="003138BD" w:rsidRPr="008F4901" w:rsidRDefault="003138BD" w:rsidP="00006531">
            <w:pPr>
              <w:spacing w:before="0" w:after="0" w:line="240" w:lineRule="auto"/>
              <w:jc w:val="center"/>
            </w:pPr>
            <w:r>
              <w:t>800*</w:t>
            </w:r>
          </w:p>
        </w:tc>
        <w:tc>
          <w:tcPr>
            <w:tcW w:w="1293" w:type="dxa"/>
          </w:tcPr>
          <w:p w14:paraId="5639A7AF" w14:textId="77777777" w:rsidR="003138BD" w:rsidRPr="00CD7826" w:rsidRDefault="003138BD" w:rsidP="00006531">
            <w:pPr>
              <w:spacing w:before="0" w:after="0" w:line="240" w:lineRule="auto"/>
              <w:jc w:val="center"/>
            </w:pPr>
            <w:r>
              <w:t>800*</w:t>
            </w:r>
          </w:p>
        </w:tc>
        <w:tc>
          <w:tcPr>
            <w:tcW w:w="1293" w:type="dxa"/>
            <w:noWrap/>
          </w:tcPr>
          <w:p w14:paraId="7CE2D5F0" w14:textId="77777777" w:rsidR="003138BD" w:rsidRPr="008F4901" w:rsidRDefault="003138BD" w:rsidP="00006531">
            <w:pPr>
              <w:spacing w:before="0" w:after="0" w:line="240" w:lineRule="auto"/>
              <w:jc w:val="center"/>
            </w:pPr>
            <w:r>
              <w:t>475*</w:t>
            </w:r>
          </w:p>
        </w:tc>
        <w:tc>
          <w:tcPr>
            <w:tcW w:w="1293" w:type="dxa"/>
            <w:noWrap/>
          </w:tcPr>
          <w:p w14:paraId="25365193" w14:textId="77777777" w:rsidR="003138BD" w:rsidRPr="008F4901" w:rsidRDefault="003138BD" w:rsidP="00006531">
            <w:pPr>
              <w:spacing w:before="0" w:after="0" w:line="240" w:lineRule="auto"/>
              <w:jc w:val="center"/>
            </w:pPr>
            <w:r>
              <w:t>600^</w:t>
            </w:r>
          </w:p>
        </w:tc>
        <w:tc>
          <w:tcPr>
            <w:tcW w:w="1293" w:type="dxa"/>
          </w:tcPr>
          <w:p w14:paraId="2FE431C5" w14:textId="77777777" w:rsidR="003138BD" w:rsidRPr="008F4901" w:rsidRDefault="003138BD" w:rsidP="00006531">
            <w:pPr>
              <w:spacing w:before="0" w:after="0" w:line="240" w:lineRule="auto"/>
              <w:jc w:val="center"/>
            </w:pPr>
            <w:r>
              <w:t>-</w:t>
            </w:r>
          </w:p>
        </w:tc>
        <w:tc>
          <w:tcPr>
            <w:tcW w:w="1293" w:type="dxa"/>
          </w:tcPr>
          <w:p w14:paraId="60562356" w14:textId="77777777" w:rsidR="003138BD" w:rsidRPr="008F4901" w:rsidRDefault="003138BD" w:rsidP="00006531">
            <w:pPr>
              <w:spacing w:before="0" w:after="0" w:line="240" w:lineRule="auto"/>
              <w:jc w:val="center"/>
            </w:pPr>
            <w:r>
              <w:t>-</w:t>
            </w:r>
          </w:p>
        </w:tc>
      </w:tr>
    </w:tbl>
    <w:p w14:paraId="5BF4E6B4" w14:textId="280CB1F3" w:rsidR="00006531" w:rsidRDefault="003138BD" w:rsidP="00FD4979">
      <w:pPr>
        <w:rPr>
          <w:rFonts w:eastAsia="Times New Roman" w:cs="Arial"/>
          <w:iCs/>
          <w:sz w:val="18"/>
        </w:rPr>
      </w:pPr>
      <w:r>
        <w:t>^</w:t>
      </w:r>
      <w:r w:rsidRPr="00EB59A2">
        <w:rPr>
          <w:rFonts w:eastAsia="Times New Roman" w:cs="Arial"/>
          <w:iCs/>
          <w:sz w:val="18"/>
        </w:rPr>
        <w:t xml:space="preserve"> </w:t>
      </w:r>
      <w:r>
        <w:rPr>
          <w:rFonts w:eastAsia="Times New Roman" w:cs="Arial"/>
          <w:iCs/>
          <w:sz w:val="18"/>
        </w:rPr>
        <w:t xml:space="preserve">NNR (2023) specifies a UL for </w:t>
      </w:r>
      <w:r w:rsidRPr="007F6203">
        <w:rPr>
          <w:rFonts w:eastAsia="Times New Roman" w:cs="Arial"/>
          <w:iCs/>
          <w:sz w:val="18"/>
        </w:rPr>
        <w:t xml:space="preserve">14 </w:t>
      </w:r>
      <w:r>
        <w:rPr>
          <w:rFonts w:eastAsia="Times New Roman" w:cs="Arial"/>
          <w:iCs/>
          <w:sz w:val="18"/>
        </w:rPr>
        <w:t>-</w:t>
      </w:r>
      <w:r w:rsidRPr="007F6203">
        <w:rPr>
          <w:rFonts w:eastAsia="Times New Roman" w:cs="Arial"/>
          <w:iCs/>
          <w:sz w:val="18"/>
        </w:rPr>
        <w:t xml:space="preserve"> </w:t>
      </w:r>
      <w:proofErr w:type="gramStart"/>
      <w:r w:rsidRPr="007F6203">
        <w:rPr>
          <w:rFonts w:eastAsia="Times New Roman" w:cs="Arial"/>
          <w:iCs/>
          <w:sz w:val="18"/>
        </w:rPr>
        <w:t>18 year olds</w:t>
      </w:r>
      <w:proofErr w:type="gramEnd"/>
      <w:r>
        <w:rPr>
          <w:rFonts w:eastAsia="Times New Roman" w:cs="Arial"/>
          <w:iCs/>
          <w:sz w:val="18"/>
        </w:rPr>
        <w:t xml:space="preserve"> during lactation or pregnancy</w:t>
      </w:r>
      <w:r w:rsidRPr="007F6203">
        <w:rPr>
          <w:rFonts w:eastAsia="Times New Roman" w:cs="Arial"/>
          <w:iCs/>
          <w:sz w:val="18"/>
        </w:rPr>
        <w:t xml:space="preserve"> only</w:t>
      </w:r>
    </w:p>
    <w:p w14:paraId="0A138222" w14:textId="77777777" w:rsidR="00006531" w:rsidRDefault="00006531">
      <w:pPr>
        <w:spacing w:line="240" w:lineRule="atLeast"/>
        <w:rPr>
          <w:rFonts w:eastAsia="Times New Roman" w:cs="Arial"/>
          <w:iCs/>
          <w:sz w:val="18"/>
        </w:rPr>
      </w:pPr>
      <w:r>
        <w:rPr>
          <w:rFonts w:eastAsia="Times New Roman" w:cs="Arial"/>
          <w:iCs/>
          <w:sz w:val="18"/>
        </w:rPr>
        <w:br w:type="page"/>
      </w:r>
    </w:p>
    <w:p w14:paraId="1FA9C93A" w14:textId="77777777" w:rsidR="00006531" w:rsidRDefault="00006531" w:rsidP="00FD4979">
      <w:pPr>
        <w:rPr>
          <w:highlight w:val="yellow"/>
        </w:rPr>
        <w:sectPr w:rsidR="00006531" w:rsidSect="002308EE">
          <w:headerReference w:type="even" r:id="rId18"/>
          <w:headerReference w:type="default" r:id="rId19"/>
          <w:footerReference w:type="even" r:id="rId20"/>
          <w:footerReference w:type="default" r:id="rId21"/>
          <w:headerReference w:type="first" r:id="rId22"/>
          <w:footerReference w:type="first" r:id="rId23"/>
          <w:pgSz w:w="11906" w:h="16838" w:code="9"/>
          <w:pgMar w:top="1814" w:right="1134" w:bottom="1565" w:left="907" w:header="510" w:footer="510" w:gutter="0"/>
          <w:cols w:space="708"/>
          <w:titlePg/>
          <w:docGrid w:linePitch="360"/>
        </w:sectPr>
      </w:pPr>
    </w:p>
    <w:p w14:paraId="6A27D01A" w14:textId="77777777" w:rsidR="00006531" w:rsidRDefault="00006531" w:rsidP="00006531">
      <w:pPr>
        <w:pStyle w:val="Heading3"/>
      </w:pPr>
      <w:bookmarkStart w:id="147" w:name="_Toc210406397"/>
      <w:bookmarkStart w:id="148" w:name="_Toc212567896"/>
      <w:r>
        <w:lastRenderedPageBreak/>
        <w:t>Food system and foundation diet modelling</w:t>
      </w:r>
      <w:bookmarkEnd w:id="147"/>
      <w:bookmarkEnd w:id="148"/>
    </w:p>
    <w:p w14:paraId="14676C96" w14:textId="77777777" w:rsidR="00006531" w:rsidRPr="008B7141" w:rsidRDefault="00006531" w:rsidP="00006531">
      <w:pPr>
        <w:rPr>
          <w:szCs w:val="20"/>
        </w:rPr>
      </w:pPr>
      <w:r w:rsidRPr="008B7141">
        <w:rPr>
          <w:szCs w:val="20"/>
        </w:rPr>
        <w:t xml:space="preserve">Data from the food modelling system developed to inform revision to the Australian Dietary Guidelines (NHMRC 2011) were extracted for comparison with NRV recommendations. Extracted data are presented in </w:t>
      </w:r>
      <w:r w:rsidRPr="008B7141">
        <w:rPr>
          <w:szCs w:val="20"/>
        </w:rPr>
        <w:fldChar w:fldCharType="begin"/>
      </w:r>
      <w:r w:rsidRPr="008B7141">
        <w:rPr>
          <w:szCs w:val="20"/>
        </w:rPr>
        <w:instrText xml:space="preserve"> REF _Ref205283661 \h  \* MERGEFORMAT </w:instrText>
      </w:r>
      <w:r w:rsidRPr="008B7141">
        <w:rPr>
          <w:szCs w:val="20"/>
        </w:rPr>
      </w:r>
      <w:r w:rsidRPr="008B7141">
        <w:rPr>
          <w:szCs w:val="20"/>
        </w:rPr>
        <w:fldChar w:fldCharType="separate"/>
      </w:r>
      <w:r w:rsidRPr="008B7141">
        <w:rPr>
          <w:szCs w:val="20"/>
        </w:rPr>
        <w:t xml:space="preserve">Table </w:t>
      </w:r>
      <w:r w:rsidRPr="008B7141">
        <w:rPr>
          <w:noProof/>
          <w:szCs w:val="20"/>
        </w:rPr>
        <w:t>9</w:t>
      </w:r>
      <w:r w:rsidRPr="008B7141">
        <w:rPr>
          <w:szCs w:val="20"/>
        </w:rPr>
        <w:fldChar w:fldCharType="end"/>
      </w:r>
      <w:r w:rsidRPr="008B7141">
        <w:rPr>
          <w:szCs w:val="20"/>
        </w:rPr>
        <w:t xml:space="preserve"> (adults), </w:t>
      </w:r>
      <w:r w:rsidRPr="008B7141">
        <w:rPr>
          <w:szCs w:val="20"/>
        </w:rPr>
        <w:fldChar w:fldCharType="begin"/>
      </w:r>
      <w:r w:rsidRPr="008B7141">
        <w:rPr>
          <w:szCs w:val="20"/>
        </w:rPr>
        <w:instrText xml:space="preserve"> REF _Ref205283664 \h  \* MERGEFORMAT </w:instrText>
      </w:r>
      <w:r w:rsidRPr="008B7141">
        <w:rPr>
          <w:szCs w:val="20"/>
        </w:rPr>
      </w:r>
      <w:r w:rsidRPr="008B7141">
        <w:rPr>
          <w:szCs w:val="20"/>
        </w:rPr>
        <w:fldChar w:fldCharType="separate"/>
      </w:r>
      <w:r w:rsidRPr="008B7141">
        <w:rPr>
          <w:szCs w:val="20"/>
        </w:rPr>
        <w:t xml:space="preserve">Table </w:t>
      </w:r>
      <w:r w:rsidRPr="008B7141">
        <w:rPr>
          <w:noProof/>
          <w:szCs w:val="20"/>
        </w:rPr>
        <w:t>10</w:t>
      </w:r>
      <w:r w:rsidRPr="008B7141">
        <w:rPr>
          <w:szCs w:val="20"/>
        </w:rPr>
        <w:fldChar w:fldCharType="end"/>
      </w:r>
      <w:r w:rsidRPr="008B7141">
        <w:rPr>
          <w:szCs w:val="20"/>
        </w:rPr>
        <w:t xml:space="preserve"> (during pregnancy), </w:t>
      </w:r>
      <w:r w:rsidRPr="008B7141">
        <w:rPr>
          <w:szCs w:val="20"/>
        </w:rPr>
        <w:fldChar w:fldCharType="begin"/>
      </w:r>
      <w:r w:rsidRPr="008B7141">
        <w:rPr>
          <w:szCs w:val="20"/>
        </w:rPr>
        <w:instrText xml:space="preserve"> REF _Ref205283665 \h  \* MERGEFORMAT </w:instrText>
      </w:r>
      <w:r w:rsidRPr="008B7141">
        <w:rPr>
          <w:szCs w:val="20"/>
        </w:rPr>
      </w:r>
      <w:r w:rsidRPr="008B7141">
        <w:rPr>
          <w:szCs w:val="20"/>
        </w:rPr>
        <w:fldChar w:fldCharType="separate"/>
      </w:r>
      <w:r w:rsidRPr="008B7141">
        <w:rPr>
          <w:szCs w:val="20"/>
        </w:rPr>
        <w:t xml:space="preserve">Table </w:t>
      </w:r>
      <w:r w:rsidRPr="008B7141">
        <w:rPr>
          <w:noProof/>
          <w:szCs w:val="20"/>
        </w:rPr>
        <w:t>11</w:t>
      </w:r>
      <w:r w:rsidRPr="008B7141">
        <w:rPr>
          <w:szCs w:val="20"/>
        </w:rPr>
        <w:fldChar w:fldCharType="end"/>
      </w:r>
      <w:r w:rsidRPr="008B7141">
        <w:rPr>
          <w:szCs w:val="20"/>
        </w:rPr>
        <w:t xml:space="preserve"> (during lactation), and </w:t>
      </w:r>
      <w:r w:rsidRPr="008B7141">
        <w:rPr>
          <w:szCs w:val="20"/>
        </w:rPr>
        <w:fldChar w:fldCharType="begin"/>
      </w:r>
      <w:r w:rsidRPr="008B7141">
        <w:rPr>
          <w:szCs w:val="20"/>
        </w:rPr>
        <w:instrText xml:space="preserve"> REF _Ref205283666 \h  \* MERGEFORMAT </w:instrText>
      </w:r>
      <w:r w:rsidRPr="008B7141">
        <w:rPr>
          <w:szCs w:val="20"/>
        </w:rPr>
      </w:r>
      <w:r w:rsidRPr="008B7141">
        <w:rPr>
          <w:szCs w:val="20"/>
        </w:rPr>
        <w:fldChar w:fldCharType="separate"/>
      </w:r>
      <w:r w:rsidRPr="008B7141">
        <w:rPr>
          <w:szCs w:val="20"/>
        </w:rPr>
        <w:t xml:space="preserve">Table </w:t>
      </w:r>
      <w:r w:rsidRPr="008B7141">
        <w:rPr>
          <w:noProof/>
          <w:szCs w:val="20"/>
        </w:rPr>
        <w:t>12</w:t>
      </w:r>
      <w:r w:rsidRPr="008B7141">
        <w:rPr>
          <w:szCs w:val="20"/>
        </w:rPr>
        <w:fldChar w:fldCharType="end"/>
      </w:r>
      <w:r w:rsidRPr="008B7141">
        <w:rPr>
          <w:szCs w:val="20"/>
        </w:rPr>
        <w:t xml:space="preserve"> (children and adolescents). Estimates of dietary iodine intake that are lower than the proposed NRV are highlighted orange.</w:t>
      </w:r>
    </w:p>
    <w:p w14:paraId="5EBD62A0" w14:textId="77777777" w:rsidR="00006531" w:rsidRPr="00DA74F9" w:rsidRDefault="00006531" w:rsidP="003C7A6E">
      <w:pPr>
        <w:pStyle w:val="Heading4"/>
        <w:spacing w:before="120" w:after="60"/>
      </w:pPr>
      <w:bookmarkStart w:id="149" w:name="_Toc210406398"/>
      <w:bookmarkStart w:id="150" w:name="_Toc212567897"/>
      <w:r w:rsidRPr="00DA74F9">
        <w:t>Adults</w:t>
      </w:r>
      <w:bookmarkEnd w:id="149"/>
      <w:bookmarkEnd w:id="150"/>
    </w:p>
    <w:p w14:paraId="227D6D71" w14:textId="22BB88D2" w:rsidR="00006531" w:rsidRDefault="00006531" w:rsidP="00006531">
      <w:pPr>
        <w:pStyle w:val="TableTitle"/>
      </w:pPr>
      <w:r>
        <w:t>Estimated iodine intake in adults from food modelling (Source: NHMRC 2011)</w:t>
      </w:r>
    </w:p>
    <w:tbl>
      <w:tblPr>
        <w:tblStyle w:val="DefaultTable1"/>
        <w:tblW w:w="12120" w:type="dxa"/>
        <w:tblInd w:w="0" w:type="dxa"/>
        <w:tblLayout w:type="fixed"/>
        <w:tblLook w:val="0620" w:firstRow="1" w:lastRow="0" w:firstColumn="0" w:lastColumn="0" w:noHBand="1" w:noVBand="1"/>
      </w:tblPr>
      <w:tblGrid>
        <w:gridCol w:w="5140"/>
        <w:gridCol w:w="997"/>
        <w:gridCol w:w="1098"/>
        <w:gridCol w:w="896"/>
        <w:gridCol w:w="997"/>
        <w:gridCol w:w="997"/>
        <w:gridCol w:w="997"/>
        <w:gridCol w:w="998"/>
      </w:tblGrid>
      <w:tr w:rsidR="00006531" w:rsidRPr="00DA74F9" w14:paraId="20082802" w14:textId="77777777" w:rsidTr="003C7A6E">
        <w:trPr>
          <w:cnfStyle w:val="100000000000" w:firstRow="1" w:lastRow="0" w:firstColumn="0" w:lastColumn="0" w:oddVBand="0" w:evenVBand="0" w:oddHBand="0" w:evenHBand="0" w:firstRowFirstColumn="0" w:firstRowLastColumn="0" w:lastRowFirstColumn="0" w:lastRowLastColumn="0"/>
          <w:trHeight w:val="400"/>
        </w:trPr>
        <w:tc>
          <w:tcPr>
            <w:tcW w:w="5140" w:type="dxa"/>
            <w:tcBorders>
              <w:top w:val="nil"/>
              <w:left w:val="nil"/>
              <w:bottom w:val="nil"/>
              <w:right w:val="nil"/>
            </w:tcBorders>
          </w:tcPr>
          <w:p w14:paraId="40DC4F4F" w14:textId="77777777" w:rsidR="00006531" w:rsidRPr="006A19B1" w:rsidRDefault="00006531" w:rsidP="00006531">
            <w:pPr>
              <w:spacing w:before="0" w:after="0" w:line="240" w:lineRule="auto"/>
              <w:rPr>
                <w:rFonts w:eastAsia="Times New Roman" w:cs="Times New Roman"/>
                <w:b w:val="0"/>
                <w:bCs w:val="0"/>
                <w:szCs w:val="20"/>
                <w:lang w:eastAsia="en-AU"/>
              </w:rPr>
            </w:pPr>
          </w:p>
        </w:tc>
        <w:tc>
          <w:tcPr>
            <w:tcW w:w="6980" w:type="dxa"/>
            <w:gridSpan w:val="7"/>
            <w:tcBorders>
              <w:left w:val="nil"/>
            </w:tcBorders>
            <w:vAlign w:val="center"/>
          </w:tcPr>
          <w:p w14:paraId="5EDB5992" w14:textId="77777777" w:rsidR="00006531" w:rsidRPr="001D5149" w:rsidRDefault="00006531" w:rsidP="003C7A6E">
            <w:pPr>
              <w:spacing w:before="0" w:after="0" w:line="240" w:lineRule="auto"/>
              <w:jc w:val="center"/>
              <w:rPr>
                <w:rFonts w:eastAsia="Times New Roman" w:cs="Times New Roman"/>
                <w:b w:val="0"/>
                <w:bCs w:val="0"/>
                <w:szCs w:val="20"/>
                <w:lang w:eastAsia="en-AU"/>
              </w:rPr>
            </w:pPr>
            <w:r w:rsidRPr="001D5149">
              <w:rPr>
                <w:rFonts w:eastAsia="Times New Roman" w:cs="Times New Roman"/>
                <w:szCs w:val="20"/>
                <w:lang w:eastAsia="en-AU"/>
              </w:rPr>
              <w:t>Estimated intake from food modelling (µg/day)</w:t>
            </w:r>
          </w:p>
        </w:tc>
      </w:tr>
      <w:tr w:rsidR="00006531" w:rsidRPr="00DA74F9" w14:paraId="61729EC6" w14:textId="77777777" w:rsidTr="003C7A6E">
        <w:trPr>
          <w:trHeight w:val="2104"/>
        </w:trPr>
        <w:tc>
          <w:tcPr>
            <w:tcW w:w="5140" w:type="dxa"/>
            <w:tcBorders>
              <w:top w:val="nil"/>
            </w:tcBorders>
            <w:shd w:val="clear" w:color="auto" w:fill="005F85" w:themeFill="accent2"/>
            <w:vAlign w:val="bottom"/>
            <w:hideMark/>
          </w:tcPr>
          <w:p w14:paraId="73F392C4" w14:textId="77777777" w:rsidR="00006531" w:rsidRPr="008B7141" w:rsidRDefault="00006531" w:rsidP="003C7A6E">
            <w:pPr>
              <w:spacing w:before="0" w:after="0" w:line="240" w:lineRule="auto"/>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Population</w:t>
            </w:r>
          </w:p>
        </w:tc>
        <w:tc>
          <w:tcPr>
            <w:tcW w:w="997" w:type="dxa"/>
            <w:shd w:val="clear" w:color="auto" w:fill="005F85" w:themeFill="accent2"/>
            <w:textDirection w:val="btLr"/>
            <w:vAlign w:val="center"/>
            <w:hideMark/>
          </w:tcPr>
          <w:p w14:paraId="62525253" w14:textId="1609AF9B"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Core food groups</w:t>
            </w:r>
          </w:p>
        </w:tc>
        <w:tc>
          <w:tcPr>
            <w:tcW w:w="1098" w:type="dxa"/>
            <w:shd w:val="clear" w:color="auto" w:fill="005F85" w:themeFill="accent2"/>
            <w:textDirection w:val="btLr"/>
            <w:vAlign w:val="center"/>
            <w:hideMark/>
          </w:tcPr>
          <w:p w14:paraId="0B2D345D" w14:textId="0CA2929F"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Aust. Guide to Healthy Eating 1998 (AGTHE</w:t>
            </w:r>
            <w:proofErr w:type="gramStart"/>
            <w:r w:rsidRPr="008B7141">
              <w:rPr>
                <w:rFonts w:eastAsia="Times New Roman" w:cs="Times New Roman"/>
                <w:b/>
                <w:bCs/>
                <w:color w:val="FFFFFF" w:themeColor="background1"/>
                <w:szCs w:val="20"/>
                <w:lang w:eastAsia="en-AU"/>
              </w:rPr>
              <w:t>98)^</w:t>
            </w:r>
            <w:proofErr w:type="gramEnd"/>
          </w:p>
        </w:tc>
        <w:tc>
          <w:tcPr>
            <w:tcW w:w="896" w:type="dxa"/>
            <w:shd w:val="clear" w:color="auto" w:fill="005F85" w:themeFill="accent2"/>
            <w:textDirection w:val="btLr"/>
            <w:vAlign w:val="center"/>
          </w:tcPr>
          <w:p w14:paraId="603E9113"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Foundation diets - overall</w:t>
            </w:r>
          </w:p>
        </w:tc>
        <w:tc>
          <w:tcPr>
            <w:tcW w:w="997" w:type="dxa"/>
            <w:shd w:val="clear" w:color="auto" w:fill="005F85" w:themeFill="accent2"/>
            <w:textDirection w:val="btLr"/>
            <w:vAlign w:val="center"/>
          </w:tcPr>
          <w:p w14:paraId="5B507612"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Omnivore</w:t>
            </w:r>
          </w:p>
        </w:tc>
        <w:tc>
          <w:tcPr>
            <w:tcW w:w="997" w:type="dxa"/>
            <w:shd w:val="clear" w:color="auto" w:fill="005F85" w:themeFill="accent2"/>
            <w:textDirection w:val="btLr"/>
            <w:vAlign w:val="center"/>
          </w:tcPr>
          <w:p w14:paraId="38CE6728"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Rice-based</w:t>
            </w:r>
          </w:p>
        </w:tc>
        <w:tc>
          <w:tcPr>
            <w:tcW w:w="997" w:type="dxa"/>
            <w:shd w:val="clear" w:color="auto" w:fill="005F85" w:themeFill="accent2"/>
            <w:textDirection w:val="btLr"/>
            <w:vAlign w:val="center"/>
          </w:tcPr>
          <w:p w14:paraId="61584278"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Pasta-based</w:t>
            </w:r>
          </w:p>
        </w:tc>
        <w:tc>
          <w:tcPr>
            <w:tcW w:w="998" w:type="dxa"/>
            <w:shd w:val="clear" w:color="auto" w:fill="005F85" w:themeFill="accent2"/>
            <w:textDirection w:val="btLr"/>
            <w:vAlign w:val="center"/>
          </w:tcPr>
          <w:p w14:paraId="11FAE6BD"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Lacto-ovo-vegetarian</w:t>
            </w:r>
          </w:p>
        </w:tc>
      </w:tr>
      <w:tr w:rsidR="00006531" w:rsidRPr="00DA74F9" w14:paraId="5FF8472A" w14:textId="77777777" w:rsidTr="003C7A6E">
        <w:trPr>
          <w:trHeight w:val="227"/>
        </w:trPr>
        <w:tc>
          <w:tcPr>
            <w:tcW w:w="5140" w:type="dxa"/>
            <w:noWrap/>
            <w:hideMark/>
          </w:tcPr>
          <w:p w14:paraId="05420207" w14:textId="77777777" w:rsidR="00006531" w:rsidRPr="008B7141" w:rsidRDefault="00006531" w:rsidP="00006531">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Persons 19+ years</w:t>
            </w:r>
          </w:p>
        </w:tc>
        <w:tc>
          <w:tcPr>
            <w:tcW w:w="997" w:type="dxa"/>
            <w:noWrap/>
            <w:hideMark/>
          </w:tcPr>
          <w:p w14:paraId="50546FD4" w14:textId="77777777" w:rsidR="00006531" w:rsidRPr="008B7141" w:rsidRDefault="00006531" w:rsidP="00006531">
            <w:pPr>
              <w:spacing w:before="0" w:after="0" w:line="240" w:lineRule="auto"/>
              <w:jc w:val="center"/>
              <w:rPr>
                <w:rFonts w:eastAsia="Times New Roman" w:cs="Times New Roman"/>
                <w:color w:val="000000"/>
                <w:szCs w:val="20"/>
                <w:lang w:eastAsia="en-AU"/>
              </w:rPr>
            </w:pPr>
            <w:r w:rsidRPr="008B7141">
              <w:rPr>
                <w:rFonts w:eastAsia="Times New Roman" w:cs="Times New Roman"/>
                <w:color w:val="000000"/>
                <w:szCs w:val="20"/>
                <w:lang w:eastAsia="en-AU"/>
              </w:rPr>
              <w:t>148</w:t>
            </w:r>
          </w:p>
        </w:tc>
        <w:tc>
          <w:tcPr>
            <w:tcW w:w="1098" w:type="dxa"/>
            <w:noWrap/>
            <w:hideMark/>
          </w:tcPr>
          <w:p w14:paraId="5252F513"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896" w:type="dxa"/>
          </w:tcPr>
          <w:p w14:paraId="5390CAAB"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74BBEA1E"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68118598"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033F0C70"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8" w:type="dxa"/>
          </w:tcPr>
          <w:p w14:paraId="24CCCD9A"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r>
      <w:tr w:rsidR="00006531" w:rsidRPr="00DA74F9" w14:paraId="2D4DA30A" w14:textId="77777777" w:rsidTr="003C7A6E">
        <w:trPr>
          <w:trHeight w:val="227"/>
        </w:trPr>
        <w:tc>
          <w:tcPr>
            <w:tcW w:w="5140" w:type="dxa"/>
            <w:noWrap/>
            <w:hideMark/>
          </w:tcPr>
          <w:p w14:paraId="52CF0C45" w14:textId="77777777" w:rsidR="00006531" w:rsidRPr="008B7141" w:rsidRDefault="00006531" w:rsidP="00006531">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Males 19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30 years</w:t>
            </w:r>
          </w:p>
        </w:tc>
        <w:tc>
          <w:tcPr>
            <w:tcW w:w="997" w:type="dxa"/>
            <w:noWrap/>
            <w:hideMark/>
          </w:tcPr>
          <w:p w14:paraId="6C169020" w14:textId="77777777" w:rsidR="00006531" w:rsidRPr="008B7141" w:rsidRDefault="00006531" w:rsidP="00006531">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1098" w:type="dxa"/>
            <w:noWrap/>
            <w:hideMark/>
          </w:tcPr>
          <w:p w14:paraId="38A40C65"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896" w:type="dxa"/>
          </w:tcPr>
          <w:p w14:paraId="087C4068"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197</w:t>
            </w:r>
          </w:p>
        </w:tc>
        <w:tc>
          <w:tcPr>
            <w:tcW w:w="997" w:type="dxa"/>
          </w:tcPr>
          <w:p w14:paraId="21BF94B9"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4DB946DC"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213</w:t>
            </w:r>
          </w:p>
        </w:tc>
        <w:tc>
          <w:tcPr>
            <w:tcW w:w="997" w:type="dxa"/>
          </w:tcPr>
          <w:p w14:paraId="57E054F7"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181</w:t>
            </w:r>
          </w:p>
        </w:tc>
        <w:tc>
          <w:tcPr>
            <w:tcW w:w="998" w:type="dxa"/>
          </w:tcPr>
          <w:p w14:paraId="542868E9"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177</w:t>
            </w:r>
          </w:p>
        </w:tc>
      </w:tr>
      <w:tr w:rsidR="00006531" w:rsidRPr="00DA74F9" w14:paraId="0428F853" w14:textId="77777777" w:rsidTr="003C7A6E">
        <w:trPr>
          <w:trHeight w:val="227"/>
        </w:trPr>
        <w:tc>
          <w:tcPr>
            <w:tcW w:w="5140" w:type="dxa"/>
            <w:noWrap/>
            <w:hideMark/>
          </w:tcPr>
          <w:p w14:paraId="16747BCB" w14:textId="77777777" w:rsidR="00006531" w:rsidRPr="008B7141" w:rsidRDefault="00006531" w:rsidP="00006531">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Males 31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50 years </w:t>
            </w:r>
          </w:p>
        </w:tc>
        <w:tc>
          <w:tcPr>
            <w:tcW w:w="997" w:type="dxa"/>
            <w:noWrap/>
            <w:hideMark/>
          </w:tcPr>
          <w:p w14:paraId="0DBDE754" w14:textId="77777777" w:rsidR="00006531" w:rsidRPr="008B7141" w:rsidRDefault="00006531" w:rsidP="00006531">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1098" w:type="dxa"/>
            <w:noWrap/>
            <w:hideMark/>
          </w:tcPr>
          <w:p w14:paraId="4960270E"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896" w:type="dxa"/>
          </w:tcPr>
          <w:p w14:paraId="08C71E01"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210</w:t>
            </w:r>
          </w:p>
        </w:tc>
        <w:tc>
          <w:tcPr>
            <w:tcW w:w="997" w:type="dxa"/>
          </w:tcPr>
          <w:p w14:paraId="59D6BEA4"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1E5C6ED9"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224</w:t>
            </w:r>
          </w:p>
        </w:tc>
        <w:tc>
          <w:tcPr>
            <w:tcW w:w="997" w:type="dxa"/>
          </w:tcPr>
          <w:p w14:paraId="5B15496E"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192</w:t>
            </w:r>
          </w:p>
        </w:tc>
        <w:tc>
          <w:tcPr>
            <w:tcW w:w="998" w:type="dxa"/>
          </w:tcPr>
          <w:p w14:paraId="5AAEEF8E"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190</w:t>
            </w:r>
          </w:p>
        </w:tc>
      </w:tr>
      <w:tr w:rsidR="00006531" w:rsidRPr="00DA74F9" w14:paraId="6752EE9E" w14:textId="77777777" w:rsidTr="003C7A6E">
        <w:trPr>
          <w:trHeight w:val="227"/>
        </w:trPr>
        <w:tc>
          <w:tcPr>
            <w:tcW w:w="5140" w:type="dxa"/>
            <w:noWrap/>
            <w:hideMark/>
          </w:tcPr>
          <w:p w14:paraId="32CB448C" w14:textId="77777777" w:rsidR="00006531" w:rsidRPr="008B7141" w:rsidRDefault="00006531" w:rsidP="00006531">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Males 51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70 years </w:t>
            </w:r>
          </w:p>
        </w:tc>
        <w:tc>
          <w:tcPr>
            <w:tcW w:w="997" w:type="dxa"/>
            <w:noWrap/>
            <w:hideMark/>
          </w:tcPr>
          <w:p w14:paraId="3B1171C5" w14:textId="77777777" w:rsidR="00006531" w:rsidRPr="008B7141" w:rsidRDefault="00006531" w:rsidP="00006531">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1098" w:type="dxa"/>
            <w:noWrap/>
            <w:hideMark/>
          </w:tcPr>
          <w:p w14:paraId="27467446"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896" w:type="dxa"/>
          </w:tcPr>
          <w:p w14:paraId="54E775DF"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219</w:t>
            </w:r>
          </w:p>
        </w:tc>
        <w:tc>
          <w:tcPr>
            <w:tcW w:w="997" w:type="dxa"/>
          </w:tcPr>
          <w:p w14:paraId="4EA1E10D"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33437EEC"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229</w:t>
            </w:r>
          </w:p>
        </w:tc>
        <w:tc>
          <w:tcPr>
            <w:tcW w:w="997" w:type="dxa"/>
          </w:tcPr>
          <w:p w14:paraId="3F68FD59"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198</w:t>
            </w:r>
          </w:p>
        </w:tc>
        <w:tc>
          <w:tcPr>
            <w:tcW w:w="998" w:type="dxa"/>
          </w:tcPr>
          <w:p w14:paraId="39CC2276"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198</w:t>
            </w:r>
          </w:p>
        </w:tc>
      </w:tr>
      <w:tr w:rsidR="00006531" w:rsidRPr="00DA74F9" w14:paraId="3D7F2D62" w14:textId="77777777" w:rsidTr="003C7A6E">
        <w:trPr>
          <w:trHeight w:val="227"/>
        </w:trPr>
        <w:tc>
          <w:tcPr>
            <w:tcW w:w="5140" w:type="dxa"/>
            <w:noWrap/>
            <w:hideMark/>
          </w:tcPr>
          <w:p w14:paraId="739916DC" w14:textId="77777777" w:rsidR="00006531" w:rsidRPr="008B7141" w:rsidRDefault="00006531" w:rsidP="00006531">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Males 70+ years </w:t>
            </w:r>
          </w:p>
        </w:tc>
        <w:tc>
          <w:tcPr>
            <w:tcW w:w="997" w:type="dxa"/>
            <w:noWrap/>
            <w:hideMark/>
          </w:tcPr>
          <w:p w14:paraId="530EF29A" w14:textId="77777777" w:rsidR="00006531" w:rsidRPr="008B7141" w:rsidRDefault="00006531" w:rsidP="00006531">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1098" w:type="dxa"/>
            <w:noWrap/>
            <w:hideMark/>
          </w:tcPr>
          <w:p w14:paraId="7F7DE15F"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896" w:type="dxa"/>
          </w:tcPr>
          <w:p w14:paraId="1B3BFB24"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256</w:t>
            </w:r>
          </w:p>
        </w:tc>
        <w:tc>
          <w:tcPr>
            <w:tcW w:w="997" w:type="dxa"/>
          </w:tcPr>
          <w:p w14:paraId="671E50D8"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11105439"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275</w:t>
            </w:r>
          </w:p>
        </w:tc>
        <w:tc>
          <w:tcPr>
            <w:tcW w:w="997" w:type="dxa"/>
          </w:tcPr>
          <w:p w14:paraId="3A7BDBCF"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249</w:t>
            </w:r>
          </w:p>
        </w:tc>
        <w:tc>
          <w:tcPr>
            <w:tcW w:w="998" w:type="dxa"/>
          </w:tcPr>
          <w:p w14:paraId="3CAC6A84"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215</w:t>
            </w:r>
          </w:p>
        </w:tc>
      </w:tr>
      <w:tr w:rsidR="00006531" w:rsidRPr="00DA74F9" w14:paraId="355293A7" w14:textId="77777777" w:rsidTr="003C7A6E">
        <w:trPr>
          <w:trHeight w:val="227"/>
        </w:trPr>
        <w:tc>
          <w:tcPr>
            <w:tcW w:w="5140" w:type="dxa"/>
            <w:noWrap/>
            <w:hideMark/>
          </w:tcPr>
          <w:p w14:paraId="52FCE3DD" w14:textId="77777777" w:rsidR="00006531" w:rsidRPr="008B7141" w:rsidRDefault="00006531" w:rsidP="00006531">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Females 19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30 years </w:t>
            </w:r>
          </w:p>
        </w:tc>
        <w:tc>
          <w:tcPr>
            <w:tcW w:w="997" w:type="dxa"/>
            <w:noWrap/>
            <w:hideMark/>
          </w:tcPr>
          <w:p w14:paraId="4ABE7844" w14:textId="77777777" w:rsidR="00006531" w:rsidRPr="008B7141" w:rsidRDefault="00006531" w:rsidP="00006531">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1098" w:type="dxa"/>
            <w:vMerge w:val="restart"/>
            <w:noWrap/>
            <w:vAlign w:val="center"/>
          </w:tcPr>
          <w:p w14:paraId="0818A086"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178-275^</w:t>
            </w:r>
          </w:p>
        </w:tc>
        <w:tc>
          <w:tcPr>
            <w:tcW w:w="896" w:type="dxa"/>
          </w:tcPr>
          <w:p w14:paraId="33D2E3A9"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210</w:t>
            </w:r>
          </w:p>
        </w:tc>
        <w:tc>
          <w:tcPr>
            <w:tcW w:w="997" w:type="dxa"/>
          </w:tcPr>
          <w:p w14:paraId="3C749FF7"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61298AD7"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204</w:t>
            </w:r>
          </w:p>
        </w:tc>
        <w:tc>
          <w:tcPr>
            <w:tcW w:w="997" w:type="dxa"/>
          </w:tcPr>
          <w:p w14:paraId="11C03838"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187</w:t>
            </w:r>
          </w:p>
        </w:tc>
        <w:tc>
          <w:tcPr>
            <w:tcW w:w="998" w:type="dxa"/>
          </w:tcPr>
          <w:p w14:paraId="16397538"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173</w:t>
            </w:r>
          </w:p>
        </w:tc>
      </w:tr>
      <w:tr w:rsidR="00006531" w:rsidRPr="00DA74F9" w14:paraId="0877866A" w14:textId="77777777" w:rsidTr="003C7A6E">
        <w:trPr>
          <w:trHeight w:val="227"/>
        </w:trPr>
        <w:tc>
          <w:tcPr>
            <w:tcW w:w="5140" w:type="dxa"/>
            <w:noWrap/>
          </w:tcPr>
          <w:p w14:paraId="3BF72AE3" w14:textId="77777777" w:rsidR="00006531" w:rsidRPr="008B7141" w:rsidRDefault="00006531" w:rsidP="00006531">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Females 31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50 years </w:t>
            </w:r>
          </w:p>
        </w:tc>
        <w:tc>
          <w:tcPr>
            <w:tcW w:w="997" w:type="dxa"/>
            <w:noWrap/>
          </w:tcPr>
          <w:p w14:paraId="1435094E" w14:textId="77777777" w:rsidR="00006531" w:rsidRPr="008B7141" w:rsidRDefault="00006531" w:rsidP="00006531">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1098" w:type="dxa"/>
            <w:vMerge/>
            <w:noWrap/>
          </w:tcPr>
          <w:p w14:paraId="51B2A9B6" w14:textId="77777777" w:rsidR="00006531" w:rsidRPr="008B7141" w:rsidRDefault="00006531" w:rsidP="00006531">
            <w:pPr>
              <w:spacing w:before="0" w:after="0" w:line="240" w:lineRule="auto"/>
              <w:jc w:val="center"/>
              <w:rPr>
                <w:rFonts w:eastAsia="Times New Roman" w:cs="Times New Roman"/>
                <w:szCs w:val="20"/>
                <w:lang w:eastAsia="en-AU"/>
              </w:rPr>
            </w:pPr>
          </w:p>
        </w:tc>
        <w:tc>
          <w:tcPr>
            <w:tcW w:w="896" w:type="dxa"/>
          </w:tcPr>
          <w:p w14:paraId="4E2583AF"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211</w:t>
            </w:r>
          </w:p>
        </w:tc>
        <w:tc>
          <w:tcPr>
            <w:tcW w:w="997" w:type="dxa"/>
          </w:tcPr>
          <w:p w14:paraId="10399EE1"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0D90CA19"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210</w:t>
            </w:r>
          </w:p>
        </w:tc>
        <w:tc>
          <w:tcPr>
            <w:tcW w:w="997" w:type="dxa"/>
          </w:tcPr>
          <w:p w14:paraId="06A5E8F1"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197</w:t>
            </w:r>
          </w:p>
        </w:tc>
        <w:tc>
          <w:tcPr>
            <w:tcW w:w="998" w:type="dxa"/>
          </w:tcPr>
          <w:p w14:paraId="25E62072"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178</w:t>
            </w:r>
          </w:p>
        </w:tc>
      </w:tr>
      <w:tr w:rsidR="00006531" w:rsidRPr="00DA74F9" w14:paraId="35A7F7C3" w14:textId="77777777" w:rsidTr="003C7A6E">
        <w:trPr>
          <w:trHeight w:val="227"/>
        </w:trPr>
        <w:tc>
          <w:tcPr>
            <w:tcW w:w="5140" w:type="dxa"/>
            <w:noWrap/>
          </w:tcPr>
          <w:p w14:paraId="6C6C518B" w14:textId="77777777" w:rsidR="00006531" w:rsidRPr="008B7141" w:rsidRDefault="00006531" w:rsidP="00006531">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Females 51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70 years </w:t>
            </w:r>
          </w:p>
        </w:tc>
        <w:tc>
          <w:tcPr>
            <w:tcW w:w="997" w:type="dxa"/>
            <w:noWrap/>
          </w:tcPr>
          <w:p w14:paraId="128134D0" w14:textId="77777777" w:rsidR="00006531" w:rsidRPr="008B7141" w:rsidRDefault="00006531" w:rsidP="00006531">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1098" w:type="dxa"/>
            <w:vMerge w:val="restart"/>
            <w:noWrap/>
            <w:vAlign w:val="center"/>
          </w:tcPr>
          <w:p w14:paraId="01D3D806"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178-236^</w:t>
            </w:r>
          </w:p>
        </w:tc>
        <w:tc>
          <w:tcPr>
            <w:tcW w:w="896" w:type="dxa"/>
          </w:tcPr>
          <w:p w14:paraId="37130418"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275</w:t>
            </w:r>
          </w:p>
        </w:tc>
        <w:tc>
          <w:tcPr>
            <w:tcW w:w="997" w:type="dxa"/>
          </w:tcPr>
          <w:p w14:paraId="6F90E31C"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2465AA93"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290</w:t>
            </w:r>
          </w:p>
        </w:tc>
        <w:tc>
          <w:tcPr>
            <w:tcW w:w="997" w:type="dxa"/>
          </w:tcPr>
          <w:p w14:paraId="6B4D978D"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229</w:t>
            </w:r>
          </w:p>
        </w:tc>
        <w:tc>
          <w:tcPr>
            <w:tcW w:w="998" w:type="dxa"/>
          </w:tcPr>
          <w:p w14:paraId="1ABBE75F"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233</w:t>
            </w:r>
          </w:p>
        </w:tc>
      </w:tr>
      <w:tr w:rsidR="00006531" w:rsidRPr="00DA74F9" w14:paraId="454B3B11" w14:textId="77777777" w:rsidTr="003C7A6E">
        <w:trPr>
          <w:trHeight w:val="227"/>
        </w:trPr>
        <w:tc>
          <w:tcPr>
            <w:tcW w:w="5140" w:type="dxa"/>
            <w:noWrap/>
            <w:hideMark/>
          </w:tcPr>
          <w:p w14:paraId="07D8BBED" w14:textId="77777777" w:rsidR="00006531" w:rsidRPr="008B7141" w:rsidRDefault="00006531" w:rsidP="00006531">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Females 70+ years </w:t>
            </w:r>
          </w:p>
        </w:tc>
        <w:tc>
          <w:tcPr>
            <w:tcW w:w="997" w:type="dxa"/>
            <w:noWrap/>
            <w:hideMark/>
          </w:tcPr>
          <w:p w14:paraId="20AE1C89" w14:textId="77777777" w:rsidR="00006531" w:rsidRPr="008B7141" w:rsidRDefault="00006531" w:rsidP="00006531">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1098" w:type="dxa"/>
            <w:vMerge/>
            <w:noWrap/>
          </w:tcPr>
          <w:p w14:paraId="52897867" w14:textId="77777777" w:rsidR="00006531" w:rsidRPr="008B7141" w:rsidRDefault="00006531" w:rsidP="00006531">
            <w:pPr>
              <w:spacing w:before="0" w:after="0" w:line="240" w:lineRule="auto"/>
              <w:jc w:val="center"/>
              <w:rPr>
                <w:rFonts w:eastAsia="Times New Roman" w:cs="Times New Roman"/>
                <w:szCs w:val="20"/>
                <w:lang w:eastAsia="en-AU"/>
              </w:rPr>
            </w:pPr>
          </w:p>
        </w:tc>
        <w:tc>
          <w:tcPr>
            <w:tcW w:w="896" w:type="dxa"/>
          </w:tcPr>
          <w:p w14:paraId="7EDCEFF0"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260</w:t>
            </w:r>
          </w:p>
        </w:tc>
        <w:tc>
          <w:tcPr>
            <w:tcW w:w="997" w:type="dxa"/>
          </w:tcPr>
          <w:p w14:paraId="7CEDD94C"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4BB6366A"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289</w:t>
            </w:r>
          </w:p>
        </w:tc>
        <w:tc>
          <w:tcPr>
            <w:tcW w:w="997" w:type="dxa"/>
          </w:tcPr>
          <w:p w14:paraId="28525973"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223</w:t>
            </w:r>
          </w:p>
        </w:tc>
        <w:tc>
          <w:tcPr>
            <w:tcW w:w="998" w:type="dxa"/>
          </w:tcPr>
          <w:p w14:paraId="7A3E5B8D" w14:textId="77777777" w:rsidR="00006531" w:rsidRPr="008B7141" w:rsidRDefault="00006531" w:rsidP="00006531">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218</w:t>
            </w:r>
          </w:p>
        </w:tc>
      </w:tr>
    </w:tbl>
    <w:p w14:paraId="2E02A7CD" w14:textId="6F5D18EC" w:rsidR="00006531" w:rsidRPr="003C7A6E" w:rsidRDefault="00006531" w:rsidP="003C7A6E">
      <w:pPr>
        <w:spacing w:after="0" w:line="240" w:lineRule="auto"/>
        <w:rPr>
          <w:rFonts w:eastAsia="Times New Roman"/>
          <w:color w:val="000000"/>
          <w:szCs w:val="20"/>
        </w:rPr>
      </w:pPr>
      <w:r w:rsidRPr="008B7141">
        <w:rPr>
          <w:rFonts w:eastAsia="Times New Roman"/>
          <w:color w:val="000000"/>
          <w:szCs w:val="20"/>
        </w:rPr>
        <w:t xml:space="preserve">^Age groupings for AGTHE98 are 19 </w:t>
      </w:r>
      <w:r>
        <w:rPr>
          <w:rFonts w:eastAsia="Times New Roman"/>
          <w:color w:val="000000"/>
          <w:szCs w:val="20"/>
        </w:rPr>
        <w:t>-</w:t>
      </w:r>
      <w:r w:rsidRPr="008B7141">
        <w:rPr>
          <w:rFonts w:eastAsia="Times New Roman"/>
          <w:color w:val="000000"/>
          <w:szCs w:val="20"/>
        </w:rPr>
        <w:t xml:space="preserve"> 60yrs and 60+ yrs.</w:t>
      </w:r>
    </w:p>
    <w:p w14:paraId="36EC3C6A" w14:textId="77777777" w:rsidR="00006531" w:rsidRPr="00DA74F9" w:rsidRDefault="00006531" w:rsidP="004F3F99">
      <w:pPr>
        <w:pStyle w:val="Heading4"/>
        <w:spacing w:before="120" w:after="60"/>
      </w:pPr>
      <w:bookmarkStart w:id="151" w:name="_Toc210406399"/>
      <w:bookmarkStart w:id="152" w:name="_Toc212567898"/>
      <w:r>
        <w:lastRenderedPageBreak/>
        <w:t>Pregnancy</w:t>
      </w:r>
      <w:bookmarkEnd w:id="151"/>
      <w:bookmarkEnd w:id="152"/>
    </w:p>
    <w:p w14:paraId="1FD6794A" w14:textId="5BA8725B" w:rsidR="00006531" w:rsidRDefault="00006531" w:rsidP="004F3F99">
      <w:pPr>
        <w:pStyle w:val="TableTitle"/>
        <w:spacing w:before="120"/>
      </w:pPr>
      <w:r w:rsidRPr="00795294">
        <w:t xml:space="preserve">Estimated iodine intake </w:t>
      </w:r>
      <w:r>
        <w:t xml:space="preserve">during pregnancy </w:t>
      </w:r>
      <w:r w:rsidRPr="00795294">
        <w:t>from food modelling (Source: NHMRC 2011)</w:t>
      </w:r>
    </w:p>
    <w:tbl>
      <w:tblPr>
        <w:tblStyle w:val="DefaultTable1"/>
        <w:tblW w:w="12125" w:type="dxa"/>
        <w:tblInd w:w="0" w:type="dxa"/>
        <w:tblLayout w:type="fixed"/>
        <w:tblLook w:val="0620" w:firstRow="1" w:lastRow="0" w:firstColumn="0" w:lastColumn="0" w:noHBand="1" w:noVBand="1"/>
      </w:tblPr>
      <w:tblGrid>
        <w:gridCol w:w="5143"/>
        <w:gridCol w:w="998"/>
        <w:gridCol w:w="998"/>
        <w:gridCol w:w="997"/>
        <w:gridCol w:w="997"/>
        <w:gridCol w:w="997"/>
        <w:gridCol w:w="997"/>
        <w:gridCol w:w="998"/>
      </w:tblGrid>
      <w:tr w:rsidR="00006531" w:rsidRPr="00DA74F9" w14:paraId="06537497" w14:textId="77777777" w:rsidTr="003C7A6E">
        <w:trPr>
          <w:cnfStyle w:val="100000000000" w:firstRow="1" w:lastRow="0" w:firstColumn="0" w:lastColumn="0" w:oddVBand="0" w:evenVBand="0" w:oddHBand="0" w:evenHBand="0" w:firstRowFirstColumn="0" w:firstRowLastColumn="0" w:lastRowFirstColumn="0" w:lastRowLastColumn="0"/>
          <w:trHeight w:val="454"/>
        </w:trPr>
        <w:tc>
          <w:tcPr>
            <w:tcW w:w="5143" w:type="dxa"/>
            <w:tcBorders>
              <w:top w:val="nil"/>
              <w:left w:val="nil"/>
              <w:bottom w:val="nil"/>
              <w:right w:val="nil"/>
            </w:tcBorders>
          </w:tcPr>
          <w:p w14:paraId="01F7CA01" w14:textId="77777777" w:rsidR="00006531" w:rsidRPr="006A19B1" w:rsidRDefault="00006531" w:rsidP="003C7A6E">
            <w:pPr>
              <w:spacing w:before="0" w:after="0" w:line="240" w:lineRule="auto"/>
              <w:rPr>
                <w:rFonts w:eastAsia="Times New Roman" w:cs="Times New Roman"/>
                <w:b w:val="0"/>
                <w:bCs w:val="0"/>
                <w:szCs w:val="20"/>
                <w:lang w:eastAsia="en-AU"/>
              </w:rPr>
            </w:pPr>
          </w:p>
        </w:tc>
        <w:tc>
          <w:tcPr>
            <w:tcW w:w="6982" w:type="dxa"/>
            <w:gridSpan w:val="7"/>
            <w:tcBorders>
              <w:left w:val="nil"/>
            </w:tcBorders>
            <w:vAlign w:val="center"/>
          </w:tcPr>
          <w:p w14:paraId="1A0D2BBB" w14:textId="77777777" w:rsidR="00006531" w:rsidRPr="008B7141" w:rsidRDefault="00006531" w:rsidP="003C7A6E">
            <w:pPr>
              <w:spacing w:before="0" w:after="0" w:line="240" w:lineRule="auto"/>
              <w:jc w:val="center"/>
              <w:rPr>
                <w:rFonts w:eastAsia="Times New Roman" w:cs="Times New Roman"/>
                <w:b w:val="0"/>
                <w:bCs w:val="0"/>
                <w:szCs w:val="20"/>
                <w:lang w:eastAsia="en-AU"/>
              </w:rPr>
            </w:pPr>
            <w:r w:rsidRPr="008B7141">
              <w:rPr>
                <w:rFonts w:eastAsia="Times New Roman" w:cs="Times New Roman"/>
                <w:szCs w:val="20"/>
                <w:lang w:eastAsia="en-AU"/>
              </w:rPr>
              <w:t>Estimated intake from food modelling (µg/day)</w:t>
            </w:r>
          </w:p>
        </w:tc>
      </w:tr>
      <w:tr w:rsidR="00006531" w:rsidRPr="00427765" w14:paraId="099C4128" w14:textId="77777777" w:rsidTr="003C7A6E">
        <w:trPr>
          <w:trHeight w:val="1505"/>
        </w:trPr>
        <w:tc>
          <w:tcPr>
            <w:tcW w:w="5143" w:type="dxa"/>
            <w:tcBorders>
              <w:top w:val="nil"/>
            </w:tcBorders>
            <w:shd w:val="clear" w:color="auto" w:fill="005F85" w:themeFill="accent2"/>
            <w:vAlign w:val="bottom"/>
            <w:hideMark/>
          </w:tcPr>
          <w:p w14:paraId="4AAC6C31" w14:textId="77777777" w:rsidR="00006531" w:rsidRPr="008B7141" w:rsidRDefault="00006531" w:rsidP="003C7A6E">
            <w:pPr>
              <w:spacing w:before="0" w:after="0" w:line="240" w:lineRule="auto"/>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Population</w:t>
            </w:r>
          </w:p>
        </w:tc>
        <w:tc>
          <w:tcPr>
            <w:tcW w:w="998" w:type="dxa"/>
            <w:shd w:val="clear" w:color="auto" w:fill="005F85" w:themeFill="accent2"/>
            <w:textDirection w:val="btLr"/>
            <w:hideMark/>
          </w:tcPr>
          <w:p w14:paraId="53BF7B80"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 xml:space="preserve">Core food groups </w:t>
            </w:r>
          </w:p>
        </w:tc>
        <w:tc>
          <w:tcPr>
            <w:tcW w:w="998" w:type="dxa"/>
            <w:shd w:val="clear" w:color="auto" w:fill="005F85" w:themeFill="accent2"/>
            <w:textDirection w:val="btLr"/>
            <w:hideMark/>
          </w:tcPr>
          <w:p w14:paraId="73F1C652"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 xml:space="preserve">Aust. Guide to Healthy Eating </w:t>
            </w:r>
          </w:p>
        </w:tc>
        <w:tc>
          <w:tcPr>
            <w:tcW w:w="997" w:type="dxa"/>
            <w:shd w:val="clear" w:color="auto" w:fill="005F85" w:themeFill="accent2"/>
            <w:textDirection w:val="btLr"/>
          </w:tcPr>
          <w:p w14:paraId="1D523C6A"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Foundation diets - overall</w:t>
            </w:r>
          </w:p>
        </w:tc>
        <w:tc>
          <w:tcPr>
            <w:tcW w:w="997" w:type="dxa"/>
            <w:shd w:val="clear" w:color="auto" w:fill="005F85" w:themeFill="accent2"/>
            <w:textDirection w:val="btLr"/>
          </w:tcPr>
          <w:p w14:paraId="76E47576"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Omnivore</w:t>
            </w:r>
          </w:p>
        </w:tc>
        <w:tc>
          <w:tcPr>
            <w:tcW w:w="997" w:type="dxa"/>
            <w:shd w:val="clear" w:color="auto" w:fill="005F85" w:themeFill="accent2"/>
            <w:textDirection w:val="btLr"/>
          </w:tcPr>
          <w:p w14:paraId="357B3098"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Rice-based</w:t>
            </w:r>
          </w:p>
        </w:tc>
        <w:tc>
          <w:tcPr>
            <w:tcW w:w="997" w:type="dxa"/>
            <w:shd w:val="clear" w:color="auto" w:fill="005F85" w:themeFill="accent2"/>
            <w:textDirection w:val="btLr"/>
          </w:tcPr>
          <w:p w14:paraId="52041374"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Pasta-based</w:t>
            </w:r>
          </w:p>
        </w:tc>
        <w:tc>
          <w:tcPr>
            <w:tcW w:w="998" w:type="dxa"/>
            <w:shd w:val="clear" w:color="auto" w:fill="005F85" w:themeFill="accent2"/>
            <w:textDirection w:val="btLr"/>
          </w:tcPr>
          <w:p w14:paraId="016B39FD"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Lacto-ovo-vegetarian</w:t>
            </w:r>
          </w:p>
        </w:tc>
      </w:tr>
      <w:tr w:rsidR="00006531" w:rsidRPr="00DA74F9" w14:paraId="57DAF12F" w14:textId="77777777" w:rsidTr="002232A6">
        <w:trPr>
          <w:trHeight w:val="227"/>
        </w:trPr>
        <w:tc>
          <w:tcPr>
            <w:tcW w:w="5143" w:type="dxa"/>
            <w:noWrap/>
            <w:vAlign w:val="bottom"/>
            <w:hideMark/>
          </w:tcPr>
          <w:p w14:paraId="4A7C4F62" w14:textId="77777777" w:rsidR="00006531" w:rsidRPr="008B7141" w:rsidRDefault="00006531" w:rsidP="004F3F99">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Pregnant persons (age not specified)</w:t>
            </w:r>
          </w:p>
        </w:tc>
        <w:tc>
          <w:tcPr>
            <w:tcW w:w="998" w:type="dxa"/>
            <w:noWrap/>
          </w:tcPr>
          <w:p w14:paraId="1DFE3C41" w14:textId="15AFD72C" w:rsidR="00006531" w:rsidRPr="008B7141" w:rsidRDefault="00006531" w:rsidP="003C7A6E">
            <w:pPr>
              <w:spacing w:before="0" w:after="0" w:line="240" w:lineRule="auto"/>
              <w:jc w:val="center"/>
              <w:rPr>
                <w:rFonts w:eastAsia="Times New Roman" w:cs="Times New Roman"/>
                <w:color w:val="000000"/>
                <w:szCs w:val="20"/>
                <w:lang w:eastAsia="en-AU"/>
              </w:rPr>
            </w:pPr>
            <w:r w:rsidRPr="008B7141">
              <w:rPr>
                <w:rFonts w:eastAsia="Times New Roman" w:cs="Times New Roman"/>
                <w:color w:val="000000"/>
                <w:szCs w:val="20"/>
                <w:lang w:eastAsia="en-AU"/>
              </w:rPr>
              <w:t>161</w:t>
            </w:r>
          </w:p>
        </w:tc>
        <w:tc>
          <w:tcPr>
            <w:tcW w:w="998" w:type="dxa"/>
            <w:noWrap/>
            <w:vAlign w:val="center"/>
          </w:tcPr>
          <w:p w14:paraId="3D5A5D15" w14:textId="77777777" w:rsidR="00006531" w:rsidRPr="008B7141" w:rsidRDefault="00006531" w:rsidP="00BC6309">
            <w:pPr>
              <w:spacing w:before="0" w:after="0" w:line="240" w:lineRule="auto"/>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4EB1D5CE"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17641E40"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76E92BA1"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6A3BAA09"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8" w:type="dxa"/>
          </w:tcPr>
          <w:p w14:paraId="0DF70080"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r>
      <w:tr w:rsidR="00006531" w:rsidRPr="00DA74F9" w14:paraId="54B44041" w14:textId="77777777" w:rsidTr="003C7A6E">
        <w:trPr>
          <w:trHeight w:val="227"/>
        </w:trPr>
        <w:tc>
          <w:tcPr>
            <w:tcW w:w="5143" w:type="dxa"/>
            <w:noWrap/>
            <w:hideMark/>
          </w:tcPr>
          <w:p w14:paraId="05638B3E" w14:textId="77777777" w:rsidR="00006531" w:rsidRPr="008B7141" w:rsidRDefault="00006531" w:rsidP="003C7A6E">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Pregnant females 14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18 years</w:t>
            </w:r>
          </w:p>
        </w:tc>
        <w:tc>
          <w:tcPr>
            <w:tcW w:w="998" w:type="dxa"/>
            <w:noWrap/>
          </w:tcPr>
          <w:p w14:paraId="56E183F7" w14:textId="77777777" w:rsidR="00006531" w:rsidRPr="008B7141" w:rsidRDefault="00006531" w:rsidP="003C7A6E">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998" w:type="dxa"/>
            <w:noWrap/>
          </w:tcPr>
          <w:p w14:paraId="24908EA6"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58BD29B4"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233</w:t>
            </w:r>
          </w:p>
        </w:tc>
        <w:tc>
          <w:tcPr>
            <w:tcW w:w="997" w:type="dxa"/>
          </w:tcPr>
          <w:p w14:paraId="6BF5CF74"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50249904"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270EFC4E"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8" w:type="dxa"/>
          </w:tcPr>
          <w:p w14:paraId="04F20B9D"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r>
      <w:tr w:rsidR="00006531" w:rsidRPr="00DA74F9" w14:paraId="740BEBF2" w14:textId="77777777" w:rsidTr="003C7A6E">
        <w:trPr>
          <w:trHeight w:val="227"/>
        </w:trPr>
        <w:tc>
          <w:tcPr>
            <w:tcW w:w="5143" w:type="dxa"/>
            <w:noWrap/>
            <w:hideMark/>
          </w:tcPr>
          <w:p w14:paraId="2211DCA0" w14:textId="77777777" w:rsidR="00006531" w:rsidRPr="008B7141" w:rsidRDefault="00006531" w:rsidP="003C7A6E">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Pregnant females 19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30 years</w:t>
            </w:r>
          </w:p>
        </w:tc>
        <w:tc>
          <w:tcPr>
            <w:tcW w:w="998" w:type="dxa"/>
            <w:noWrap/>
          </w:tcPr>
          <w:p w14:paraId="2249A5E4" w14:textId="77777777" w:rsidR="00006531" w:rsidRPr="008B7141" w:rsidRDefault="00006531" w:rsidP="003C7A6E">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998" w:type="dxa"/>
            <w:noWrap/>
          </w:tcPr>
          <w:p w14:paraId="7E6DE567"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5906AEDB"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258</w:t>
            </w:r>
          </w:p>
        </w:tc>
        <w:tc>
          <w:tcPr>
            <w:tcW w:w="997" w:type="dxa"/>
          </w:tcPr>
          <w:p w14:paraId="706EECEF"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6A8483CF"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78C1871E"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8" w:type="dxa"/>
          </w:tcPr>
          <w:p w14:paraId="336991D2"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r>
      <w:tr w:rsidR="00006531" w:rsidRPr="00DA74F9" w14:paraId="55DB9F3B" w14:textId="77777777" w:rsidTr="003C7A6E">
        <w:trPr>
          <w:trHeight w:val="227"/>
        </w:trPr>
        <w:tc>
          <w:tcPr>
            <w:tcW w:w="5143" w:type="dxa"/>
            <w:noWrap/>
          </w:tcPr>
          <w:p w14:paraId="086787C5" w14:textId="77777777" w:rsidR="00006531" w:rsidRPr="008B7141" w:rsidRDefault="00006531" w:rsidP="003C7A6E">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Pregnant females 31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50 years</w:t>
            </w:r>
          </w:p>
        </w:tc>
        <w:tc>
          <w:tcPr>
            <w:tcW w:w="998" w:type="dxa"/>
            <w:noWrap/>
          </w:tcPr>
          <w:p w14:paraId="06D056EE" w14:textId="77777777" w:rsidR="00006531" w:rsidRPr="008B7141" w:rsidRDefault="00006531" w:rsidP="003C7A6E">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998" w:type="dxa"/>
            <w:noWrap/>
          </w:tcPr>
          <w:p w14:paraId="01A38B15"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7A1B54F4"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261</w:t>
            </w:r>
          </w:p>
        </w:tc>
        <w:tc>
          <w:tcPr>
            <w:tcW w:w="997" w:type="dxa"/>
          </w:tcPr>
          <w:p w14:paraId="05971AEB"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10F05535"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6F018FB1"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8" w:type="dxa"/>
          </w:tcPr>
          <w:p w14:paraId="29F27768"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r>
    </w:tbl>
    <w:p w14:paraId="65787B17" w14:textId="77777777" w:rsidR="00006531" w:rsidRPr="00DA74F9" w:rsidRDefault="00006531" w:rsidP="004F3F99">
      <w:pPr>
        <w:pStyle w:val="Heading4"/>
        <w:spacing w:after="60"/>
      </w:pPr>
      <w:bookmarkStart w:id="153" w:name="_Toc210406400"/>
      <w:bookmarkStart w:id="154" w:name="_Toc212567899"/>
      <w:r>
        <w:t>Lactation</w:t>
      </w:r>
      <w:bookmarkEnd w:id="153"/>
      <w:bookmarkEnd w:id="154"/>
    </w:p>
    <w:p w14:paraId="5A170755" w14:textId="683800BF" w:rsidR="00006531" w:rsidRDefault="00006531" w:rsidP="004F3F99">
      <w:pPr>
        <w:pStyle w:val="TableTitle"/>
        <w:spacing w:before="120"/>
      </w:pPr>
      <w:r w:rsidRPr="00916691">
        <w:t xml:space="preserve">Estimated iodine intake </w:t>
      </w:r>
      <w:r>
        <w:t xml:space="preserve">during lactation </w:t>
      </w:r>
      <w:r w:rsidRPr="00916691">
        <w:t>from food modelling (Source: NHMRC 2011)</w:t>
      </w:r>
    </w:p>
    <w:tbl>
      <w:tblPr>
        <w:tblStyle w:val="DefaultTable1"/>
        <w:tblW w:w="12125" w:type="dxa"/>
        <w:tblInd w:w="0" w:type="dxa"/>
        <w:tblLayout w:type="fixed"/>
        <w:tblLook w:val="0620" w:firstRow="1" w:lastRow="0" w:firstColumn="0" w:lastColumn="0" w:noHBand="1" w:noVBand="1"/>
      </w:tblPr>
      <w:tblGrid>
        <w:gridCol w:w="5143"/>
        <w:gridCol w:w="998"/>
        <w:gridCol w:w="998"/>
        <w:gridCol w:w="997"/>
        <w:gridCol w:w="997"/>
        <w:gridCol w:w="997"/>
        <w:gridCol w:w="997"/>
        <w:gridCol w:w="998"/>
      </w:tblGrid>
      <w:tr w:rsidR="00006531" w:rsidRPr="00DA74F9" w14:paraId="055FF46E" w14:textId="77777777" w:rsidTr="003C7A6E">
        <w:trPr>
          <w:cnfStyle w:val="100000000000" w:firstRow="1" w:lastRow="0" w:firstColumn="0" w:lastColumn="0" w:oddVBand="0" w:evenVBand="0" w:oddHBand="0" w:evenHBand="0" w:firstRowFirstColumn="0" w:firstRowLastColumn="0" w:lastRowFirstColumn="0" w:lastRowLastColumn="0"/>
          <w:trHeight w:val="454"/>
        </w:trPr>
        <w:tc>
          <w:tcPr>
            <w:tcW w:w="5143" w:type="dxa"/>
            <w:tcBorders>
              <w:top w:val="nil"/>
              <w:left w:val="nil"/>
              <w:bottom w:val="nil"/>
              <w:right w:val="nil"/>
            </w:tcBorders>
          </w:tcPr>
          <w:p w14:paraId="408129E3" w14:textId="77777777" w:rsidR="00006531" w:rsidRPr="006A19B1" w:rsidRDefault="00006531" w:rsidP="003C7A6E">
            <w:pPr>
              <w:spacing w:before="0" w:after="0" w:line="240" w:lineRule="auto"/>
              <w:rPr>
                <w:rFonts w:eastAsia="Times New Roman" w:cs="Times New Roman"/>
                <w:b w:val="0"/>
                <w:bCs w:val="0"/>
                <w:szCs w:val="20"/>
                <w:lang w:eastAsia="en-AU"/>
              </w:rPr>
            </w:pPr>
          </w:p>
        </w:tc>
        <w:tc>
          <w:tcPr>
            <w:tcW w:w="6982" w:type="dxa"/>
            <w:gridSpan w:val="7"/>
            <w:tcBorders>
              <w:left w:val="nil"/>
            </w:tcBorders>
            <w:vAlign w:val="center"/>
          </w:tcPr>
          <w:p w14:paraId="3630B36C" w14:textId="77777777" w:rsidR="00006531" w:rsidRPr="008B7141" w:rsidRDefault="00006531" w:rsidP="003C7A6E">
            <w:pPr>
              <w:spacing w:before="0" w:after="0" w:line="240" w:lineRule="auto"/>
              <w:jc w:val="center"/>
              <w:rPr>
                <w:rFonts w:eastAsia="Times New Roman" w:cs="Times New Roman"/>
                <w:b w:val="0"/>
                <w:bCs w:val="0"/>
                <w:szCs w:val="20"/>
                <w:lang w:eastAsia="en-AU"/>
              </w:rPr>
            </w:pPr>
            <w:r w:rsidRPr="008B7141">
              <w:rPr>
                <w:rFonts w:eastAsia="Times New Roman" w:cs="Times New Roman"/>
                <w:szCs w:val="20"/>
                <w:lang w:eastAsia="en-AU"/>
              </w:rPr>
              <w:t>Estimated intake from food modelling (µg/day)</w:t>
            </w:r>
          </w:p>
        </w:tc>
      </w:tr>
      <w:tr w:rsidR="00006531" w:rsidRPr="00427765" w14:paraId="251D0ABB" w14:textId="77777777" w:rsidTr="003C7A6E">
        <w:trPr>
          <w:trHeight w:val="1505"/>
        </w:trPr>
        <w:tc>
          <w:tcPr>
            <w:tcW w:w="5143" w:type="dxa"/>
            <w:tcBorders>
              <w:top w:val="nil"/>
            </w:tcBorders>
            <w:shd w:val="clear" w:color="auto" w:fill="005F85" w:themeFill="accent2"/>
            <w:vAlign w:val="bottom"/>
            <w:hideMark/>
          </w:tcPr>
          <w:p w14:paraId="4D30CA4C" w14:textId="77777777" w:rsidR="00006531" w:rsidRPr="008B7141" w:rsidRDefault="00006531" w:rsidP="003C7A6E">
            <w:pPr>
              <w:spacing w:before="0" w:after="0" w:line="240" w:lineRule="auto"/>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Population</w:t>
            </w:r>
          </w:p>
        </w:tc>
        <w:tc>
          <w:tcPr>
            <w:tcW w:w="998" w:type="dxa"/>
            <w:shd w:val="clear" w:color="auto" w:fill="005F85" w:themeFill="accent2"/>
            <w:textDirection w:val="btLr"/>
            <w:hideMark/>
          </w:tcPr>
          <w:p w14:paraId="63CD9123"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 xml:space="preserve">Core food groups </w:t>
            </w:r>
          </w:p>
        </w:tc>
        <w:tc>
          <w:tcPr>
            <w:tcW w:w="998" w:type="dxa"/>
            <w:shd w:val="clear" w:color="auto" w:fill="005F85" w:themeFill="accent2"/>
            <w:textDirection w:val="btLr"/>
            <w:hideMark/>
          </w:tcPr>
          <w:p w14:paraId="6045C926"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 xml:space="preserve">Aust. Guide to Healthy Eating </w:t>
            </w:r>
          </w:p>
        </w:tc>
        <w:tc>
          <w:tcPr>
            <w:tcW w:w="997" w:type="dxa"/>
            <w:shd w:val="clear" w:color="auto" w:fill="005F85" w:themeFill="accent2"/>
            <w:textDirection w:val="btLr"/>
          </w:tcPr>
          <w:p w14:paraId="7042A40C"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Foundation diets - overall</w:t>
            </w:r>
          </w:p>
        </w:tc>
        <w:tc>
          <w:tcPr>
            <w:tcW w:w="997" w:type="dxa"/>
            <w:shd w:val="clear" w:color="auto" w:fill="005F85" w:themeFill="accent2"/>
            <w:textDirection w:val="btLr"/>
          </w:tcPr>
          <w:p w14:paraId="479C5A1E"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Omnivore</w:t>
            </w:r>
          </w:p>
        </w:tc>
        <w:tc>
          <w:tcPr>
            <w:tcW w:w="997" w:type="dxa"/>
            <w:shd w:val="clear" w:color="auto" w:fill="005F85" w:themeFill="accent2"/>
            <w:textDirection w:val="btLr"/>
          </w:tcPr>
          <w:p w14:paraId="543A112E"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Rice-based</w:t>
            </w:r>
          </w:p>
        </w:tc>
        <w:tc>
          <w:tcPr>
            <w:tcW w:w="997" w:type="dxa"/>
            <w:shd w:val="clear" w:color="auto" w:fill="005F85" w:themeFill="accent2"/>
            <w:textDirection w:val="btLr"/>
          </w:tcPr>
          <w:p w14:paraId="52B1FB36"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Pasta-based</w:t>
            </w:r>
          </w:p>
        </w:tc>
        <w:tc>
          <w:tcPr>
            <w:tcW w:w="998" w:type="dxa"/>
            <w:shd w:val="clear" w:color="auto" w:fill="005F85" w:themeFill="accent2"/>
            <w:textDirection w:val="btLr"/>
          </w:tcPr>
          <w:p w14:paraId="10FF16DE" w14:textId="77777777" w:rsidR="00006531" w:rsidRPr="008B7141" w:rsidRDefault="00006531" w:rsidP="003C7A6E">
            <w:pPr>
              <w:spacing w:before="0" w:after="0" w:line="240" w:lineRule="auto"/>
              <w:ind w:left="113" w:right="113"/>
              <w:rPr>
                <w:rFonts w:eastAsia="Times New Roman" w:cs="Times New Roman"/>
                <w:b/>
                <w:bCs/>
                <w:color w:val="FFFFFF" w:themeColor="background1"/>
                <w:szCs w:val="20"/>
                <w:lang w:eastAsia="en-AU"/>
              </w:rPr>
            </w:pPr>
            <w:r w:rsidRPr="008B7141">
              <w:rPr>
                <w:rFonts w:eastAsia="Times New Roman" w:cs="Times New Roman"/>
                <w:b/>
                <w:bCs/>
                <w:color w:val="FFFFFF" w:themeColor="background1"/>
                <w:szCs w:val="20"/>
                <w:lang w:eastAsia="en-AU"/>
              </w:rPr>
              <w:t>Lacto-ovo-vegetarian</w:t>
            </w:r>
          </w:p>
        </w:tc>
      </w:tr>
      <w:tr w:rsidR="00006531" w:rsidRPr="00DA74F9" w14:paraId="4FE2290A" w14:textId="77777777" w:rsidTr="002232A6">
        <w:trPr>
          <w:trHeight w:val="170"/>
        </w:trPr>
        <w:tc>
          <w:tcPr>
            <w:tcW w:w="5143" w:type="dxa"/>
            <w:noWrap/>
            <w:hideMark/>
          </w:tcPr>
          <w:p w14:paraId="663177BB" w14:textId="77777777" w:rsidR="00006531" w:rsidRPr="008B7141" w:rsidRDefault="00006531" w:rsidP="003C7A6E">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Lactating persons (age not specified)</w:t>
            </w:r>
          </w:p>
        </w:tc>
        <w:tc>
          <w:tcPr>
            <w:tcW w:w="998" w:type="dxa"/>
            <w:noWrap/>
          </w:tcPr>
          <w:p w14:paraId="12CB2BEF" w14:textId="15DE7BE4" w:rsidR="00006531" w:rsidRPr="008B7141" w:rsidRDefault="00006531" w:rsidP="003C7A6E">
            <w:pPr>
              <w:spacing w:before="0" w:after="0" w:line="240" w:lineRule="auto"/>
              <w:jc w:val="center"/>
              <w:rPr>
                <w:rFonts w:eastAsia="Times New Roman" w:cs="Times New Roman"/>
                <w:color w:val="000000"/>
                <w:szCs w:val="20"/>
                <w:lang w:eastAsia="en-AU"/>
              </w:rPr>
            </w:pPr>
            <w:r w:rsidRPr="008B7141">
              <w:rPr>
                <w:rFonts w:eastAsia="Times New Roman" w:cs="Times New Roman"/>
                <w:color w:val="000000"/>
                <w:szCs w:val="20"/>
                <w:lang w:eastAsia="en-AU"/>
              </w:rPr>
              <w:t>187</w:t>
            </w:r>
          </w:p>
        </w:tc>
        <w:tc>
          <w:tcPr>
            <w:tcW w:w="998" w:type="dxa"/>
            <w:noWrap/>
          </w:tcPr>
          <w:p w14:paraId="176131FD"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06C7794D"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2D852FE7"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698B7BD8"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271AFFE3"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8" w:type="dxa"/>
          </w:tcPr>
          <w:p w14:paraId="51D768F4"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r>
      <w:tr w:rsidR="00006531" w:rsidRPr="00DA74F9" w14:paraId="41EA1E93" w14:textId="77777777" w:rsidTr="002232A6">
        <w:trPr>
          <w:trHeight w:val="170"/>
        </w:trPr>
        <w:tc>
          <w:tcPr>
            <w:tcW w:w="5143" w:type="dxa"/>
            <w:noWrap/>
            <w:hideMark/>
          </w:tcPr>
          <w:p w14:paraId="324D3AA7" w14:textId="77777777" w:rsidR="00006531" w:rsidRPr="008B7141" w:rsidRDefault="00006531" w:rsidP="003C7A6E">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Lactating females 14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18 years</w:t>
            </w:r>
          </w:p>
        </w:tc>
        <w:tc>
          <w:tcPr>
            <w:tcW w:w="998" w:type="dxa"/>
            <w:noWrap/>
          </w:tcPr>
          <w:p w14:paraId="57CFE039" w14:textId="77777777" w:rsidR="00006531" w:rsidRPr="008B7141" w:rsidRDefault="00006531" w:rsidP="003C7A6E">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998" w:type="dxa"/>
            <w:noWrap/>
          </w:tcPr>
          <w:p w14:paraId="5CD9D674"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2C0501A0"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253</w:t>
            </w:r>
          </w:p>
        </w:tc>
        <w:tc>
          <w:tcPr>
            <w:tcW w:w="997" w:type="dxa"/>
          </w:tcPr>
          <w:p w14:paraId="571C16AA"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6B9E52CB"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33DB2A30"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8" w:type="dxa"/>
          </w:tcPr>
          <w:p w14:paraId="79EE3166"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r>
      <w:tr w:rsidR="00006531" w:rsidRPr="00DA74F9" w14:paraId="6FFFD744" w14:textId="77777777" w:rsidTr="002232A6">
        <w:trPr>
          <w:trHeight w:val="170"/>
        </w:trPr>
        <w:tc>
          <w:tcPr>
            <w:tcW w:w="5143" w:type="dxa"/>
            <w:noWrap/>
            <w:hideMark/>
          </w:tcPr>
          <w:p w14:paraId="4DA3C571" w14:textId="77777777" w:rsidR="00006531" w:rsidRPr="008B7141" w:rsidRDefault="00006531" w:rsidP="003C7A6E">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Lactating females 19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30 years</w:t>
            </w:r>
          </w:p>
        </w:tc>
        <w:tc>
          <w:tcPr>
            <w:tcW w:w="998" w:type="dxa"/>
            <w:noWrap/>
          </w:tcPr>
          <w:p w14:paraId="1EDA6A4D" w14:textId="77777777" w:rsidR="00006531" w:rsidRPr="008B7141" w:rsidRDefault="00006531" w:rsidP="003C7A6E">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998" w:type="dxa"/>
            <w:noWrap/>
          </w:tcPr>
          <w:p w14:paraId="3C2CD52E"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1EFB0AF2"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251</w:t>
            </w:r>
          </w:p>
        </w:tc>
        <w:tc>
          <w:tcPr>
            <w:tcW w:w="997" w:type="dxa"/>
          </w:tcPr>
          <w:p w14:paraId="1FDFB976"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64DAABA6"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33F7D998"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8" w:type="dxa"/>
          </w:tcPr>
          <w:p w14:paraId="46637156"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r>
      <w:tr w:rsidR="00006531" w:rsidRPr="00DA74F9" w14:paraId="66E36672" w14:textId="77777777" w:rsidTr="002232A6">
        <w:trPr>
          <w:trHeight w:val="170"/>
        </w:trPr>
        <w:tc>
          <w:tcPr>
            <w:tcW w:w="5143" w:type="dxa"/>
            <w:noWrap/>
          </w:tcPr>
          <w:p w14:paraId="44F2428A" w14:textId="77777777" w:rsidR="00006531" w:rsidRPr="008B7141" w:rsidRDefault="00006531" w:rsidP="003C7A6E">
            <w:pPr>
              <w:spacing w:before="0" w:after="0" w:line="240" w:lineRule="auto"/>
              <w:rPr>
                <w:rFonts w:eastAsia="Times New Roman" w:cs="Times New Roman"/>
                <w:color w:val="000000"/>
                <w:szCs w:val="20"/>
                <w:lang w:eastAsia="en-AU"/>
              </w:rPr>
            </w:pPr>
            <w:r w:rsidRPr="008B7141">
              <w:rPr>
                <w:rFonts w:eastAsia="Times New Roman" w:cs="Times New Roman"/>
                <w:color w:val="000000"/>
                <w:szCs w:val="20"/>
                <w:lang w:eastAsia="en-AU"/>
              </w:rPr>
              <w:t xml:space="preserve">Lactating females 31 </w:t>
            </w:r>
            <w:r>
              <w:rPr>
                <w:rFonts w:eastAsia="Times New Roman" w:cs="Times New Roman"/>
                <w:color w:val="000000"/>
                <w:szCs w:val="20"/>
                <w:lang w:eastAsia="en-AU"/>
              </w:rPr>
              <w:t>-</w:t>
            </w:r>
            <w:r w:rsidRPr="008B7141">
              <w:rPr>
                <w:rFonts w:eastAsia="Times New Roman" w:cs="Times New Roman"/>
                <w:color w:val="000000"/>
                <w:szCs w:val="20"/>
                <w:lang w:eastAsia="en-AU"/>
              </w:rPr>
              <w:t xml:space="preserve"> 50 years</w:t>
            </w:r>
          </w:p>
        </w:tc>
        <w:tc>
          <w:tcPr>
            <w:tcW w:w="998" w:type="dxa"/>
            <w:noWrap/>
          </w:tcPr>
          <w:p w14:paraId="1CEF8545" w14:textId="77777777" w:rsidR="00006531" w:rsidRPr="008B7141" w:rsidRDefault="00006531" w:rsidP="003C7A6E">
            <w:pPr>
              <w:spacing w:before="0" w:after="0" w:line="240" w:lineRule="auto"/>
              <w:jc w:val="center"/>
              <w:rPr>
                <w:rFonts w:eastAsia="Times New Roman" w:cs="Times New Roman"/>
                <w:color w:val="000000"/>
                <w:szCs w:val="20"/>
                <w:lang w:eastAsia="en-AU"/>
              </w:rPr>
            </w:pPr>
            <w:r w:rsidRPr="008B7141">
              <w:rPr>
                <w:rFonts w:eastAsia="Times New Roman" w:cs="Times New Roman"/>
                <w:szCs w:val="20"/>
                <w:lang w:eastAsia="en-AU"/>
              </w:rPr>
              <w:t>NR</w:t>
            </w:r>
          </w:p>
        </w:tc>
        <w:tc>
          <w:tcPr>
            <w:tcW w:w="998" w:type="dxa"/>
            <w:noWrap/>
          </w:tcPr>
          <w:p w14:paraId="2BD87971"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2AB7A192"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251</w:t>
            </w:r>
          </w:p>
        </w:tc>
        <w:tc>
          <w:tcPr>
            <w:tcW w:w="997" w:type="dxa"/>
          </w:tcPr>
          <w:p w14:paraId="61BE1662"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546D9E38"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7" w:type="dxa"/>
          </w:tcPr>
          <w:p w14:paraId="0C5BA469"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c>
          <w:tcPr>
            <w:tcW w:w="998" w:type="dxa"/>
          </w:tcPr>
          <w:p w14:paraId="32BF105C" w14:textId="77777777" w:rsidR="00006531" w:rsidRPr="008B7141" w:rsidRDefault="00006531" w:rsidP="003C7A6E">
            <w:pPr>
              <w:spacing w:before="0" w:after="0" w:line="240" w:lineRule="auto"/>
              <w:jc w:val="center"/>
              <w:rPr>
                <w:rFonts w:eastAsia="Times New Roman" w:cs="Times New Roman"/>
                <w:szCs w:val="20"/>
                <w:lang w:eastAsia="en-AU"/>
              </w:rPr>
            </w:pPr>
            <w:r w:rsidRPr="008B7141">
              <w:rPr>
                <w:rFonts w:eastAsia="Times New Roman" w:cs="Times New Roman"/>
                <w:szCs w:val="20"/>
                <w:lang w:eastAsia="en-AU"/>
              </w:rPr>
              <w:t>NR</w:t>
            </w:r>
          </w:p>
        </w:tc>
      </w:tr>
    </w:tbl>
    <w:p w14:paraId="2F76C82D" w14:textId="77777777" w:rsidR="00006531" w:rsidRPr="00DA74F9" w:rsidRDefault="00006531" w:rsidP="00006531">
      <w:pPr>
        <w:pStyle w:val="Heading4"/>
      </w:pPr>
      <w:bookmarkStart w:id="155" w:name="_Toc210406401"/>
      <w:bookmarkStart w:id="156" w:name="_Toc212567900"/>
      <w:r>
        <w:lastRenderedPageBreak/>
        <w:t>Children and adolescents</w:t>
      </w:r>
      <w:bookmarkEnd w:id="155"/>
      <w:bookmarkEnd w:id="156"/>
    </w:p>
    <w:p w14:paraId="7AEA413B" w14:textId="12C2D8C6" w:rsidR="00006531" w:rsidRDefault="00006531" w:rsidP="00006531">
      <w:pPr>
        <w:pStyle w:val="TableTitle"/>
      </w:pPr>
      <w:r w:rsidRPr="004C42B8">
        <w:t xml:space="preserve">Estimated iodine intake in </w:t>
      </w:r>
      <w:r>
        <w:t xml:space="preserve">children and adolescents </w:t>
      </w:r>
      <w:r w:rsidRPr="004C42B8">
        <w:t>from food modelling (Source: NHMRC 2011)</w:t>
      </w:r>
    </w:p>
    <w:tbl>
      <w:tblPr>
        <w:tblStyle w:val="DefaultTable1"/>
        <w:tblW w:w="11487" w:type="dxa"/>
        <w:tblInd w:w="0" w:type="dxa"/>
        <w:tblLayout w:type="fixed"/>
        <w:tblLook w:val="0620" w:firstRow="1" w:lastRow="0" w:firstColumn="0" w:lastColumn="0" w:noHBand="1" w:noVBand="1"/>
      </w:tblPr>
      <w:tblGrid>
        <w:gridCol w:w="3124"/>
        <w:gridCol w:w="1194"/>
        <w:gridCol w:w="1195"/>
        <w:gridCol w:w="1195"/>
        <w:gridCol w:w="1194"/>
        <w:gridCol w:w="1195"/>
        <w:gridCol w:w="1195"/>
        <w:gridCol w:w="1195"/>
      </w:tblGrid>
      <w:tr w:rsidR="00006531" w:rsidRPr="00DA74F9" w14:paraId="14A25F61" w14:textId="77777777" w:rsidTr="004F3F99">
        <w:trPr>
          <w:cnfStyle w:val="100000000000" w:firstRow="1" w:lastRow="0" w:firstColumn="0" w:lastColumn="0" w:oddVBand="0" w:evenVBand="0" w:oddHBand="0" w:evenHBand="0" w:firstRowFirstColumn="0" w:firstRowLastColumn="0" w:lastRowFirstColumn="0" w:lastRowLastColumn="0"/>
          <w:trHeight w:val="342"/>
        </w:trPr>
        <w:tc>
          <w:tcPr>
            <w:tcW w:w="3124" w:type="dxa"/>
            <w:tcBorders>
              <w:top w:val="nil"/>
              <w:left w:val="nil"/>
              <w:bottom w:val="nil"/>
              <w:right w:val="nil"/>
            </w:tcBorders>
          </w:tcPr>
          <w:p w14:paraId="07D5814D" w14:textId="77777777" w:rsidR="00006531" w:rsidRPr="006A19B1" w:rsidRDefault="00006531">
            <w:pPr>
              <w:spacing w:after="0" w:line="240" w:lineRule="auto"/>
              <w:rPr>
                <w:rFonts w:eastAsia="Times New Roman" w:cs="Times New Roman"/>
                <w:b w:val="0"/>
                <w:bCs w:val="0"/>
                <w:szCs w:val="20"/>
                <w:lang w:eastAsia="en-AU"/>
              </w:rPr>
            </w:pPr>
          </w:p>
        </w:tc>
        <w:tc>
          <w:tcPr>
            <w:tcW w:w="8363" w:type="dxa"/>
            <w:gridSpan w:val="7"/>
            <w:tcBorders>
              <w:left w:val="nil"/>
            </w:tcBorders>
          </w:tcPr>
          <w:p w14:paraId="24CE2D08" w14:textId="77777777" w:rsidR="00006531" w:rsidRPr="001D5149" w:rsidRDefault="00006531">
            <w:pPr>
              <w:spacing w:after="0" w:line="240" w:lineRule="auto"/>
              <w:jc w:val="center"/>
              <w:rPr>
                <w:rFonts w:eastAsia="Times New Roman" w:cs="Times New Roman"/>
                <w:b w:val="0"/>
                <w:bCs w:val="0"/>
                <w:szCs w:val="20"/>
                <w:lang w:eastAsia="en-AU"/>
              </w:rPr>
            </w:pPr>
            <w:r w:rsidRPr="001D5149">
              <w:rPr>
                <w:rFonts w:eastAsia="Times New Roman" w:cs="Times New Roman"/>
                <w:szCs w:val="20"/>
                <w:lang w:eastAsia="en-AU"/>
              </w:rPr>
              <w:t>Estimated intake from food modelling (µg/day)</w:t>
            </w:r>
          </w:p>
        </w:tc>
      </w:tr>
      <w:tr w:rsidR="00006531" w:rsidRPr="00427765" w14:paraId="43B3C96F" w14:textId="77777777" w:rsidTr="004F3F99">
        <w:trPr>
          <w:trHeight w:val="1725"/>
        </w:trPr>
        <w:tc>
          <w:tcPr>
            <w:tcW w:w="3124" w:type="dxa"/>
            <w:tcBorders>
              <w:top w:val="nil"/>
            </w:tcBorders>
            <w:shd w:val="clear" w:color="auto" w:fill="005F85" w:themeFill="accent2"/>
            <w:hideMark/>
          </w:tcPr>
          <w:p w14:paraId="3431CD0D" w14:textId="77777777" w:rsidR="00006531" w:rsidRPr="001D5149" w:rsidRDefault="00006531" w:rsidP="004F3F99">
            <w:pPr>
              <w:spacing w:after="0" w:line="240" w:lineRule="auto"/>
              <w:rPr>
                <w:rFonts w:eastAsia="Times New Roman" w:cs="Times New Roman"/>
                <w:b/>
                <w:bCs/>
                <w:color w:val="FFFFFF" w:themeColor="background1"/>
                <w:szCs w:val="20"/>
                <w:lang w:eastAsia="en-AU"/>
              </w:rPr>
            </w:pPr>
            <w:r w:rsidRPr="001D5149">
              <w:rPr>
                <w:rFonts w:eastAsia="Times New Roman" w:cs="Times New Roman"/>
                <w:b/>
                <w:bCs/>
                <w:color w:val="FFFFFF" w:themeColor="background1"/>
                <w:szCs w:val="20"/>
                <w:lang w:eastAsia="en-AU"/>
              </w:rPr>
              <w:t>Population</w:t>
            </w:r>
          </w:p>
        </w:tc>
        <w:tc>
          <w:tcPr>
            <w:tcW w:w="1194" w:type="dxa"/>
            <w:shd w:val="clear" w:color="auto" w:fill="005F85" w:themeFill="accent2"/>
            <w:textDirection w:val="btLr"/>
            <w:hideMark/>
          </w:tcPr>
          <w:p w14:paraId="75944A21" w14:textId="77777777" w:rsidR="00006531" w:rsidRPr="001D5149" w:rsidRDefault="00006531">
            <w:pPr>
              <w:spacing w:after="0" w:line="240" w:lineRule="auto"/>
              <w:ind w:left="113" w:right="113"/>
              <w:rPr>
                <w:rFonts w:eastAsia="Times New Roman" w:cs="Times New Roman"/>
                <w:b/>
                <w:bCs/>
                <w:color w:val="FFFFFF" w:themeColor="background1"/>
                <w:szCs w:val="20"/>
                <w:lang w:eastAsia="en-AU"/>
              </w:rPr>
            </w:pPr>
            <w:r w:rsidRPr="001D5149">
              <w:rPr>
                <w:rFonts w:eastAsia="Times New Roman" w:cs="Times New Roman"/>
                <w:b/>
                <w:bCs/>
                <w:color w:val="FFFFFF" w:themeColor="background1"/>
                <w:szCs w:val="20"/>
                <w:lang w:eastAsia="en-AU"/>
              </w:rPr>
              <w:t xml:space="preserve">Core food groups </w:t>
            </w:r>
          </w:p>
        </w:tc>
        <w:tc>
          <w:tcPr>
            <w:tcW w:w="1195" w:type="dxa"/>
            <w:shd w:val="clear" w:color="auto" w:fill="005F85" w:themeFill="accent2"/>
            <w:textDirection w:val="btLr"/>
            <w:hideMark/>
          </w:tcPr>
          <w:p w14:paraId="54ECCF18" w14:textId="77777777" w:rsidR="00006531" w:rsidRPr="001D5149" w:rsidRDefault="00006531">
            <w:pPr>
              <w:spacing w:after="0" w:line="240" w:lineRule="auto"/>
              <w:ind w:left="113" w:right="113"/>
              <w:rPr>
                <w:rFonts w:eastAsia="Times New Roman" w:cs="Times New Roman"/>
                <w:b/>
                <w:bCs/>
                <w:color w:val="FFFFFF" w:themeColor="background1"/>
                <w:szCs w:val="20"/>
                <w:lang w:eastAsia="en-AU"/>
              </w:rPr>
            </w:pPr>
            <w:r w:rsidRPr="001D5149">
              <w:rPr>
                <w:rFonts w:eastAsia="Times New Roman" w:cs="Times New Roman"/>
                <w:b/>
                <w:bCs/>
                <w:color w:val="FFFFFF" w:themeColor="background1"/>
                <w:szCs w:val="20"/>
                <w:lang w:eastAsia="en-AU"/>
              </w:rPr>
              <w:t xml:space="preserve">Aust. Guide to Healthy Eating </w:t>
            </w:r>
          </w:p>
        </w:tc>
        <w:tc>
          <w:tcPr>
            <w:tcW w:w="1195" w:type="dxa"/>
            <w:shd w:val="clear" w:color="auto" w:fill="005F85" w:themeFill="accent2"/>
            <w:textDirection w:val="btLr"/>
          </w:tcPr>
          <w:p w14:paraId="1BD1B658" w14:textId="77777777" w:rsidR="00006531" w:rsidRPr="001D5149" w:rsidRDefault="00006531">
            <w:pPr>
              <w:spacing w:after="0" w:line="240" w:lineRule="auto"/>
              <w:ind w:left="113" w:right="113"/>
              <w:rPr>
                <w:rFonts w:eastAsia="Times New Roman" w:cs="Times New Roman"/>
                <w:b/>
                <w:bCs/>
                <w:color w:val="FFFFFF" w:themeColor="background1"/>
                <w:szCs w:val="20"/>
                <w:lang w:eastAsia="en-AU"/>
              </w:rPr>
            </w:pPr>
            <w:r w:rsidRPr="001D5149">
              <w:rPr>
                <w:rFonts w:eastAsia="Times New Roman" w:cs="Times New Roman"/>
                <w:b/>
                <w:bCs/>
                <w:color w:val="FFFFFF" w:themeColor="background1"/>
                <w:szCs w:val="20"/>
                <w:lang w:eastAsia="en-AU"/>
              </w:rPr>
              <w:t>Foundation diets - overall</w:t>
            </w:r>
          </w:p>
        </w:tc>
        <w:tc>
          <w:tcPr>
            <w:tcW w:w="1194" w:type="dxa"/>
            <w:shd w:val="clear" w:color="auto" w:fill="005F85" w:themeFill="accent2"/>
            <w:textDirection w:val="btLr"/>
          </w:tcPr>
          <w:p w14:paraId="574D13A7" w14:textId="77777777" w:rsidR="00006531" w:rsidRPr="001D5149" w:rsidRDefault="00006531">
            <w:pPr>
              <w:spacing w:after="0" w:line="240" w:lineRule="auto"/>
              <w:ind w:left="113" w:right="113"/>
              <w:rPr>
                <w:rFonts w:eastAsia="Times New Roman" w:cs="Times New Roman"/>
                <w:b/>
                <w:bCs/>
                <w:color w:val="FFFFFF" w:themeColor="background1"/>
                <w:szCs w:val="20"/>
                <w:lang w:eastAsia="en-AU"/>
              </w:rPr>
            </w:pPr>
            <w:r w:rsidRPr="001D5149">
              <w:rPr>
                <w:rFonts w:eastAsia="Times New Roman" w:cs="Times New Roman"/>
                <w:b/>
                <w:bCs/>
                <w:color w:val="FFFFFF" w:themeColor="background1"/>
                <w:szCs w:val="20"/>
                <w:lang w:eastAsia="en-AU"/>
              </w:rPr>
              <w:t>Omnivore</w:t>
            </w:r>
          </w:p>
        </w:tc>
        <w:tc>
          <w:tcPr>
            <w:tcW w:w="1195" w:type="dxa"/>
            <w:shd w:val="clear" w:color="auto" w:fill="005F85" w:themeFill="accent2"/>
            <w:textDirection w:val="btLr"/>
          </w:tcPr>
          <w:p w14:paraId="42F7C4A9" w14:textId="77777777" w:rsidR="00006531" w:rsidRPr="001D5149" w:rsidRDefault="00006531">
            <w:pPr>
              <w:spacing w:after="0" w:line="240" w:lineRule="auto"/>
              <w:ind w:left="113" w:right="113"/>
              <w:rPr>
                <w:rFonts w:eastAsia="Times New Roman" w:cs="Times New Roman"/>
                <w:b/>
                <w:bCs/>
                <w:color w:val="FFFFFF" w:themeColor="background1"/>
                <w:szCs w:val="20"/>
                <w:lang w:eastAsia="en-AU"/>
              </w:rPr>
            </w:pPr>
            <w:r w:rsidRPr="001D5149">
              <w:rPr>
                <w:rFonts w:eastAsia="Times New Roman" w:cs="Times New Roman"/>
                <w:b/>
                <w:bCs/>
                <w:color w:val="FFFFFF" w:themeColor="background1"/>
                <w:szCs w:val="20"/>
                <w:lang w:eastAsia="en-AU"/>
              </w:rPr>
              <w:t>Rice-based</w:t>
            </w:r>
          </w:p>
        </w:tc>
        <w:tc>
          <w:tcPr>
            <w:tcW w:w="1195" w:type="dxa"/>
            <w:shd w:val="clear" w:color="auto" w:fill="005F85" w:themeFill="accent2"/>
            <w:textDirection w:val="btLr"/>
          </w:tcPr>
          <w:p w14:paraId="36405CD0" w14:textId="77777777" w:rsidR="00006531" w:rsidRPr="001D5149" w:rsidRDefault="00006531">
            <w:pPr>
              <w:spacing w:after="0" w:line="240" w:lineRule="auto"/>
              <w:ind w:left="113" w:right="113"/>
              <w:rPr>
                <w:rFonts w:eastAsia="Times New Roman" w:cs="Times New Roman"/>
                <w:b/>
                <w:bCs/>
                <w:color w:val="FFFFFF" w:themeColor="background1"/>
                <w:szCs w:val="20"/>
                <w:lang w:eastAsia="en-AU"/>
              </w:rPr>
            </w:pPr>
            <w:r w:rsidRPr="001D5149">
              <w:rPr>
                <w:rFonts w:eastAsia="Times New Roman" w:cs="Times New Roman"/>
                <w:b/>
                <w:bCs/>
                <w:color w:val="FFFFFF" w:themeColor="background1"/>
                <w:szCs w:val="20"/>
                <w:lang w:eastAsia="en-AU"/>
              </w:rPr>
              <w:t>Pasta-based</w:t>
            </w:r>
          </w:p>
        </w:tc>
        <w:tc>
          <w:tcPr>
            <w:tcW w:w="1195" w:type="dxa"/>
            <w:shd w:val="clear" w:color="auto" w:fill="005F85" w:themeFill="accent2"/>
            <w:textDirection w:val="btLr"/>
          </w:tcPr>
          <w:p w14:paraId="5E357419" w14:textId="77777777" w:rsidR="00006531" w:rsidRPr="001D5149" w:rsidRDefault="00006531">
            <w:pPr>
              <w:spacing w:after="0" w:line="240" w:lineRule="auto"/>
              <w:ind w:left="113" w:right="113"/>
              <w:rPr>
                <w:rFonts w:eastAsia="Times New Roman" w:cs="Times New Roman"/>
                <w:b/>
                <w:bCs/>
                <w:color w:val="FFFFFF" w:themeColor="background1"/>
                <w:szCs w:val="20"/>
                <w:lang w:eastAsia="en-AU"/>
              </w:rPr>
            </w:pPr>
            <w:r w:rsidRPr="001D5149">
              <w:rPr>
                <w:rFonts w:eastAsia="Times New Roman" w:cs="Times New Roman"/>
                <w:b/>
                <w:bCs/>
                <w:color w:val="FFFFFF" w:themeColor="background1"/>
                <w:szCs w:val="20"/>
                <w:lang w:eastAsia="en-AU"/>
              </w:rPr>
              <w:t>Lacto-ovo-vegetarian</w:t>
            </w:r>
          </w:p>
        </w:tc>
      </w:tr>
      <w:tr w:rsidR="00006531" w:rsidRPr="00DA74F9" w14:paraId="2D300654" w14:textId="77777777" w:rsidTr="004F3F99">
        <w:trPr>
          <w:trHeight w:val="170"/>
        </w:trPr>
        <w:tc>
          <w:tcPr>
            <w:tcW w:w="3124" w:type="dxa"/>
            <w:noWrap/>
            <w:hideMark/>
          </w:tcPr>
          <w:p w14:paraId="634385CF"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Persons 4 - 7 years</w:t>
            </w:r>
          </w:p>
        </w:tc>
        <w:tc>
          <w:tcPr>
            <w:tcW w:w="1194" w:type="dxa"/>
            <w:noWrap/>
          </w:tcPr>
          <w:p w14:paraId="307131EA"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color w:val="000000"/>
                <w:szCs w:val="20"/>
                <w:lang w:eastAsia="en-AU"/>
              </w:rPr>
              <w:t>112</w:t>
            </w:r>
          </w:p>
        </w:tc>
        <w:tc>
          <w:tcPr>
            <w:tcW w:w="1195" w:type="dxa"/>
            <w:noWrap/>
          </w:tcPr>
          <w:p w14:paraId="01949E13"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 xml:space="preserve">188 </w:t>
            </w:r>
            <w:r>
              <w:rPr>
                <w:rFonts w:eastAsia="Times New Roman" w:cs="Times New Roman"/>
                <w:szCs w:val="20"/>
                <w:lang w:eastAsia="en-AU"/>
              </w:rPr>
              <w:t>-</w:t>
            </w:r>
            <w:r w:rsidRPr="001D5149">
              <w:rPr>
                <w:rFonts w:eastAsia="Times New Roman" w:cs="Times New Roman"/>
                <w:szCs w:val="20"/>
                <w:lang w:eastAsia="en-AU"/>
              </w:rPr>
              <w:t xml:space="preserve"> 227</w:t>
            </w:r>
          </w:p>
        </w:tc>
        <w:tc>
          <w:tcPr>
            <w:tcW w:w="1195" w:type="dxa"/>
          </w:tcPr>
          <w:p w14:paraId="3D80FDFE"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4" w:type="dxa"/>
          </w:tcPr>
          <w:p w14:paraId="189CD0DE"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5305A08D"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19ED1B24"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3836E65B"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r>
      <w:tr w:rsidR="00006531" w:rsidRPr="00DA74F9" w14:paraId="140E7DFC" w14:textId="77777777" w:rsidTr="004F3F99">
        <w:trPr>
          <w:trHeight w:val="170"/>
        </w:trPr>
        <w:tc>
          <w:tcPr>
            <w:tcW w:w="3124" w:type="dxa"/>
            <w:noWrap/>
          </w:tcPr>
          <w:p w14:paraId="266F931E"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Persons 8 - 11 years</w:t>
            </w:r>
          </w:p>
        </w:tc>
        <w:tc>
          <w:tcPr>
            <w:tcW w:w="1194" w:type="dxa"/>
            <w:noWrap/>
          </w:tcPr>
          <w:p w14:paraId="216BAE22"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color w:val="000000"/>
                <w:szCs w:val="20"/>
                <w:lang w:eastAsia="en-AU"/>
              </w:rPr>
              <w:t>132</w:t>
            </w:r>
          </w:p>
        </w:tc>
        <w:tc>
          <w:tcPr>
            <w:tcW w:w="1195" w:type="dxa"/>
            <w:noWrap/>
          </w:tcPr>
          <w:p w14:paraId="3B0405B9"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 xml:space="preserve">214 </w:t>
            </w:r>
            <w:r>
              <w:rPr>
                <w:rFonts w:eastAsia="Times New Roman" w:cs="Times New Roman"/>
                <w:szCs w:val="20"/>
                <w:lang w:eastAsia="en-AU"/>
              </w:rPr>
              <w:t>-</w:t>
            </w:r>
            <w:r w:rsidRPr="001D5149">
              <w:rPr>
                <w:rFonts w:eastAsia="Times New Roman" w:cs="Times New Roman"/>
                <w:szCs w:val="20"/>
                <w:lang w:eastAsia="en-AU"/>
              </w:rPr>
              <w:t xml:space="preserve"> 273</w:t>
            </w:r>
          </w:p>
        </w:tc>
        <w:tc>
          <w:tcPr>
            <w:tcW w:w="1195" w:type="dxa"/>
          </w:tcPr>
          <w:p w14:paraId="245C6CF7"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4" w:type="dxa"/>
          </w:tcPr>
          <w:p w14:paraId="08CD02A5"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3BEB2F49"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4881D7F7"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3846ED68"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r>
      <w:tr w:rsidR="00006531" w:rsidRPr="00DA74F9" w14:paraId="737F06CD" w14:textId="77777777" w:rsidTr="004F3F99">
        <w:trPr>
          <w:trHeight w:val="170"/>
        </w:trPr>
        <w:tc>
          <w:tcPr>
            <w:tcW w:w="3124" w:type="dxa"/>
            <w:noWrap/>
          </w:tcPr>
          <w:p w14:paraId="0B03DFCD"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Persons 12 - 18 years</w:t>
            </w:r>
          </w:p>
        </w:tc>
        <w:tc>
          <w:tcPr>
            <w:tcW w:w="1194" w:type="dxa"/>
            <w:noWrap/>
          </w:tcPr>
          <w:p w14:paraId="2EAD783E"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color w:val="000000"/>
                <w:szCs w:val="20"/>
                <w:lang w:eastAsia="en-AU"/>
              </w:rPr>
              <w:t>163</w:t>
            </w:r>
          </w:p>
        </w:tc>
        <w:tc>
          <w:tcPr>
            <w:tcW w:w="1195" w:type="dxa"/>
            <w:noWrap/>
          </w:tcPr>
          <w:p w14:paraId="4FEAA1E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 xml:space="preserve">247 </w:t>
            </w:r>
            <w:r>
              <w:rPr>
                <w:rFonts w:eastAsia="Times New Roman" w:cs="Times New Roman"/>
                <w:szCs w:val="20"/>
                <w:lang w:eastAsia="en-AU"/>
              </w:rPr>
              <w:t>-</w:t>
            </w:r>
            <w:r w:rsidRPr="001D5149">
              <w:rPr>
                <w:rFonts w:eastAsia="Times New Roman" w:cs="Times New Roman"/>
                <w:szCs w:val="20"/>
                <w:lang w:eastAsia="en-AU"/>
              </w:rPr>
              <w:t xml:space="preserve"> 365</w:t>
            </w:r>
          </w:p>
        </w:tc>
        <w:tc>
          <w:tcPr>
            <w:tcW w:w="1195" w:type="dxa"/>
          </w:tcPr>
          <w:p w14:paraId="77525B1B"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4" w:type="dxa"/>
          </w:tcPr>
          <w:p w14:paraId="2D7E177E"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5957F9D7"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1F18885F"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0B346122"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r>
      <w:tr w:rsidR="00006531" w:rsidRPr="00DA74F9" w14:paraId="3275606F" w14:textId="77777777" w:rsidTr="004F3F99">
        <w:trPr>
          <w:trHeight w:val="170"/>
        </w:trPr>
        <w:tc>
          <w:tcPr>
            <w:tcW w:w="3124" w:type="dxa"/>
            <w:noWrap/>
            <w:hideMark/>
          </w:tcPr>
          <w:p w14:paraId="6B34E22D"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Males 13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23 months</w:t>
            </w:r>
          </w:p>
        </w:tc>
        <w:tc>
          <w:tcPr>
            <w:tcW w:w="1194" w:type="dxa"/>
            <w:noWrap/>
          </w:tcPr>
          <w:p w14:paraId="66D5D45A"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34407236"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276A6294"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95</w:t>
            </w:r>
          </w:p>
        </w:tc>
        <w:tc>
          <w:tcPr>
            <w:tcW w:w="1194" w:type="dxa"/>
          </w:tcPr>
          <w:p w14:paraId="37547CE4"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3F48085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49753026"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2FC4F846"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r>
      <w:tr w:rsidR="00006531" w:rsidRPr="00DA74F9" w14:paraId="60710CB2" w14:textId="77777777" w:rsidTr="004F3F99">
        <w:trPr>
          <w:trHeight w:val="170"/>
        </w:trPr>
        <w:tc>
          <w:tcPr>
            <w:tcW w:w="3124" w:type="dxa"/>
            <w:noWrap/>
            <w:hideMark/>
          </w:tcPr>
          <w:p w14:paraId="5C015558"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Males 2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3 years</w:t>
            </w:r>
          </w:p>
        </w:tc>
        <w:tc>
          <w:tcPr>
            <w:tcW w:w="1194" w:type="dxa"/>
            <w:noWrap/>
          </w:tcPr>
          <w:p w14:paraId="3A33F4B3"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763F47CC"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74B255F7"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117</w:t>
            </w:r>
          </w:p>
        </w:tc>
        <w:tc>
          <w:tcPr>
            <w:tcW w:w="1194" w:type="dxa"/>
          </w:tcPr>
          <w:p w14:paraId="7898E47B"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1C823759"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4A922421"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6380D4D0"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124</w:t>
            </w:r>
          </w:p>
        </w:tc>
      </w:tr>
      <w:tr w:rsidR="00006531" w:rsidRPr="00DA74F9" w14:paraId="33D9FBB1" w14:textId="77777777" w:rsidTr="004F3F99">
        <w:trPr>
          <w:trHeight w:val="170"/>
        </w:trPr>
        <w:tc>
          <w:tcPr>
            <w:tcW w:w="3124" w:type="dxa"/>
            <w:noWrap/>
            <w:hideMark/>
          </w:tcPr>
          <w:p w14:paraId="6C010066"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Males 4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8 years</w:t>
            </w:r>
          </w:p>
        </w:tc>
        <w:tc>
          <w:tcPr>
            <w:tcW w:w="1194" w:type="dxa"/>
            <w:noWrap/>
          </w:tcPr>
          <w:p w14:paraId="7D792CEE"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2CBDAB9C"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036D50F9"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143</w:t>
            </w:r>
          </w:p>
        </w:tc>
        <w:tc>
          <w:tcPr>
            <w:tcW w:w="1194" w:type="dxa"/>
          </w:tcPr>
          <w:p w14:paraId="13C81702"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7E276431"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483B9C0B"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31DE2FBC"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132</w:t>
            </w:r>
          </w:p>
        </w:tc>
      </w:tr>
      <w:tr w:rsidR="00006531" w:rsidRPr="00DA74F9" w14:paraId="2BE05BCD" w14:textId="77777777" w:rsidTr="004F3F99">
        <w:trPr>
          <w:trHeight w:val="170"/>
        </w:trPr>
        <w:tc>
          <w:tcPr>
            <w:tcW w:w="3124" w:type="dxa"/>
            <w:noWrap/>
            <w:hideMark/>
          </w:tcPr>
          <w:p w14:paraId="4C997836"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Males 9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11 years</w:t>
            </w:r>
          </w:p>
        </w:tc>
        <w:tc>
          <w:tcPr>
            <w:tcW w:w="1194" w:type="dxa"/>
            <w:noWrap/>
          </w:tcPr>
          <w:p w14:paraId="36A59153"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08C4F19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06754943"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173</w:t>
            </w:r>
          </w:p>
        </w:tc>
        <w:tc>
          <w:tcPr>
            <w:tcW w:w="1194" w:type="dxa"/>
          </w:tcPr>
          <w:p w14:paraId="5C88382D"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70DFEFF6"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200</w:t>
            </w:r>
          </w:p>
        </w:tc>
        <w:tc>
          <w:tcPr>
            <w:tcW w:w="1195" w:type="dxa"/>
          </w:tcPr>
          <w:p w14:paraId="5A05937F"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163</w:t>
            </w:r>
          </w:p>
        </w:tc>
        <w:tc>
          <w:tcPr>
            <w:tcW w:w="1195" w:type="dxa"/>
          </w:tcPr>
          <w:p w14:paraId="22F854F7"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170</w:t>
            </w:r>
          </w:p>
        </w:tc>
      </w:tr>
      <w:tr w:rsidR="00006531" w:rsidRPr="00DA74F9" w14:paraId="34AC6B44" w14:textId="77777777" w:rsidTr="004F3F99">
        <w:trPr>
          <w:trHeight w:val="170"/>
        </w:trPr>
        <w:tc>
          <w:tcPr>
            <w:tcW w:w="3124" w:type="dxa"/>
            <w:noWrap/>
          </w:tcPr>
          <w:p w14:paraId="592E99AB"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Males 12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13 years</w:t>
            </w:r>
          </w:p>
        </w:tc>
        <w:tc>
          <w:tcPr>
            <w:tcW w:w="1194" w:type="dxa"/>
            <w:noWrap/>
          </w:tcPr>
          <w:p w14:paraId="6BCA18EC"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432B13D7"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66A4ED8E"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235</w:t>
            </w:r>
          </w:p>
        </w:tc>
        <w:tc>
          <w:tcPr>
            <w:tcW w:w="1194" w:type="dxa"/>
          </w:tcPr>
          <w:p w14:paraId="603A413E"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35E5CD80"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245</w:t>
            </w:r>
          </w:p>
        </w:tc>
        <w:tc>
          <w:tcPr>
            <w:tcW w:w="1195" w:type="dxa"/>
          </w:tcPr>
          <w:p w14:paraId="4C098981"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215</w:t>
            </w:r>
          </w:p>
        </w:tc>
        <w:tc>
          <w:tcPr>
            <w:tcW w:w="1195" w:type="dxa"/>
          </w:tcPr>
          <w:p w14:paraId="24ED0A2F"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224</w:t>
            </w:r>
          </w:p>
        </w:tc>
      </w:tr>
      <w:tr w:rsidR="00006531" w:rsidRPr="00DA74F9" w14:paraId="3C336982" w14:textId="77777777" w:rsidTr="004F3F99">
        <w:trPr>
          <w:trHeight w:val="170"/>
        </w:trPr>
        <w:tc>
          <w:tcPr>
            <w:tcW w:w="3124" w:type="dxa"/>
            <w:noWrap/>
          </w:tcPr>
          <w:p w14:paraId="559BE066"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Males 14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18 years</w:t>
            </w:r>
          </w:p>
        </w:tc>
        <w:tc>
          <w:tcPr>
            <w:tcW w:w="1194" w:type="dxa"/>
            <w:noWrap/>
          </w:tcPr>
          <w:p w14:paraId="57FC9AF2"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10D1135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3FE02A94"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209</w:t>
            </w:r>
          </w:p>
        </w:tc>
        <w:tc>
          <w:tcPr>
            <w:tcW w:w="1194" w:type="dxa"/>
          </w:tcPr>
          <w:p w14:paraId="15CE432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24F35C1B"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230</w:t>
            </w:r>
          </w:p>
        </w:tc>
        <w:tc>
          <w:tcPr>
            <w:tcW w:w="1195" w:type="dxa"/>
          </w:tcPr>
          <w:p w14:paraId="272133F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203</w:t>
            </w:r>
          </w:p>
        </w:tc>
        <w:tc>
          <w:tcPr>
            <w:tcW w:w="1195" w:type="dxa"/>
          </w:tcPr>
          <w:p w14:paraId="3FD3D231"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236</w:t>
            </w:r>
          </w:p>
        </w:tc>
      </w:tr>
      <w:tr w:rsidR="00006531" w:rsidRPr="00DA74F9" w14:paraId="4DF58872" w14:textId="77777777" w:rsidTr="004F3F99">
        <w:trPr>
          <w:trHeight w:val="170"/>
        </w:trPr>
        <w:tc>
          <w:tcPr>
            <w:tcW w:w="3124" w:type="dxa"/>
            <w:noWrap/>
            <w:hideMark/>
          </w:tcPr>
          <w:p w14:paraId="1B63738D"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Females 13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23 months</w:t>
            </w:r>
          </w:p>
        </w:tc>
        <w:tc>
          <w:tcPr>
            <w:tcW w:w="1194" w:type="dxa"/>
            <w:noWrap/>
          </w:tcPr>
          <w:p w14:paraId="51549B19"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35CEF4BC"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5F8FA44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96</w:t>
            </w:r>
          </w:p>
        </w:tc>
        <w:tc>
          <w:tcPr>
            <w:tcW w:w="1194" w:type="dxa"/>
          </w:tcPr>
          <w:p w14:paraId="249E9C7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73E5B5E1"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4E7F7678"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0AF0ABA5"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r>
      <w:tr w:rsidR="00006531" w:rsidRPr="00DA74F9" w14:paraId="3B4DD1D2" w14:textId="77777777" w:rsidTr="004F3F99">
        <w:trPr>
          <w:trHeight w:val="170"/>
        </w:trPr>
        <w:tc>
          <w:tcPr>
            <w:tcW w:w="3124" w:type="dxa"/>
            <w:noWrap/>
          </w:tcPr>
          <w:p w14:paraId="5F805D65"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Females 2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3 years</w:t>
            </w:r>
          </w:p>
        </w:tc>
        <w:tc>
          <w:tcPr>
            <w:tcW w:w="1194" w:type="dxa"/>
            <w:noWrap/>
          </w:tcPr>
          <w:p w14:paraId="5A8BDFAE"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4310F6F2"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7CDE687E"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119</w:t>
            </w:r>
          </w:p>
        </w:tc>
        <w:tc>
          <w:tcPr>
            <w:tcW w:w="1194" w:type="dxa"/>
          </w:tcPr>
          <w:p w14:paraId="7B5BAE05"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072FE696"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53ADCA34"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4D331231"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102</w:t>
            </w:r>
          </w:p>
        </w:tc>
      </w:tr>
      <w:tr w:rsidR="00006531" w:rsidRPr="00DA74F9" w14:paraId="0FACC07B" w14:textId="77777777" w:rsidTr="004F3F99">
        <w:trPr>
          <w:trHeight w:val="170"/>
        </w:trPr>
        <w:tc>
          <w:tcPr>
            <w:tcW w:w="3124" w:type="dxa"/>
            <w:noWrap/>
          </w:tcPr>
          <w:p w14:paraId="33772DF8"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Females 4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8 years</w:t>
            </w:r>
          </w:p>
        </w:tc>
        <w:tc>
          <w:tcPr>
            <w:tcW w:w="1194" w:type="dxa"/>
            <w:noWrap/>
          </w:tcPr>
          <w:p w14:paraId="7E2B6446"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61B2C1D2"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21C280D0"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133</w:t>
            </w:r>
          </w:p>
        </w:tc>
        <w:tc>
          <w:tcPr>
            <w:tcW w:w="1194" w:type="dxa"/>
          </w:tcPr>
          <w:p w14:paraId="3DD47824"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1B11C8FC"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14581F1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13ADDAB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109</w:t>
            </w:r>
          </w:p>
        </w:tc>
      </w:tr>
      <w:tr w:rsidR="00006531" w:rsidRPr="00DA74F9" w14:paraId="4B9DF289" w14:textId="77777777" w:rsidTr="004F3F99">
        <w:trPr>
          <w:trHeight w:val="170"/>
        </w:trPr>
        <w:tc>
          <w:tcPr>
            <w:tcW w:w="3124" w:type="dxa"/>
            <w:noWrap/>
            <w:hideMark/>
          </w:tcPr>
          <w:p w14:paraId="7160D6EB"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Females 9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11 years</w:t>
            </w:r>
          </w:p>
        </w:tc>
        <w:tc>
          <w:tcPr>
            <w:tcW w:w="1194" w:type="dxa"/>
            <w:noWrap/>
          </w:tcPr>
          <w:p w14:paraId="2B21E3F8"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4E335877"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22D5AFFD"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189</w:t>
            </w:r>
          </w:p>
        </w:tc>
        <w:tc>
          <w:tcPr>
            <w:tcW w:w="1194" w:type="dxa"/>
          </w:tcPr>
          <w:p w14:paraId="7ACD3FD1"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2F163CFF"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195</w:t>
            </w:r>
          </w:p>
        </w:tc>
        <w:tc>
          <w:tcPr>
            <w:tcW w:w="1195" w:type="dxa"/>
          </w:tcPr>
          <w:p w14:paraId="032ED716"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158</w:t>
            </w:r>
          </w:p>
        </w:tc>
        <w:tc>
          <w:tcPr>
            <w:tcW w:w="1195" w:type="dxa"/>
          </w:tcPr>
          <w:p w14:paraId="36FE0F4E"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169</w:t>
            </w:r>
          </w:p>
        </w:tc>
      </w:tr>
      <w:tr w:rsidR="00006531" w:rsidRPr="00DA74F9" w14:paraId="52C7EE5A" w14:textId="77777777" w:rsidTr="004F3F99">
        <w:trPr>
          <w:trHeight w:val="170"/>
        </w:trPr>
        <w:tc>
          <w:tcPr>
            <w:tcW w:w="3124" w:type="dxa"/>
            <w:noWrap/>
          </w:tcPr>
          <w:p w14:paraId="056E6264"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Females 12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13 years</w:t>
            </w:r>
          </w:p>
        </w:tc>
        <w:tc>
          <w:tcPr>
            <w:tcW w:w="1194" w:type="dxa"/>
            <w:noWrap/>
          </w:tcPr>
          <w:p w14:paraId="76C14A07"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7041D51E"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2899D35D"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221</w:t>
            </w:r>
          </w:p>
        </w:tc>
        <w:tc>
          <w:tcPr>
            <w:tcW w:w="1194" w:type="dxa"/>
          </w:tcPr>
          <w:p w14:paraId="304E6D2E"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4BBF41BF"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234</w:t>
            </w:r>
          </w:p>
        </w:tc>
        <w:tc>
          <w:tcPr>
            <w:tcW w:w="1195" w:type="dxa"/>
          </w:tcPr>
          <w:p w14:paraId="034A1388"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211</w:t>
            </w:r>
          </w:p>
        </w:tc>
        <w:tc>
          <w:tcPr>
            <w:tcW w:w="1195" w:type="dxa"/>
          </w:tcPr>
          <w:p w14:paraId="4BDC0566"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215</w:t>
            </w:r>
          </w:p>
        </w:tc>
      </w:tr>
      <w:tr w:rsidR="00006531" w:rsidRPr="00DA74F9" w14:paraId="1005DC40" w14:textId="77777777" w:rsidTr="004F3F99">
        <w:trPr>
          <w:trHeight w:val="170"/>
        </w:trPr>
        <w:tc>
          <w:tcPr>
            <w:tcW w:w="3124" w:type="dxa"/>
            <w:noWrap/>
          </w:tcPr>
          <w:p w14:paraId="5B0FCA6F" w14:textId="77777777" w:rsidR="00006531" w:rsidRPr="001D5149" w:rsidRDefault="00006531" w:rsidP="004F3F99">
            <w:pPr>
              <w:spacing w:before="0" w:after="0" w:line="240" w:lineRule="auto"/>
              <w:rPr>
                <w:rFonts w:eastAsia="Times New Roman" w:cs="Times New Roman"/>
                <w:color w:val="000000"/>
                <w:szCs w:val="20"/>
                <w:lang w:eastAsia="en-AU"/>
              </w:rPr>
            </w:pPr>
            <w:r w:rsidRPr="001D5149">
              <w:rPr>
                <w:rFonts w:eastAsia="Times New Roman" w:cs="Times New Roman"/>
                <w:color w:val="000000"/>
                <w:szCs w:val="20"/>
                <w:lang w:eastAsia="en-AU"/>
              </w:rPr>
              <w:t xml:space="preserve">Females 14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18 years</w:t>
            </w:r>
          </w:p>
        </w:tc>
        <w:tc>
          <w:tcPr>
            <w:tcW w:w="1194" w:type="dxa"/>
            <w:noWrap/>
          </w:tcPr>
          <w:p w14:paraId="07D5F911" w14:textId="77777777" w:rsidR="00006531" w:rsidRPr="001D5149" w:rsidRDefault="00006531" w:rsidP="004F3F99">
            <w:pPr>
              <w:spacing w:before="0" w:after="0" w:line="240" w:lineRule="auto"/>
              <w:jc w:val="center"/>
              <w:rPr>
                <w:rFonts w:eastAsia="Times New Roman" w:cs="Times New Roman"/>
                <w:color w:val="000000"/>
                <w:szCs w:val="20"/>
                <w:lang w:eastAsia="en-AU"/>
              </w:rPr>
            </w:pPr>
            <w:r w:rsidRPr="001D5149">
              <w:rPr>
                <w:rFonts w:eastAsia="Times New Roman" w:cs="Times New Roman"/>
                <w:szCs w:val="20"/>
                <w:lang w:eastAsia="en-AU"/>
              </w:rPr>
              <w:t>NR</w:t>
            </w:r>
          </w:p>
        </w:tc>
        <w:tc>
          <w:tcPr>
            <w:tcW w:w="1195" w:type="dxa"/>
            <w:noWrap/>
          </w:tcPr>
          <w:p w14:paraId="36C0B481"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19D97C9A"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212</w:t>
            </w:r>
          </w:p>
        </w:tc>
        <w:tc>
          <w:tcPr>
            <w:tcW w:w="1194" w:type="dxa"/>
          </w:tcPr>
          <w:p w14:paraId="478DDB37"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NR</w:t>
            </w:r>
          </w:p>
        </w:tc>
        <w:tc>
          <w:tcPr>
            <w:tcW w:w="1195" w:type="dxa"/>
          </w:tcPr>
          <w:p w14:paraId="281F9A75"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223</w:t>
            </w:r>
          </w:p>
        </w:tc>
        <w:tc>
          <w:tcPr>
            <w:tcW w:w="1195" w:type="dxa"/>
          </w:tcPr>
          <w:p w14:paraId="5F754D4C"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200</w:t>
            </w:r>
          </w:p>
        </w:tc>
        <w:tc>
          <w:tcPr>
            <w:tcW w:w="1195" w:type="dxa"/>
          </w:tcPr>
          <w:p w14:paraId="322351CC" w14:textId="77777777" w:rsidR="00006531" w:rsidRPr="001D5149" w:rsidRDefault="00006531" w:rsidP="004F3F99">
            <w:pPr>
              <w:spacing w:before="0" w:after="0" w:line="240" w:lineRule="auto"/>
              <w:jc w:val="center"/>
              <w:rPr>
                <w:rFonts w:eastAsia="Times New Roman" w:cs="Times New Roman"/>
                <w:szCs w:val="20"/>
                <w:lang w:eastAsia="en-AU"/>
              </w:rPr>
            </w:pPr>
            <w:r w:rsidRPr="001D5149">
              <w:rPr>
                <w:rFonts w:eastAsia="Times New Roman" w:cs="Times New Roman"/>
                <w:szCs w:val="20"/>
                <w:lang w:eastAsia="en-AU"/>
              </w:rPr>
              <w:t>244</w:t>
            </w:r>
          </w:p>
        </w:tc>
      </w:tr>
    </w:tbl>
    <w:p w14:paraId="4BDF2E42" w14:textId="50E8ABAE" w:rsidR="00006531" w:rsidRDefault="00006531" w:rsidP="00006531">
      <w:pPr>
        <w:pStyle w:val="Heading2"/>
        <w:sectPr w:rsidR="00006531" w:rsidSect="003C7A6E">
          <w:headerReference w:type="even" r:id="rId24"/>
          <w:headerReference w:type="default" r:id="rId25"/>
          <w:footerReference w:type="default" r:id="rId26"/>
          <w:headerReference w:type="first" r:id="rId27"/>
          <w:footnotePr>
            <w:pos w:val="beneathText"/>
          </w:footnotePr>
          <w:pgSz w:w="16838" w:h="11906" w:orient="landscape"/>
          <w:pgMar w:top="993" w:right="1440" w:bottom="1440" w:left="1440" w:header="510" w:footer="510" w:gutter="0"/>
          <w:cols w:space="708"/>
          <w:docGrid w:linePitch="360"/>
        </w:sectPr>
      </w:pPr>
    </w:p>
    <w:p w14:paraId="4B911F2B" w14:textId="44AC7196" w:rsidR="002B0E92" w:rsidRDefault="004F3F99" w:rsidP="002B0E92">
      <w:pPr>
        <w:pStyle w:val="Heading2"/>
      </w:pPr>
      <w:bookmarkStart w:id="157" w:name="_Toc210406402"/>
      <w:bookmarkStart w:id="158" w:name="_Toc212567901"/>
      <w:r>
        <w:lastRenderedPageBreak/>
        <w:t>Proposed Recommendations</w:t>
      </w:r>
      <w:bookmarkEnd w:id="157"/>
      <w:bookmarkEnd w:id="158"/>
    </w:p>
    <w:p w14:paraId="5B898548" w14:textId="77777777" w:rsidR="00564593" w:rsidRPr="00564593" w:rsidRDefault="00564593" w:rsidP="00564593"/>
    <w:tbl>
      <w:tblPr>
        <w:tblStyle w:val="DefaultTable1"/>
        <w:tblW w:w="9376" w:type="dxa"/>
        <w:tblInd w:w="-289" w:type="dxa"/>
        <w:tblLook w:val="0620" w:firstRow="1" w:lastRow="0" w:firstColumn="0" w:lastColumn="0" w:noHBand="1" w:noVBand="1"/>
      </w:tblPr>
      <w:tblGrid>
        <w:gridCol w:w="2552"/>
        <w:gridCol w:w="1176"/>
        <w:gridCol w:w="7"/>
        <w:gridCol w:w="1169"/>
        <w:gridCol w:w="1126"/>
        <w:gridCol w:w="66"/>
        <w:gridCol w:w="1430"/>
        <w:gridCol w:w="1850"/>
      </w:tblGrid>
      <w:tr w:rsidR="002B0E92" w14:paraId="34FBDC34" w14:textId="77777777" w:rsidTr="00564593">
        <w:trPr>
          <w:cnfStyle w:val="100000000000" w:firstRow="1" w:lastRow="0" w:firstColumn="0" w:lastColumn="0" w:oddVBand="0" w:evenVBand="0" w:oddHBand="0" w:evenHBand="0" w:firstRowFirstColumn="0" w:firstRowLastColumn="0" w:lastRowFirstColumn="0" w:lastRowLastColumn="0"/>
        </w:trPr>
        <w:tc>
          <w:tcPr>
            <w:tcW w:w="2552" w:type="dxa"/>
            <w:tcBorders>
              <w:right w:val="single" w:sz="4" w:space="0" w:color="auto"/>
            </w:tcBorders>
            <w:vAlign w:val="center"/>
          </w:tcPr>
          <w:p w14:paraId="513D6C90" w14:textId="18153A71" w:rsidR="002B0E92" w:rsidRPr="00682A86" w:rsidRDefault="002B0E92" w:rsidP="002B0E92">
            <w:pPr>
              <w:spacing w:before="0" w:after="0"/>
              <w:rPr>
                <w:b w:val="0"/>
                <w:bCs w:val="0"/>
              </w:rPr>
            </w:pPr>
            <w:r>
              <w:rPr>
                <w:b w:val="0"/>
                <w:bCs w:val="0"/>
              </w:rPr>
              <w:t>Population</w:t>
            </w:r>
          </w:p>
        </w:tc>
        <w:tc>
          <w:tcPr>
            <w:tcW w:w="1183" w:type="dxa"/>
            <w:gridSpan w:val="2"/>
            <w:tcBorders>
              <w:top w:val="single" w:sz="4" w:space="0" w:color="auto"/>
              <w:left w:val="single" w:sz="4" w:space="0" w:color="auto"/>
              <w:bottom w:val="single" w:sz="4" w:space="0" w:color="auto"/>
              <w:right w:val="single" w:sz="4" w:space="0" w:color="auto"/>
            </w:tcBorders>
            <w:vAlign w:val="center"/>
          </w:tcPr>
          <w:p w14:paraId="3C7AAA14" w14:textId="7C7FE1A4" w:rsidR="002B0E92" w:rsidRDefault="002B0E92" w:rsidP="002B0E92">
            <w:pPr>
              <w:spacing w:before="0" w:after="0"/>
              <w:jc w:val="center"/>
              <w:rPr>
                <w:b w:val="0"/>
                <w:bCs w:val="0"/>
              </w:rPr>
            </w:pPr>
            <w:r>
              <w:rPr>
                <w:b w:val="0"/>
                <w:bCs w:val="0"/>
              </w:rPr>
              <w:t>EAR</w:t>
            </w:r>
            <w:r>
              <w:rPr>
                <w:b w:val="0"/>
                <w:bCs w:val="0"/>
              </w:rPr>
              <w:br/>
              <w:t>(</w:t>
            </w:r>
            <w:r w:rsidRPr="002B0E92">
              <w:rPr>
                <w:b w:val="0"/>
                <w:bCs w:val="0"/>
              </w:rPr>
              <w:t>µ</w:t>
            </w:r>
            <w:r>
              <w:rPr>
                <w:b w:val="0"/>
                <w:bCs w:val="0"/>
              </w:rPr>
              <w:t>g/day)</w:t>
            </w:r>
          </w:p>
        </w:tc>
        <w:tc>
          <w:tcPr>
            <w:tcW w:w="1169" w:type="dxa"/>
            <w:tcBorders>
              <w:left w:val="single" w:sz="4" w:space="0" w:color="auto"/>
            </w:tcBorders>
            <w:vAlign w:val="center"/>
          </w:tcPr>
          <w:p w14:paraId="48DB8BF8" w14:textId="2519B6F0" w:rsidR="002B0E92" w:rsidRDefault="002B0E92" w:rsidP="002B0E92">
            <w:pPr>
              <w:spacing w:before="0" w:after="0"/>
              <w:jc w:val="center"/>
              <w:rPr>
                <w:b w:val="0"/>
                <w:bCs w:val="0"/>
              </w:rPr>
            </w:pPr>
            <w:r>
              <w:rPr>
                <w:b w:val="0"/>
                <w:bCs w:val="0"/>
              </w:rPr>
              <w:t>RDI</w:t>
            </w:r>
            <w:r>
              <w:rPr>
                <w:b w:val="0"/>
                <w:bCs w:val="0"/>
              </w:rPr>
              <w:br/>
            </w:r>
            <w:r w:rsidRPr="002B0E92">
              <w:rPr>
                <w:b w:val="0"/>
                <w:bCs w:val="0"/>
              </w:rPr>
              <w:t>(µg/day)</w:t>
            </w:r>
          </w:p>
        </w:tc>
        <w:tc>
          <w:tcPr>
            <w:tcW w:w="1192" w:type="dxa"/>
            <w:gridSpan w:val="2"/>
            <w:vAlign w:val="center"/>
          </w:tcPr>
          <w:p w14:paraId="2995869B" w14:textId="0018FFC0" w:rsidR="002B0E92" w:rsidRDefault="002B0E92" w:rsidP="002B0E92">
            <w:pPr>
              <w:spacing w:before="0" w:after="0"/>
              <w:jc w:val="center"/>
              <w:rPr>
                <w:b w:val="0"/>
                <w:bCs w:val="0"/>
              </w:rPr>
            </w:pPr>
            <w:r>
              <w:rPr>
                <w:b w:val="0"/>
                <w:bCs w:val="0"/>
              </w:rPr>
              <w:t>AI</w:t>
            </w:r>
            <w:r>
              <w:rPr>
                <w:b w:val="0"/>
                <w:bCs w:val="0"/>
              </w:rPr>
              <w:br/>
            </w:r>
            <w:r w:rsidRPr="002B0E92">
              <w:rPr>
                <w:b w:val="0"/>
                <w:bCs w:val="0"/>
              </w:rPr>
              <w:t>(µg/day)</w:t>
            </w:r>
          </w:p>
        </w:tc>
        <w:tc>
          <w:tcPr>
            <w:tcW w:w="1430" w:type="dxa"/>
            <w:vAlign w:val="center"/>
          </w:tcPr>
          <w:p w14:paraId="6859B628" w14:textId="19658E76" w:rsidR="002B0E92" w:rsidRPr="00682A86" w:rsidRDefault="002B0E92" w:rsidP="002B0E92">
            <w:pPr>
              <w:spacing w:before="0" w:after="0"/>
              <w:jc w:val="center"/>
              <w:rPr>
                <w:b w:val="0"/>
                <w:bCs w:val="0"/>
              </w:rPr>
            </w:pPr>
            <w:r>
              <w:rPr>
                <w:b w:val="0"/>
                <w:bCs w:val="0"/>
              </w:rPr>
              <w:t>UL</w:t>
            </w:r>
            <w:r>
              <w:rPr>
                <w:b w:val="0"/>
                <w:bCs w:val="0"/>
              </w:rPr>
              <w:br/>
            </w:r>
            <w:r w:rsidRPr="002B0E92">
              <w:rPr>
                <w:b w:val="0"/>
                <w:bCs w:val="0"/>
              </w:rPr>
              <w:t>(µg/day)</w:t>
            </w:r>
          </w:p>
        </w:tc>
        <w:tc>
          <w:tcPr>
            <w:tcW w:w="1850" w:type="dxa"/>
            <w:vAlign w:val="center"/>
          </w:tcPr>
          <w:p w14:paraId="54AE122B" w14:textId="673B4715" w:rsidR="002B0E92" w:rsidRPr="00682A86" w:rsidRDefault="002B0E92" w:rsidP="002B0E92">
            <w:pPr>
              <w:spacing w:before="0" w:after="0"/>
              <w:jc w:val="center"/>
              <w:rPr>
                <w:b w:val="0"/>
                <w:bCs w:val="0"/>
              </w:rPr>
            </w:pPr>
            <w:r>
              <w:rPr>
                <w:b w:val="0"/>
                <w:bCs w:val="0"/>
              </w:rPr>
              <w:t>Comment</w:t>
            </w:r>
          </w:p>
        </w:tc>
      </w:tr>
      <w:tr w:rsidR="004F3F99" w14:paraId="1F8B0BD0" w14:textId="77777777" w:rsidTr="002B0E92">
        <w:tc>
          <w:tcPr>
            <w:tcW w:w="9376" w:type="dxa"/>
            <w:gridSpan w:val="8"/>
            <w:tcBorders>
              <w:top w:val="single" w:sz="4" w:space="0" w:color="auto"/>
              <w:left w:val="single" w:sz="4" w:space="0" w:color="auto"/>
              <w:bottom w:val="single" w:sz="4" w:space="0" w:color="auto"/>
              <w:right w:val="single" w:sz="4" w:space="0" w:color="auto"/>
            </w:tcBorders>
            <w:shd w:val="clear" w:color="auto" w:fill="005F85" w:themeFill="accent2"/>
          </w:tcPr>
          <w:p w14:paraId="2C8904D4" w14:textId="77777777" w:rsidR="004F3F99" w:rsidRPr="00682A86" w:rsidRDefault="004F3F99" w:rsidP="002B0E92">
            <w:pPr>
              <w:spacing w:before="0" w:after="0"/>
              <w:rPr>
                <w:color w:val="FFFFFF" w:themeColor="background1"/>
              </w:rPr>
            </w:pPr>
            <w:r w:rsidRPr="00682A86">
              <w:rPr>
                <w:color w:val="FFFFFF" w:themeColor="background1"/>
              </w:rPr>
              <w:t>Infants</w:t>
            </w:r>
          </w:p>
        </w:tc>
      </w:tr>
      <w:tr w:rsidR="00564593" w14:paraId="4BE8CF99" w14:textId="77777777">
        <w:tc>
          <w:tcPr>
            <w:tcW w:w="2552" w:type="dxa"/>
            <w:tcBorders>
              <w:right w:val="single" w:sz="4" w:space="0" w:color="auto"/>
            </w:tcBorders>
          </w:tcPr>
          <w:p w14:paraId="217C281A" w14:textId="77777777" w:rsidR="00564593" w:rsidRDefault="00564593" w:rsidP="002B0E92">
            <w:pPr>
              <w:spacing w:before="0" w:after="0"/>
            </w:pPr>
            <w:r>
              <w:t>0 - 6 months</w:t>
            </w:r>
          </w:p>
        </w:tc>
        <w:tc>
          <w:tcPr>
            <w:tcW w:w="1176" w:type="dxa"/>
            <w:tcBorders>
              <w:top w:val="single" w:sz="4" w:space="0" w:color="auto"/>
              <w:left w:val="single" w:sz="4" w:space="0" w:color="auto"/>
              <w:bottom w:val="single" w:sz="4" w:space="0" w:color="auto"/>
              <w:right w:val="single" w:sz="4" w:space="0" w:color="auto"/>
            </w:tcBorders>
            <w:shd w:val="clear" w:color="auto" w:fill="E5E5E7" w:themeFill="accent5" w:themeFillTint="33"/>
          </w:tcPr>
          <w:p w14:paraId="7CE599CF" w14:textId="77777777" w:rsidR="00564593" w:rsidRDefault="00564593" w:rsidP="002B0E92">
            <w:pPr>
              <w:spacing w:before="0" w:after="0"/>
              <w:jc w:val="center"/>
            </w:pPr>
          </w:p>
        </w:tc>
        <w:tc>
          <w:tcPr>
            <w:tcW w:w="1176" w:type="dxa"/>
            <w:gridSpan w:val="2"/>
            <w:tcBorders>
              <w:top w:val="single" w:sz="4" w:space="0" w:color="auto"/>
              <w:left w:val="single" w:sz="4" w:space="0" w:color="auto"/>
              <w:bottom w:val="single" w:sz="4" w:space="0" w:color="auto"/>
              <w:right w:val="single" w:sz="4" w:space="0" w:color="auto"/>
            </w:tcBorders>
            <w:shd w:val="clear" w:color="auto" w:fill="E5E5E7" w:themeFill="accent5" w:themeFillTint="33"/>
          </w:tcPr>
          <w:p w14:paraId="331B3ED2" w14:textId="24EEEC22" w:rsidR="00564593" w:rsidRDefault="00564593" w:rsidP="002B0E92">
            <w:pPr>
              <w:spacing w:before="0" w:after="0"/>
              <w:jc w:val="center"/>
            </w:pPr>
          </w:p>
        </w:tc>
        <w:tc>
          <w:tcPr>
            <w:tcW w:w="1126" w:type="dxa"/>
            <w:tcBorders>
              <w:left w:val="single" w:sz="4" w:space="0" w:color="auto"/>
            </w:tcBorders>
          </w:tcPr>
          <w:p w14:paraId="3745BBCE" w14:textId="77777777" w:rsidR="00564593" w:rsidRDefault="00564593" w:rsidP="002B0E92">
            <w:pPr>
              <w:spacing w:before="0" w:after="0"/>
              <w:jc w:val="center"/>
            </w:pPr>
            <w:r>
              <w:t>90</w:t>
            </w:r>
          </w:p>
        </w:tc>
        <w:tc>
          <w:tcPr>
            <w:tcW w:w="1496" w:type="dxa"/>
            <w:gridSpan w:val="2"/>
            <w:vMerge w:val="restart"/>
          </w:tcPr>
          <w:p w14:paraId="0942AC8D" w14:textId="77777777" w:rsidR="00564593" w:rsidRDefault="00564593" w:rsidP="002B0E92">
            <w:pPr>
              <w:spacing w:before="0" w:after="0"/>
              <w:jc w:val="center"/>
            </w:pPr>
            <w:r>
              <w:t>Not possible to establish</w:t>
            </w:r>
          </w:p>
        </w:tc>
        <w:tc>
          <w:tcPr>
            <w:tcW w:w="1850" w:type="dxa"/>
            <w:vMerge w:val="restart"/>
          </w:tcPr>
          <w:p w14:paraId="5DE2411D" w14:textId="77777777" w:rsidR="00564593" w:rsidRPr="00CE2CDB" w:rsidRDefault="00564593" w:rsidP="002B0E92">
            <w:pPr>
              <w:spacing w:before="0" w:after="0"/>
              <w:jc w:val="center"/>
              <w:rPr>
                <w:i/>
                <w:iCs/>
              </w:rPr>
            </w:pPr>
            <w:r w:rsidRPr="00CE2CDB">
              <w:rPr>
                <w:i/>
                <w:iCs/>
              </w:rPr>
              <w:t xml:space="preserve">Unchanged </w:t>
            </w:r>
            <w:r>
              <w:rPr>
                <w:i/>
                <w:iCs/>
              </w:rPr>
              <w:t>-</w:t>
            </w:r>
            <w:r w:rsidRPr="00CE2CDB">
              <w:rPr>
                <w:i/>
                <w:iCs/>
              </w:rPr>
              <w:t xml:space="preserve"> not updated in 2025 review</w:t>
            </w:r>
          </w:p>
        </w:tc>
      </w:tr>
      <w:tr w:rsidR="00564593" w14:paraId="5D39B6EB" w14:textId="77777777">
        <w:tc>
          <w:tcPr>
            <w:tcW w:w="2552" w:type="dxa"/>
            <w:tcBorders>
              <w:right w:val="single" w:sz="4" w:space="0" w:color="auto"/>
            </w:tcBorders>
          </w:tcPr>
          <w:p w14:paraId="342C7CEC" w14:textId="77777777" w:rsidR="00564593" w:rsidRDefault="00564593" w:rsidP="002B0E92">
            <w:pPr>
              <w:spacing w:before="0" w:after="0"/>
            </w:pPr>
            <w:r w:rsidRPr="006D0729">
              <w:t xml:space="preserve">7 </w:t>
            </w:r>
            <w:r>
              <w:t xml:space="preserve">- </w:t>
            </w:r>
            <w:r w:rsidRPr="006D0729">
              <w:t>1</w:t>
            </w:r>
            <w:r>
              <w:t>2</w:t>
            </w:r>
            <w:r w:rsidRPr="006D0729">
              <w:t xml:space="preserve"> months</w:t>
            </w:r>
          </w:p>
        </w:tc>
        <w:tc>
          <w:tcPr>
            <w:tcW w:w="1176" w:type="dxa"/>
            <w:tcBorders>
              <w:top w:val="single" w:sz="4" w:space="0" w:color="auto"/>
              <w:left w:val="single" w:sz="4" w:space="0" w:color="auto"/>
              <w:bottom w:val="single" w:sz="4" w:space="0" w:color="auto"/>
              <w:right w:val="single" w:sz="4" w:space="0" w:color="auto"/>
            </w:tcBorders>
            <w:shd w:val="clear" w:color="auto" w:fill="E5E5E7" w:themeFill="accent5" w:themeFillTint="33"/>
          </w:tcPr>
          <w:p w14:paraId="205CD89E" w14:textId="77777777" w:rsidR="00564593" w:rsidRDefault="00564593" w:rsidP="002B0E92">
            <w:pPr>
              <w:spacing w:before="0" w:after="0"/>
              <w:jc w:val="center"/>
            </w:pPr>
          </w:p>
        </w:tc>
        <w:tc>
          <w:tcPr>
            <w:tcW w:w="1176" w:type="dxa"/>
            <w:gridSpan w:val="2"/>
            <w:tcBorders>
              <w:top w:val="single" w:sz="4" w:space="0" w:color="auto"/>
              <w:left w:val="single" w:sz="4" w:space="0" w:color="auto"/>
              <w:bottom w:val="single" w:sz="4" w:space="0" w:color="auto"/>
              <w:right w:val="single" w:sz="4" w:space="0" w:color="auto"/>
            </w:tcBorders>
            <w:shd w:val="clear" w:color="auto" w:fill="E5E5E7" w:themeFill="accent5" w:themeFillTint="33"/>
          </w:tcPr>
          <w:p w14:paraId="29C13916" w14:textId="087C3729" w:rsidR="00564593" w:rsidRDefault="00564593" w:rsidP="002B0E92">
            <w:pPr>
              <w:spacing w:before="0" w:after="0"/>
              <w:jc w:val="center"/>
            </w:pPr>
          </w:p>
        </w:tc>
        <w:tc>
          <w:tcPr>
            <w:tcW w:w="1126" w:type="dxa"/>
            <w:tcBorders>
              <w:left w:val="single" w:sz="4" w:space="0" w:color="auto"/>
            </w:tcBorders>
          </w:tcPr>
          <w:p w14:paraId="74B7C22D" w14:textId="77777777" w:rsidR="00564593" w:rsidRDefault="00564593" w:rsidP="002B0E92">
            <w:pPr>
              <w:spacing w:before="0" w:after="0"/>
              <w:jc w:val="center"/>
            </w:pPr>
            <w:r>
              <w:t>110</w:t>
            </w:r>
          </w:p>
        </w:tc>
        <w:tc>
          <w:tcPr>
            <w:tcW w:w="1496" w:type="dxa"/>
            <w:gridSpan w:val="2"/>
            <w:vMerge/>
          </w:tcPr>
          <w:p w14:paraId="48A13999" w14:textId="77777777" w:rsidR="00564593" w:rsidRDefault="00564593" w:rsidP="002B0E92">
            <w:pPr>
              <w:spacing w:before="0" w:after="0"/>
              <w:jc w:val="center"/>
            </w:pPr>
          </w:p>
        </w:tc>
        <w:tc>
          <w:tcPr>
            <w:tcW w:w="1850" w:type="dxa"/>
            <w:vMerge/>
          </w:tcPr>
          <w:p w14:paraId="6C2B8928" w14:textId="77777777" w:rsidR="00564593" w:rsidRDefault="00564593" w:rsidP="002B0E92">
            <w:pPr>
              <w:spacing w:before="0" w:after="0"/>
              <w:jc w:val="center"/>
            </w:pPr>
          </w:p>
        </w:tc>
      </w:tr>
      <w:tr w:rsidR="004F3F99" w:rsidRPr="00682A86" w14:paraId="39EC4C2E" w14:textId="77777777" w:rsidTr="002B0E92">
        <w:tc>
          <w:tcPr>
            <w:tcW w:w="9376" w:type="dxa"/>
            <w:gridSpan w:val="8"/>
            <w:tcBorders>
              <w:top w:val="single" w:sz="4" w:space="0" w:color="auto"/>
              <w:left w:val="single" w:sz="4" w:space="0" w:color="auto"/>
              <w:bottom w:val="single" w:sz="4" w:space="0" w:color="auto"/>
              <w:right w:val="single" w:sz="4" w:space="0" w:color="auto"/>
            </w:tcBorders>
            <w:shd w:val="clear" w:color="auto" w:fill="005F85" w:themeFill="accent2"/>
          </w:tcPr>
          <w:p w14:paraId="0A2B4B16" w14:textId="77777777" w:rsidR="004F3F99" w:rsidRPr="00682A86" w:rsidRDefault="004F3F99" w:rsidP="002B0E92">
            <w:pPr>
              <w:spacing w:before="0" w:after="0"/>
              <w:rPr>
                <w:color w:val="FFFFFF" w:themeColor="background1"/>
              </w:rPr>
            </w:pPr>
            <w:r w:rsidRPr="00682A86">
              <w:rPr>
                <w:color w:val="FFFFFF" w:themeColor="background1"/>
              </w:rPr>
              <w:t>Children and adolescents</w:t>
            </w:r>
            <w:r>
              <w:rPr>
                <w:color w:val="FFFFFF" w:themeColor="background1"/>
              </w:rPr>
              <w:t xml:space="preserve"> - by NRVs age groupings</w:t>
            </w:r>
          </w:p>
        </w:tc>
      </w:tr>
      <w:tr w:rsidR="002B0E92" w14:paraId="5846E8E5" w14:textId="77777777" w:rsidTr="002B0E92">
        <w:tc>
          <w:tcPr>
            <w:tcW w:w="2552" w:type="dxa"/>
            <w:tcBorders>
              <w:right w:val="single" w:sz="4" w:space="0" w:color="auto"/>
            </w:tcBorders>
          </w:tcPr>
          <w:p w14:paraId="024DE317" w14:textId="77777777" w:rsidR="002B0E92" w:rsidRDefault="002B0E92" w:rsidP="002B0E92">
            <w:pPr>
              <w:spacing w:before="0" w:after="0"/>
            </w:pPr>
            <w:r w:rsidRPr="00C02FD7">
              <w:t xml:space="preserve">1 to </w:t>
            </w:r>
            <w:r>
              <w:t xml:space="preserve">under </w:t>
            </w:r>
            <w:r w:rsidRPr="00C02FD7">
              <w:t>4</w:t>
            </w:r>
            <w:r>
              <w:t xml:space="preserve"> </w:t>
            </w:r>
            <w:r w:rsidRPr="00C02FD7">
              <w:t>y</w:t>
            </w:r>
            <w:r>
              <w:t>ears</w:t>
            </w:r>
          </w:p>
        </w:tc>
        <w:tc>
          <w:tcPr>
            <w:tcW w:w="1183" w:type="dxa"/>
            <w:gridSpan w:val="2"/>
            <w:tcBorders>
              <w:top w:val="single" w:sz="4" w:space="0" w:color="auto"/>
              <w:left w:val="single" w:sz="4" w:space="0" w:color="auto"/>
              <w:bottom w:val="single" w:sz="4" w:space="0" w:color="auto"/>
              <w:right w:val="single" w:sz="4" w:space="0" w:color="auto"/>
            </w:tcBorders>
          </w:tcPr>
          <w:p w14:paraId="010D890E" w14:textId="77777777" w:rsidR="002B0E92" w:rsidRDefault="002B0E92" w:rsidP="002B0E92">
            <w:pPr>
              <w:spacing w:before="0" w:after="0"/>
              <w:jc w:val="center"/>
            </w:pPr>
            <w:r>
              <w:t>65</w:t>
            </w:r>
          </w:p>
        </w:tc>
        <w:tc>
          <w:tcPr>
            <w:tcW w:w="1169" w:type="dxa"/>
            <w:tcBorders>
              <w:top w:val="single" w:sz="4" w:space="0" w:color="auto"/>
              <w:left w:val="single" w:sz="4" w:space="0" w:color="auto"/>
              <w:bottom w:val="single" w:sz="4" w:space="0" w:color="auto"/>
              <w:right w:val="single" w:sz="4" w:space="0" w:color="auto"/>
            </w:tcBorders>
          </w:tcPr>
          <w:p w14:paraId="7F4F8B31" w14:textId="77777777" w:rsidR="002B0E92" w:rsidRDefault="002B0E92" w:rsidP="002B0E92">
            <w:pPr>
              <w:spacing w:before="0" w:after="0"/>
              <w:jc w:val="center"/>
            </w:pPr>
            <w:r>
              <w:t>90</w:t>
            </w:r>
          </w:p>
        </w:tc>
        <w:tc>
          <w:tcPr>
            <w:tcW w:w="1126" w:type="dxa"/>
            <w:tcBorders>
              <w:left w:val="single" w:sz="4" w:space="0" w:color="auto"/>
            </w:tcBorders>
            <w:shd w:val="clear" w:color="auto" w:fill="E5E5E7" w:themeFill="accent5" w:themeFillTint="33"/>
          </w:tcPr>
          <w:p w14:paraId="299BD4FA" w14:textId="77777777" w:rsidR="002B0E92" w:rsidRDefault="002B0E92" w:rsidP="002B0E92">
            <w:pPr>
              <w:spacing w:before="0" w:after="0"/>
              <w:jc w:val="center"/>
            </w:pPr>
          </w:p>
        </w:tc>
        <w:tc>
          <w:tcPr>
            <w:tcW w:w="1496" w:type="dxa"/>
            <w:gridSpan w:val="2"/>
          </w:tcPr>
          <w:p w14:paraId="5A463D21" w14:textId="77777777" w:rsidR="002B0E92" w:rsidRDefault="002B0E92" w:rsidP="002B0E92">
            <w:pPr>
              <w:spacing w:before="0" w:after="0"/>
              <w:jc w:val="center"/>
            </w:pPr>
            <w:r>
              <w:t>200</w:t>
            </w:r>
          </w:p>
        </w:tc>
        <w:tc>
          <w:tcPr>
            <w:tcW w:w="1850" w:type="dxa"/>
          </w:tcPr>
          <w:p w14:paraId="53A411AC" w14:textId="77777777" w:rsidR="002B0E92" w:rsidRDefault="002B0E92" w:rsidP="002B0E92">
            <w:pPr>
              <w:spacing w:before="0" w:after="0"/>
              <w:jc w:val="center"/>
            </w:pPr>
          </w:p>
        </w:tc>
      </w:tr>
      <w:tr w:rsidR="002B0E92" w14:paraId="2435433A" w14:textId="77777777" w:rsidTr="002B0E92">
        <w:tc>
          <w:tcPr>
            <w:tcW w:w="2552" w:type="dxa"/>
            <w:tcBorders>
              <w:right w:val="single" w:sz="4" w:space="0" w:color="auto"/>
            </w:tcBorders>
          </w:tcPr>
          <w:p w14:paraId="402741CE" w14:textId="77777777" w:rsidR="002B0E92" w:rsidRDefault="002B0E92" w:rsidP="002B0E92">
            <w:pPr>
              <w:spacing w:before="0" w:after="0"/>
            </w:pPr>
            <w:r w:rsidRPr="00C02FD7">
              <w:t xml:space="preserve">4 to </w:t>
            </w:r>
            <w:r>
              <w:t xml:space="preserve">under </w:t>
            </w:r>
            <w:r w:rsidRPr="00C02FD7">
              <w:t>9</w:t>
            </w:r>
            <w:r>
              <w:t xml:space="preserve"> </w:t>
            </w:r>
            <w:r w:rsidRPr="00C02FD7">
              <w:t>y</w:t>
            </w:r>
            <w:r>
              <w:t>ears</w:t>
            </w:r>
          </w:p>
        </w:tc>
        <w:tc>
          <w:tcPr>
            <w:tcW w:w="1183" w:type="dxa"/>
            <w:gridSpan w:val="2"/>
            <w:tcBorders>
              <w:top w:val="single" w:sz="4" w:space="0" w:color="auto"/>
              <w:left w:val="single" w:sz="4" w:space="0" w:color="auto"/>
              <w:bottom w:val="single" w:sz="4" w:space="0" w:color="auto"/>
              <w:right w:val="single" w:sz="4" w:space="0" w:color="auto"/>
            </w:tcBorders>
          </w:tcPr>
          <w:p w14:paraId="3D1460D7" w14:textId="77777777" w:rsidR="002B0E92" w:rsidRDefault="002B0E92" w:rsidP="002B0E92">
            <w:pPr>
              <w:spacing w:before="0" w:after="0"/>
              <w:jc w:val="center"/>
            </w:pPr>
            <w:r>
              <w:t>65</w:t>
            </w:r>
          </w:p>
        </w:tc>
        <w:tc>
          <w:tcPr>
            <w:tcW w:w="1169" w:type="dxa"/>
            <w:tcBorders>
              <w:top w:val="single" w:sz="4" w:space="0" w:color="auto"/>
              <w:left w:val="single" w:sz="4" w:space="0" w:color="auto"/>
              <w:bottom w:val="single" w:sz="4" w:space="0" w:color="auto"/>
              <w:right w:val="single" w:sz="4" w:space="0" w:color="auto"/>
            </w:tcBorders>
          </w:tcPr>
          <w:p w14:paraId="51D3EC40" w14:textId="77777777" w:rsidR="002B0E92" w:rsidRDefault="002B0E92" w:rsidP="002B0E92">
            <w:pPr>
              <w:spacing w:before="0" w:after="0"/>
              <w:jc w:val="center"/>
            </w:pPr>
            <w:r>
              <w:t>90</w:t>
            </w:r>
          </w:p>
        </w:tc>
        <w:tc>
          <w:tcPr>
            <w:tcW w:w="1126" w:type="dxa"/>
            <w:tcBorders>
              <w:left w:val="single" w:sz="4" w:space="0" w:color="auto"/>
            </w:tcBorders>
            <w:shd w:val="clear" w:color="auto" w:fill="E5E5E7" w:themeFill="accent5" w:themeFillTint="33"/>
          </w:tcPr>
          <w:p w14:paraId="4A1B2C6A" w14:textId="77777777" w:rsidR="002B0E92" w:rsidRDefault="002B0E92" w:rsidP="002B0E92">
            <w:pPr>
              <w:spacing w:before="0" w:after="0"/>
              <w:jc w:val="center"/>
            </w:pPr>
          </w:p>
        </w:tc>
        <w:tc>
          <w:tcPr>
            <w:tcW w:w="1496" w:type="dxa"/>
            <w:gridSpan w:val="2"/>
          </w:tcPr>
          <w:p w14:paraId="0F83BE32" w14:textId="77777777" w:rsidR="002B0E92" w:rsidRDefault="002B0E92" w:rsidP="002B0E92">
            <w:pPr>
              <w:spacing w:before="0" w:after="0"/>
              <w:jc w:val="center"/>
            </w:pPr>
            <w:r>
              <w:t>300</w:t>
            </w:r>
          </w:p>
        </w:tc>
        <w:tc>
          <w:tcPr>
            <w:tcW w:w="1850" w:type="dxa"/>
          </w:tcPr>
          <w:p w14:paraId="4C2435EB" w14:textId="77777777" w:rsidR="002B0E92" w:rsidRDefault="002B0E92" w:rsidP="002B0E92">
            <w:pPr>
              <w:spacing w:before="0" w:after="0"/>
              <w:jc w:val="center"/>
            </w:pPr>
          </w:p>
        </w:tc>
      </w:tr>
      <w:tr w:rsidR="002B0E92" w14:paraId="472380D2" w14:textId="77777777" w:rsidTr="002B0E92">
        <w:tc>
          <w:tcPr>
            <w:tcW w:w="2552" w:type="dxa"/>
            <w:tcBorders>
              <w:right w:val="single" w:sz="4" w:space="0" w:color="auto"/>
            </w:tcBorders>
          </w:tcPr>
          <w:p w14:paraId="5EAB3D23" w14:textId="77777777" w:rsidR="002B0E92" w:rsidRDefault="002B0E92" w:rsidP="002B0E92">
            <w:pPr>
              <w:spacing w:before="0" w:after="0"/>
            </w:pPr>
            <w:r w:rsidRPr="00C02FD7">
              <w:t xml:space="preserve">9 to </w:t>
            </w:r>
            <w:r>
              <w:t xml:space="preserve">under </w:t>
            </w:r>
            <w:r w:rsidRPr="00C02FD7">
              <w:t>14</w:t>
            </w:r>
            <w:r>
              <w:t xml:space="preserve"> </w:t>
            </w:r>
            <w:r w:rsidRPr="00C02FD7">
              <w:t>y</w:t>
            </w:r>
            <w:r>
              <w:t>ears</w:t>
            </w:r>
          </w:p>
        </w:tc>
        <w:tc>
          <w:tcPr>
            <w:tcW w:w="1183" w:type="dxa"/>
            <w:gridSpan w:val="2"/>
            <w:tcBorders>
              <w:top w:val="single" w:sz="4" w:space="0" w:color="auto"/>
              <w:left w:val="single" w:sz="4" w:space="0" w:color="auto"/>
              <w:bottom w:val="single" w:sz="4" w:space="0" w:color="auto"/>
              <w:right w:val="single" w:sz="4" w:space="0" w:color="auto"/>
            </w:tcBorders>
          </w:tcPr>
          <w:p w14:paraId="6A555E19" w14:textId="77777777" w:rsidR="002B0E92" w:rsidRDefault="002B0E92" w:rsidP="002B0E92">
            <w:pPr>
              <w:spacing w:before="0" w:after="0"/>
              <w:jc w:val="center"/>
            </w:pPr>
            <w:r>
              <w:t>75</w:t>
            </w:r>
          </w:p>
        </w:tc>
        <w:tc>
          <w:tcPr>
            <w:tcW w:w="1169" w:type="dxa"/>
            <w:tcBorders>
              <w:top w:val="single" w:sz="4" w:space="0" w:color="auto"/>
              <w:left w:val="single" w:sz="4" w:space="0" w:color="auto"/>
              <w:bottom w:val="single" w:sz="4" w:space="0" w:color="auto"/>
              <w:right w:val="single" w:sz="4" w:space="0" w:color="auto"/>
            </w:tcBorders>
          </w:tcPr>
          <w:p w14:paraId="6807E4FC" w14:textId="77777777" w:rsidR="002B0E92" w:rsidRDefault="002B0E92" w:rsidP="002B0E92">
            <w:pPr>
              <w:spacing w:before="0" w:after="0"/>
              <w:jc w:val="center"/>
            </w:pPr>
            <w:r>
              <w:t>120</w:t>
            </w:r>
          </w:p>
        </w:tc>
        <w:tc>
          <w:tcPr>
            <w:tcW w:w="1126" w:type="dxa"/>
            <w:tcBorders>
              <w:left w:val="single" w:sz="4" w:space="0" w:color="auto"/>
            </w:tcBorders>
            <w:shd w:val="clear" w:color="auto" w:fill="E5E5E7" w:themeFill="accent5" w:themeFillTint="33"/>
          </w:tcPr>
          <w:p w14:paraId="11E873B6" w14:textId="77777777" w:rsidR="002B0E92" w:rsidRDefault="002B0E92" w:rsidP="002B0E92">
            <w:pPr>
              <w:spacing w:before="0" w:after="0"/>
              <w:jc w:val="center"/>
            </w:pPr>
          </w:p>
        </w:tc>
        <w:tc>
          <w:tcPr>
            <w:tcW w:w="1496" w:type="dxa"/>
            <w:gridSpan w:val="2"/>
          </w:tcPr>
          <w:p w14:paraId="1DABD0A1" w14:textId="77777777" w:rsidR="002B0E92" w:rsidRDefault="002B0E92" w:rsidP="002B0E92">
            <w:pPr>
              <w:spacing w:before="0" w:after="0"/>
              <w:jc w:val="center"/>
            </w:pPr>
            <w:r>
              <w:t>450</w:t>
            </w:r>
          </w:p>
        </w:tc>
        <w:tc>
          <w:tcPr>
            <w:tcW w:w="1850" w:type="dxa"/>
          </w:tcPr>
          <w:p w14:paraId="636F7D37" w14:textId="77777777" w:rsidR="002B0E92" w:rsidRDefault="002B0E92" w:rsidP="002B0E92">
            <w:pPr>
              <w:spacing w:before="0" w:after="0"/>
              <w:jc w:val="center"/>
            </w:pPr>
          </w:p>
        </w:tc>
      </w:tr>
      <w:tr w:rsidR="002B0E92" w14:paraId="5A5E48B2" w14:textId="77777777" w:rsidTr="002B0E92">
        <w:tc>
          <w:tcPr>
            <w:tcW w:w="2552" w:type="dxa"/>
            <w:tcBorders>
              <w:bottom w:val="nil"/>
              <w:right w:val="single" w:sz="4" w:space="0" w:color="auto"/>
            </w:tcBorders>
          </w:tcPr>
          <w:p w14:paraId="1D7DBBC2" w14:textId="77777777" w:rsidR="002B0E92" w:rsidRDefault="002B0E92" w:rsidP="002B0E92">
            <w:pPr>
              <w:spacing w:before="0" w:after="0"/>
            </w:pPr>
            <w:r w:rsidRPr="00C02FD7">
              <w:t xml:space="preserve">14 to </w:t>
            </w:r>
            <w:r>
              <w:t xml:space="preserve">under </w:t>
            </w:r>
            <w:r w:rsidRPr="00C02FD7">
              <w:t>18</w:t>
            </w:r>
            <w:r>
              <w:t xml:space="preserve"> </w:t>
            </w:r>
            <w:r w:rsidRPr="00C02FD7">
              <w:t>y</w:t>
            </w:r>
            <w:r>
              <w:t>ears</w:t>
            </w:r>
          </w:p>
        </w:tc>
        <w:tc>
          <w:tcPr>
            <w:tcW w:w="1183" w:type="dxa"/>
            <w:gridSpan w:val="2"/>
            <w:tcBorders>
              <w:top w:val="single" w:sz="4" w:space="0" w:color="auto"/>
              <w:left w:val="single" w:sz="4" w:space="0" w:color="auto"/>
              <w:bottom w:val="single" w:sz="4" w:space="0" w:color="auto"/>
              <w:right w:val="single" w:sz="4" w:space="0" w:color="auto"/>
            </w:tcBorders>
          </w:tcPr>
          <w:p w14:paraId="7B98CFB3" w14:textId="77777777" w:rsidR="002B0E92" w:rsidRDefault="002B0E92" w:rsidP="002B0E92">
            <w:pPr>
              <w:spacing w:before="0" w:after="0"/>
              <w:jc w:val="center"/>
            </w:pPr>
            <w:r>
              <w:t>95</w:t>
            </w:r>
          </w:p>
        </w:tc>
        <w:tc>
          <w:tcPr>
            <w:tcW w:w="1169" w:type="dxa"/>
            <w:tcBorders>
              <w:top w:val="single" w:sz="4" w:space="0" w:color="auto"/>
              <w:left w:val="single" w:sz="4" w:space="0" w:color="auto"/>
              <w:bottom w:val="single" w:sz="4" w:space="0" w:color="auto"/>
              <w:right w:val="single" w:sz="4" w:space="0" w:color="auto"/>
            </w:tcBorders>
          </w:tcPr>
          <w:p w14:paraId="3064F825" w14:textId="77777777" w:rsidR="002B0E92" w:rsidRDefault="002B0E92" w:rsidP="002B0E92">
            <w:pPr>
              <w:spacing w:before="0" w:after="0"/>
              <w:jc w:val="center"/>
            </w:pPr>
            <w:r>
              <w:t>150</w:t>
            </w:r>
          </w:p>
        </w:tc>
        <w:tc>
          <w:tcPr>
            <w:tcW w:w="1126" w:type="dxa"/>
            <w:tcBorders>
              <w:left w:val="single" w:sz="4" w:space="0" w:color="auto"/>
              <w:bottom w:val="nil"/>
            </w:tcBorders>
            <w:shd w:val="clear" w:color="auto" w:fill="E5E5E7" w:themeFill="accent5" w:themeFillTint="33"/>
          </w:tcPr>
          <w:p w14:paraId="2C906F7F" w14:textId="77777777" w:rsidR="002B0E92" w:rsidRDefault="002B0E92" w:rsidP="002B0E92">
            <w:pPr>
              <w:spacing w:before="0" w:after="0"/>
              <w:jc w:val="center"/>
            </w:pPr>
          </w:p>
        </w:tc>
        <w:tc>
          <w:tcPr>
            <w:tcW w:w="1496" w:type="dxa"/>
            <w:gridSpan w:val="2"/>
            <w:tcBorders>
              <w:bottom w:val="nil"/>
            </w:tcBorders>
          </w:tcPr>
          <w:p w14:paraId="3C121CA0" w14:textId="77777777" w:rsidR="002B0E92" w:rsidRDefault="002B0E92" w:rsidP="002B0E92">
            <w:pPr>
              <w:spacing w:before="0" w:after="0"/>
              <w:jc w:val="center"/>
            </w:pPr>
            <w:r>
              <w:t>550</w:t>
            </w:r>
          </w:p>
        </w:tc>
        <w:tc>
          <w:tcPr>
            <w:tcW w:w="1850" w:type="dxa"/>
            <w:tcBorders>
              <w:bottom w:val="nil"/>
            </w:tcBorders>
          </w:tcPr>
          <w:p w14:paraId="1DE0F687" w14:textId="77777777" w:rsidR="002B0E92" w:rsidRDefault="002B0E92" w:rsidP="002B0E92">
            <w:pPr>
              <w:spacing w:before="0" w:after="0"/>
              <w:jc w:val="center"/>
            </w:pPr>
          </w:p>
        </w:tc>
      </w:tr>
      <w:tr w:rsidR="004F3F99" w:rsidRPr="00682A86" w14:paraId="2090B9E1" w14:textId="77777777" w:rsidTr="002B0E92">
        <w:tc>
          <w:tcPr>
            <w:tcW w:w="9376" w:type="dxa"/>
            <w:gridSpan w:val="8"/>
            <w:tcBorders>
              <w:top w:val="single" w:sz="4" w:space="0" w:color="auto"/>
              <w:left w:val="single" w:sz="4" w:space="0" w:color="auto"/>
              <w:bottom w:val="single" w:sz="4" w:space="0" w:color="auto"/>
              <w:right w:val="single" w:sz="4" w:space="0" w:color="auto"/>
            </w:tcBorders>
            <w:shd w:val="clear" w:color="auto" w:fill="005F85" w:themeFill="accent2"/>
          </w:tcPr>
          <w:p w14:paraId="6E17C295" w14:textId="77777777" w:rsidR="004F3F99" w:rsidRPr="00682A86" w:rsidRDefault="004F3F99" w:rsidP="002B0E92">
            <w:pPr>
              <w:spacing w:before="0" w:after="0"/>
              <w:rPr>
                <w:color w:val="FFFFFF" w:themeColor="background1"/>
              </w:rPr>
            </w:pPr>
            <w:r>
              <w:rPr>
                <w:color w:val="FFFFFF" w:themeColor="background1"/>
              </w:rPr>
              <w:t>Alternative c</w:t>
            </w:r>
            <w:r w:rsidRPr="00682A86">
              <w:rPr>
                <w:color w:val="FFFFFF" w:themeColor="background1"/>
              </w:rPr>
              <w:t>hildren and adolescents</w:t>
            </w:r>
            <w:r>
              <w:rPr>
                <w:color w:val="FFFFFF" w:themeColor="background1"/>
              </w:rPr>
              <w:t xml:space="preserve"> - by school-age groupings</w:t>
            </w:r>
          </w:p>
        </w:tc>
      </w:tr>
      <w:tr w:rsidR="002B0E92" w14:paraId="5034B123" w14:textId="77777777" w:rsidTr="002B0E92">
        <w:tc>
          <w:tcPr>
            <w:tcW w:w="2552" w:type="dxa"/>
            <w:tcBorders>
              <w:top w:val="nil"/>
              <w:right w:val="single" w:sz="4" w:space="0" w:color="auto"/>
            </w:tcBorders>
          </w:tcPr>
          <w:p w14:paraId="51352234" w14:textId="77777777" w:rsidR="002B0E92" w:rsidRDefault="002B0E92" w:rsidP="002B0E92">
            <w:pPr>
              <w:spacing w:before="0" w:after="0"/>
            </w:pPr>
            <w:r w:rsidRPr="009119C7">
              <w:rPr>
                <w:rFonts w:eastAsia="Times New Roman"/>
                <w:szCs w:val="20"/>
              </w:rPr>
              <w:t>1</w:t>
            </w:r>
            <w:r>
              <w:rPr>
                <w:rFonts w:eastAsia="Times New Roman"/>
                <w:szCs w:val="20"/>
              </w:rPr>
              <w:t>2</w:t>
            </w:r>
            <w:r w:rsidRPr="009119C7">
              <w:rPr>
                <w:rFonts w:eastAsia="Times New Roman"/>
                <w:szCs w:val="20"/>
              </w:rPr>
              <w:t xml:space="preserve"> to under 24 months</w:t>
            </w:r>
          </w:p>
        </w:tc>
        <w:tc>
          <w:tcPr>
            <w:tcW w:w="1183" w:type="dxa"/>
            <w:gridSpan w:val="2"/>
            <w:tcBorders>
              <w:top w:val="single" w:sz="4" w:space="0" w:color="auto"/>
              <w:left w:val="single" w:sz="4" w:space="0" w:color="auto"/>
              <w:bottom w:val="single" w:sz="4" w:space="0" w:color="auto"/>
              <w:right w:val="single" w:sz="4" w:space="0" w:color="auto"/>
            </w:tcBorders>
          </w:tcPr>
          <w:p w14:paraId="7E6DF7D5" w14:textId="77777777" w:rsidR="002B0E92" w:rsidRDefault="002B0E92" w:rsidP="002B0E92">
            <w:pPr>
              <w:spacing w:before="0" w:after="0"/>
              <w:jc w:val="center"/>
            </w:pPr>
            <w:r>
              <w:t>65</w:t>
            </w:r>
          </w:p>
        </w:tc>
        <w:tc>
          <w:tcPr>
            <w:tcW w:w="1169" w:type="dxa"/>
            <w:tcBorders>
              <w:top w:val="single" w:sz="4" w:space="0" w:color="auto"/>
              <w:left w:val="single" w:sz="4" w:space="0" w:color="auto"/>
              <w:bottom w:val="single" w:sz="4" w:space="0" w:color="auto"/>
              <w:right w:val="single" w:sz="4" w:space="0" w:color="auto"/>
            </w:tcBorders>
          </w:tcPr>
          <w:p w14:paraId="5BC9A981" w14:textId="77777777" w:rsidR="002B0E92" w:rsidRDefault="002B0E92" w:rsidP="002B0E92">
            <w:pPr>
              <w:spacing w:before="0" w:after="0"/>
              <w:jc w:val="center"/>
            </w:pPr>
            <w:r>
              <w:t>90</w:t>
            </w:r>
          </w:p>
        </w:tc>
        <w:tc>
          <w:tcPr>
            <w:tcW w:w="1126" w:type="dxa"/>
            <w:tcBorders>
              <w:top w:val="nil"/>
              <w:left w:val="single" w:sz="4" w:space="0" w:color="auto"/>
            </w:tcBorders>
            <w:shd w:val="clear" w:color="auto" w:fill="E5E5E7" w:themeFill="accent5" w:themeFillTint="33"/>
          </w:tcPr>
          <w:p w14:paraId="62788EE8" w14:textId="77777777" w:rsidR="002B0E92" w:rsidRDefault="002B0E92" w:rsidP="002B0E92">
            <w:pPr>
              <w:spacing w:before="0" w:after="0"/>
              <w:jc w:val="center"/>
            </w:pPr>
          </w:p>
        </w:tc>
        <w:tc>
          <w:tcPr>
            <w:tcW w:w="1496" w:type="dxa"/>
            <w:gridSpan w:val="2"/>
            <w:tcBorders>
              <w:top w:val="nil"/>
            </w:tcBorders>
          </w:tcPr>
          <w:p w14:paraId="460F3A57" w14:textId="77777777" w:rsidR="002B0E92" w:rsidRDefault="002B0E92" w:rsidP="002B0E92">
            <w:pPr>
              <w:spacing w:before="0" w:after="0"/>
              <w:jc w:val="center"/>
            </w:pPr>
            <w:r>
              <w:t>200</w:t>
            </w:r>
          </w:p>
        </w:tc>
        <w:tc>
          <w:tcPr>
            <w:tcW w:w="1850" w:type="dxa"/>
            <w:tcBorders>
              <w:top w:val="nil"/>
            </w:tcBorders>
          </w:tcPr>
          <w:p w14:paraId="513DF033" w14:textId="77777777" w:rsidR="002B0E92" w:rsidRDefault="002B0E92" w:rsidP="002B0E92">
            <w:pPr>
              <w:spacing w:before="0" w:after="0"/>
              <w:jc w:val="center"/>
            </w:pPr>
          </w:p>
        </w:tc>
      </w:tr>
      <w:tr w:rsidR="002B0E92" w14:paraId="5866F40F" w14:textId="77777777" w:rsidTr="002B0E92">
        <w:tc>
          <w:tcPr>
            <w:tcW w:w="2552" w:type="dxa"/>
            <w:tcBorders>
              <w:right w:val="single" w:sz="4" w:space="0" w:color="auto"/>
            </w:tcBorders>
          </w:tcPr>
          <w:p w14:paraId="123C28A3" w14:textId="77777777" w:rsidR="002B0E92" w:rsidRDefault="002B0E92" w:rsidP="002B0E92">
            <w:pPr>
              <w:spacing w:before="0" w:after="0"/>
            </w:pPr>
            <w:r w:rsidRPr="009119C7">
              <w:rPr>
                <w:rFonts w:eastAsia="Times New Roman"/>
                <w:szCs w:val="20"/>
              </w:rPr>
              <w:t>2 to under 5 years</w:t>
            </w:r>
          </w:p>
        </w:tc>
        <w:tc>
          <w:tcPr>
            <w:tcW w:w="1183" w:type="dxa"/>
            <w:gridSpan w:val="2"/>
            <w:tcBorders>
              <w:top w:val="single" w:sz="4" w:space="0" w:color="auto"/>
              <w:left w:val="single" w:sz="4" w:space="0" w:color="auto"/>
              <w:bottom w:val="single" w:sz="4" w:space="0" w:color="auto"/>
              <w:right w:val="single" w:sz="4" w:space="0" w:color="auto"/>
            </w:tcBorders>
          </w:tcPr>
          <w:p w14:paraId="28EFAAF1" w14:textId="77777777" w:rsidR="002B0E92" w:rsidRDefault="002B0E92" w:rsidP="002B0E92">
            <w:pPr>
              <w:spacing w:before="0" w:after="0"/>
              <w:jc w:val="center"/>
            </w:pPr>
            <w:r>
              <w:t>65</w:t>
            </w:r>
          </w:p>
        </w:tc>
        <w:tc>
          <w:tcPr>
            <w:tcW w:w="1169" w:type="dxa"/>
            <w:tcBorders>
              <w:top w:val="single" w:sz="4" w:space="0" w:color="auto"/>
              <w:left w:val="single" w:sz="4" w:space="0" w:color="auto"/>
              <w:bottom w:val="single" w:sz="4" w:space="0" w:color="auto"/>
              <w:right w:val="single" w:sz="4" w:space="0" w:color="auto"/>
            </w:tcBorders>
          </w:tcPr>
          <w:p w14:paraId="0D7D9C19" w14:textId="77777777" w:rsidR="002B0E92" w:rsidRDefault="002B0E92" w:rsidP="002B0E92">
            <w:pPr>
              <w:spacing w:before="0" w:after="0"/>
              <w:jc w:val="center"/>
            </w:pPr>
            <w:r>
              <w:t>90</w:t>
            </w:r>
          </w:p>
        </w:tc>
        <w:tc>
          <w:tcPr>
            <w:tcW w:w="1126" w:type="dxa"/>
            <w:tcBorders>
              <w:left w:val="single" w:sz="4" w:space="0" w:color="auto"/>
            </w:tcBorders>
            <w:shd w:val="clear" w:color="auto" w:fill="E5E5E7" w:themeFill="accent5" w:themeFillTint="33"/>
          </w:tcPr>
          <w:p w14:paraId="26DA1591" w14:textId="77777777" w:rsidR="002B0E92" w:rsidRDefault="002B0E92" w:rsidP="002B0E92">
            <w:pPr>
              <w:spacing w:before="0" w:after="0"/>
              <w:jc w:val="center"/>
            </w:pPr>
          </w:p>
        </w:tc>
        <w:tc>
          <w:tcPr>
            <w:tcW w:w="1496" w:type="dxa"/>
            <w:gridSpan w:val="2"/>
          </w:tcPr>
          <w:p w14:paraId="177A3525" w14:textId="77777777" w:rsidR="002B0E92" w:rsidRDefault="002B0E92" w:rsidP="002B0E92">
            <w:pPr>
              <w:spacing w:before="0" w:after="0"/>
              <w:jc w:val="center"/>
            </w:pPr>
            <w:r>
              <w:t>250</w:t>
            </w:r>
          </w:p>
        </w:tc>
        <w:tc>
          <w:tcPr>
            <w:tcW w:w="1850" w:type="dxa"/>
          </w:tcPr>
          <w:p w14:paraId="46557B46" w14:textId="77777777" w:rsidR="002B0E92" w:rsidRDefault="002B0E92" w:rsidP="002B0E92">
            <w:pPr>
              <w:spacing w:before="0" w:after="0"/>
              <w:jc w:val="center"/>
            </w:pPr>
          </w:p>
        </w:tc>
      </w:tr>
      <w:tr w:rsidR="002B0E92" w14:paraId="14BCA7DC" w14:textId="77777777" w:rsidTr="002B0E92">
        <w:tc>
          <w:tcPr>
            <w:tcW w:w="2552" w:type="dxa"/>
            <w:tcBorders>
              <w:right w:val="single" w:sz="4" w:space="0" w:color="auto"/>
            </w:tcBorders>
          </w:tcPr>
          <w:p w14:paraId="27FDE69F" w14:textId="77777777" w:rsidR="002B0E92" w:rsidRDefault="002B0E92" w:rsidP="002B0E92">
            <w:pPr>
              <w:spacing w:before="0" w:after="0"/>
            </w:pPr>
            <w:r w:rsidRPr="009119C7">
              <w:rPr>
                <w:rFonts w:eastAsia="Times New Roman"/>
                <w:szCs w:val="20"/>
              </w:rPr>
              <w:t>5 to under 12 years</w:t>
            </w:r>
          </w:p>
        </w:tc>
        <w:tc>
          <w:tcPr>
            <w:tcW w:w="1183" w:type="dxa"/>
            <w:gridSpan w:val="2"/>
            <w:tcBorders>
              <w:top w:val="single" w:sz="4" w:space="0" w:color="auto"/>
              <w:left w:val="single" w:sz="4" w:space="0" w:color="auto"/>
              <w:bottom w:val="single" w:sz="4" w:space="0" w:color="auto"/>
              <w:right w:val="single" w:sz="4" w:space="0" w:color="auto"/>
            </w:tcBorders>
          </w:tcPr>
          <w:p w14:paraId="528521AD" w14:textId="77777777" w:rsidR="002B0E92" w:rsidRDefault="002B0E92" w:rsidP="002B0E92">
            <w:pPr>
              <w:spacing w:before="0" w:after="0"/>
              <w:jc w:val="center"/>
            </w:pPr>
            <w:r>
              <w:t>70</w:t>
            </w:r>
          </w:p>
        </w:tc>
        <w:tc>
          <w:tcPr>
            <w:tcW w:w="1169" w:type="dxa"/>
            <w:tcBorders>
              <w:top w:val="single" w:sz="4" w:space="0" w:color="auto"/>
              <w:left w:val="single" w:sz="4" w:space="0" w:color="auto"/>
              <w:bottom w:val="single" w:sz="4" w:space="0" w:color="auto"/>
              <w:right w:val="single" w:sz="4" w:space="0" w:color="auto"/>
            </w:tcBorders>
          </w:tcPr>
          <w:p w14:paraId="5869CCDD" w14:textId="77777777" w:rsidR="002B0E92" w:rsidRDefault="002B0E92" w:rsidP="002B0E92">
            <w:pPr>
              <w:spacing w:before="0" w:after="0"/>
              <w:jc w:val="center"/>
            </w:pPr>
            <w:r>
              <w:t>110</w:t>
            </w:r>
          </w:p>
        </w:tc>
        <w:tc>
          <w:tcPr>
            <w:tcW w:w="1126" w:type="dxa"/>
            <w:tcBorders>
              <w:left w:val="single" w:sz="4" w:space="0" w:color="auto"/>
            </w:tcBorders>
            <w:shd w:val="clear" w:color="auto" w:fill="E5E5E7" w:themeFill="accent5" w:themeFillTint="33"/>
          </w:tcPr>
          <w:p w14:paraId="6DE528BA" w14:textId="77777777" w:rsidR="002B0E92" w:rsidRDefault="002B0E92" w:rsidP="002B0E92">
            <w:pPr>
              <w:spacing w:before="0" w:after="0"/>
              <w:jc w:val="center"/>
            </w:pPr>
          </w:p>
        </w:tc>
        <w:tc>
          <w:tcPr>
            <w:tcW w:w="1496" w:type="dxa"/>
            <w:gridSpan w:val="2"/>
          </w:tcPr>
          <w:p w14:paraId="0B585DBC" w14:textId="77777777" w:rsidR="002B0E92" w:rsidRDefault="002B0E92" w:rsidP="002B0E92">
            <w:pPr>
              <w:spacing w:before="0" w:after="0"/>
              <w:jc w:val="center"/>
            </w:pPr>
            <w:r>
              <w:t>350</w:t>
            </w:r>
          </w:p>
        </w:tc>
        <w:tc>
          <w:tcPr>
            <w:tcW w:w="1850" w:type="dxa"/>
          </w:tcPr>
          <w:p w14:paraId="5810BA01" w14:textId="77777777" w:rsidR="002B0E92" w:rsidRDefault="002B0E92" w:rsidP="002B0E92">
            <w:pPr>
              <w:spacing w:before="0" w:after="0"/>
              <w:jc w:val="center"/>
            </w:pPr>
          </w:p>
        </w:tc>
      </w:tr>
      <w:tr w:rsidR="002B0E92" w14:paraId="3B92DA12" w14:textId="77777777" w:rsidTr="002B0E92">
        <w:tc>
          <w:tcPr>
            <w:tcW w:w="2552" w:type="dxa"/>
            <w:tcBorders>
              <w:right w:val="single" w:sz="4" w:space="0" w:color="auto"/>
            </w:tcBorders>
          </w:tcPr>
          <w:p w14:paraId="6C1D461A" w14:textId="77777777" w:rsidR="002B0E92" w:rsidRDefault="002B0E92" w:rsidP="002B0E92">
            <w:pPr>
              <w:spacing w:before="0" w:after="0"/>
            </w:pPr>
            <w:r w:rsidRPr="009119C7">
              <w:rPr>
                <w:rFonts w:eastAsia="Times New Roman"/>
                <w:szCs w:val="20"/>
              </w:rPr>
              <w:t>12 to under 18 years</w:t>
            </w:r>
          </w:p>
        </w:tc>
        <w:tc>
          <w:tcPr>
            <w:tcW w:w="1183" w:type="dxa"/>
            <w:gridSpan w:val="2"/>
            <w:tcBorders>
              <w:top w:val="single" w:sz="4" w:space="0" w:color="auto"/>
              <w:left w:val="single" w:sz="4" w:space="0" w:color="auto"/>
              <w:bottom w:val="single" w:sz="4" w:space="0" w:color="auto"/>
              <w:right w:val="single" w:sz="4" w:space="0" w:color="auto"/>
            </w:tcBorders>
          </w:tcPr>
          <w:p w14:paraId="3A174137" w14:textId="77777777" w:rsidR="002B0E92" w:rsidRDefault="002B0E92" w:rsidP="002B0E92">
            <w:pPr>
              <w:spacing w:before="0" w:after="0"/>
              <w:jc w:val="center"/>
            </w:pPr>
            <w:r>
              <w:t>90</w:t>
            </w:r>
          </w:p>
        </w:tc>
        <w:tc>
          <w:tcPr>
            <w:tcW w:w="1169" w:type="dxa"/>
            <w:tcBorders>
              <w:top w:val="single" w:sz="4" w:space="0" w:color="auto"/>
              <w:left w:val="single" w:sz="4" w:space="0" w:color="auto"/>
              <w:bottom w:val="single" w:sz="4" w:space="0" w:color="auto"/>
              <w:right w:val="single" w:sz="4" w:space="0" w:color="auto"/>
            </w:tcBorders>
          </w:tcPr>
          <w:p w14:paraId="292DB8DE" w14:textId="77777777" w:rsidR="002B0E92" w:rsidRDefault="002B0E92" w:rsidP="002B0E92">
            <w:pPr>
              <w:spacing w:before="0" w:after="0"/>
              <w:jc w:val="center"/>
            </w:pPr>
            <w:r>
              <w:t>140</w:t>
            </w:r>
          </w:p>
        </w:tc>
        <w:tc>
          <w:tcPr>
            <w:tcW w:w="1126" w:type="dxa"/>
            <w:tcBorders>
              <w:left w:val="single" w:sz="4" w:space="0" w:color="auto"/>
            </w:tcBorders>
            <w:shd w:val="clear" w:color="auto" w:fill="E5E5E7" w:themeFill="accent5" w:themeFillTint="33"/>
          </w:tcPr>
          <w:p w14:paraId="5A19E6FA" w14:textId="77777777" w:rsidR="002B0E92" w:rsidRDefault="002B0E92" w:rsidP="002B0E92">
            <w:pPr>
              <w:spacing w:before="0" w:after="0"/>
              <w:jc w:val="center"/>
            </w:pPr>
          </w:p>
        </w:tc>
        <w:tc>
          <w:tcPr>
            <w:tcW w:w="1496" w:type="dxa"/>
            <w:gridSpan w:val="2"/>
          </w:tcPr>
          <w:p w14:paraId="2EBEE5DB" w14:textId="77777777" w:rsidR="002B0E92" w:rsidRDefault="002B0E92" w:rsidP="002B0E92">
            <w:pPr>
              <w:spacing w:before="0" w:after="0"/>
              <w:jc w:val="center"/>
            </w:pPr>
            <w:r>
              <w:t>500</w:t>
            </w:r>
          </w:p>
        </w:tc>
        <w:tc>
          <w:tcPr>
            <w:tcW w:w="1850" w:type="dxa"/>
          </w:tcPr>
          <w:p w14:paraId="6C84BEA6" w14:textId="77777777" w:rsidR="002B0E92" w:rsidRDefault="002B0E92" w:rsidP="002B0E92">
            <w:pPr>
              <w:spacing w:before="0" w:after="0"/>
              <w:jc w:val="center"/>
            </w:pPr>
          </w:p>
        </w:tc>
      </w:tr>
      <w:tr w:rsidR="004F3F99" w:rsidRPr="00682A86" w14:paraId="13B1B8F8" w14:textId="77777777" w:rsidTr="002B0E92">
        <w:tc>
          <w:tcPr>
            <w:tcW w:w="9376" w:type="dxa"/>
            <w:gridSpan w:val="8"/>
            <w:tcBorders>
              <w:top w:val="single" w:sz="4" w:space="0" w:color="auto"/>
              <w:left w:val="single" w:sz="4" w:space="0" w:color="auto"/>
              <w:bottom w:val="single" w:sz="4" w:space="0" w:color="auto"/>
              <w:right w:val="single" w:sz="4" w:space="0" w:color="auto"/>
            </w:tcBorders>
            <w:shd w:val="clear" w:color="auto" w:fill="005F85" w:themeFill="accent2"/>
          </w:tcPr>
          <w:p w14:paraId="0BC4B072" w14:textId="77777777" w:rsidR="004F3F99" w:rsidRPr="00682A86" w:rsidRDefault="004F3F99" w:rsidP="002B0E92">
            <w:pPr>
              <w:spacing w:before="0" w:after="0"/>
              <w:rPr>
                <w:color w:val="FFFFFF" w:themeColor="background1"/>
              </w:rPr>
            </w:pPr>
            <w:r w:rsidRPr="00682A86">
              <w:rPr>
                <w:color w:val="FFFFFF" w:themeColor="background1"/>
              </w:rPr>
              <w:t>Adults</w:t>
            </w:r>
          </w:p>
        </w:tc>
      </w:tr>
      <w:tr w:rsidR="002B0E92" w14:paraId="4077115B" w14:textId="77777777" w:rsidTr="002B0E92">
        <w:tc>
          <w:tcPr>
            <w:tcW w:w="2552" w:type="dxa"/>
            <w:tcBorders>
              <w:right w:val="single" w:sz="4" w:space="0" w:color="auto"/>
            </w:tcBorders>
          </w:tcPr>
          <w:p w14:paraId="564175C7" w14:textId="77777777" w:rsidR="002B0E92" w:rsidRDefault="002B0E92" w:rsidP="002B0E92">
            <w:pPr>
              <w:spacing w:before="0" w:after="0"/>
            </w:pPr>
            <w:r w:rsidRPr="006D0729">
              <w:t>18 to under 30 years</w:t>
            </w:r>
          </w:p>
        </w:tc>
        <w:tc>
          <w:tcPr>
            <w:tcW w:w="1183" w:type="dxa"/>
            <w:gridSpan w:val="2"/>
            <w:tcBorders>
              <w:top w:val="single" w:sz="4" w:space="0" w:color="auto"/>
              <w:left w:val="single" w:sz="4" w:space="0" w:color="auto"/>
              <w:bottom w:val="single" w:sz="4" w:space="0" w:color="auto"/>
              <w:right w:val="single" w:sz="4" w:space="0" w:color="auto"/>
            </w:tcBorders>
          </w:tcPr>
          <w:p w14:paraId="28504842" w14:textId="77777777" w:rsidR="002B0E92" w:rsidRDefault="002B0E92" w:rsidP="002B0E92">
            <w:pPr>
              <w:spacing w:before="0" w:after="0"/>
              <w:jc w:val="center"/>
            </w:pPr>
            <w:r>
              <w:t>100</w:t>
            </w:r>
          </w:p>
        </w:tc>
        <w:tc>
          <w:tcPr>
            <w:tcW w:w="1169" w:type="dxa"/>
            <w:tcBorders>
              <w:top w:val="single" w:sz="4" w:space="0" w:color="auto"/>
              <w:left w:val="single" w:sz="4" w:space="0" w:color="auto"/>
              <w:bottom w:val="single" w:sz="4" w:space="0" w:color="auto"/>
              <w:right w:val="single" w:sz="4" w:space="0" w:color="auto"/>
            </w:tcBorders>
          </w:tcPr>
          <w:p w14:paraId="2AF0D436" w14:textId="77777777" w:rsidR="002B0E92" w:rsidRDefault="002B0E92" w:rsidP="002B0E92">
            <w:pPr>
              <w:spacing w:before="0" w:after="0"/>
              <w:jc w:val="center"/>
            </w:pPr>
            <w:r>
              <w:t>150</w:t>
            </w:r>
          </w:p>
        </w:tc>
        <w:tc>
          <w:tcPr>
            <w:tcW w:w="1126" w:type="dxa"/>
            <w:tcBorders>
              <w:left w:val="single" w:sz="4" w:space="0" w:color="auto"/>
            </w:tcBorders>
            <w:shd w:val="clear" w:color="auto" w:fill="E5E5E7" w:themeFill="accent5" w:themeFillTint="33"/>
          </w:tcPr>
          <w:p w14:paraId="7409D2FD" w14:textId="77777777" w:rsidR="002B0E92" w:rsidRDefault="002B0E92" w:rsidP="002B0E92">
            <w:pPr>
              <w:spacing w:before="0" w:after="0"/>
              <w:jc w:val="center"/>
            </w:pPr>
          </w:p>
        </w:tc>
        <w:tc>
          <w:tcPr>
            <w:tcW w:w="1496" w:type="dxa"/>
            <w:gridSpan w:val="2"/>
          </w:tcPr>
          <w:p w14:paraId="37F016AB" w14:textId="77777777" w:rsidR="002B0E92" w:rsidRDefault="002B0E92" w:rsidP="002B0E92">
            <w:pPr>
              <w:spacing w:before="0" w:after="0"/>
              <w:jc w:val="center"/>
            </w:pPr>
            <w:r>
              <w:t>600</w:t>
            </w:r>
          </w:p>
        </w:tc>
        <w:tc>
          <w:tcPr>
            <w:tcW w:w="1850" w:type="dxa"/>
          </w:tcPr>
          <w:p w14:paraId="10A2612F" w14:textId="77777777" w:rsidR="002B0E92" w:rsidRDefault="002B0E92" w:rsidP="002B0E92">
            <w:pPr>
              <w:spacing w:before="0" w:after="0"/>
              <w:jc w:val="center"/>
            </w:pPr>
          </w:p>
        </w:tc>
      </w:tr>
      <w:tr w:rsidR="002B0E92" w14:paraId="15BC2745" w14:textId="77777777" w:rsidTr="002B0E92">
        <w:tc>
          <w:tcPr>
            <w:tcW w:w="2552" w:type="dxa"/>
            <w:tcBorders>
              <w:right w:val="single" w:sz="4" w:space="0" w:color="auto"/>
            </w:tcBorders>
          </w:tcPr>
          <w:p w14:paraId="143485C4" w14:textId="77777777" w:rsidR="002B0E92" w:rsidRDefault="002B0E92" w:rsidP="002B0E92">
            <w:pPr>
              <w:spacing w:before="0" w:after="0"/>
            </w:pPr>
            <w:r w:rsidRPr="006D0729">
              <w:t>30 to under 50 years</w:t>
            </w:r>
          </w:p>
        </w:tc>
        <w:tc>
          <w:tcPr>
            <w:tcW w:w="1183" w:type="dxa"/>
            <w:gridSpan w:val="2"/>
            <w:tcBorders>
              <w:top w:val="single" w:sz="4" w:space="0" w:color="auto"/>
              <w:left w:val="single" w:sz="4" w:space="0" w:color="auto"/>
              <w:bottom w:val="single" w:sz="4" w:space="0" w:color="auto"/>
              <w:right w:val="single" w:sz="4" w:space="0" w:color="auto"/>
            </w:tcBorders>
          </w:tcPr>
          <w:p w14:paraId="3DFC785C" w14:textId="77777777" w:rsidR="002B0E92" w:rsidRDefault="002B0E92" w:rsidP="002B0E92">
            <w:pPr>
              <w:spacing w:before="0" w:after="0"/>
              <w:jc w:val="center"/>
            </w:pPr>
            <w:r>
              <w:t>100</w:t>
            </w:r>
          </w:p>
        </w:tc>
        <w:tc>
          <w:tcPr>
            <w:tcW w:w="1169" w:type="dxa"/>
            <w:tcBorders>
              <w:top w:val="single" w:sz="4" w:space="0" w:color="auto"/>
              <w:left w:val="single" w:sz="4" w:space="0" w:color="auto"/>
              <w:bottom w:val="single" w:sz="4" w:space="0" w:color="auto"/>
              <w:right w:val="single" w:sz="4" w:space="0" w:color="auto"/>
            </w:tcBorders>
          </w:tcPr>
          <w:p w14:paraId="19A23831" w14:textId="77777777" w:rsidR="002B0E92" w:rsidRDefault="002B0E92" w:rsidP="002B0E92">
            <w:pPr>
              <w:spacing w:before="0" w:after="0"/>
              <w:jc w:val="center"/>
            </w:pPr>
            <w:r>
              <w:t>150</w:t>
            </w:r>
          </w:p>
        </w:tc>
        <w:tc>
          <w:tcPr>
            <w:tcW w:w="1126" w:type="dxa"/>
            <w:tcBorders>
              <w:left w:val="single" w:sz="4" w:space="0" w:color="auto"/>
            </w:tcBorders>
            <w:shd w:val="clear" w:color="auto" w:fill="E5E5E7" w:themeFill="accent5" w:themeFillTint="33"/>
          </w:tcPr>
          <w:p w14:paraId="7F52704F" w14:textId="77777777" w:rsidR="002B0E92" w:rsidRDefault="002B0E92" w:rsidP="002B0E92">
            <w:pPr>
              <w:spacing w:before="0" w:after="0"/>
              <w:jc w:val="center"/>
            </w:pPr>
          </w:p>
        </w:tc>
        <w:tc>
          <w:tcPr>
            <w:tcW w:w="1496" w:type="dxa"/>
            <w:gridSpan w:val="2"/>
          </w:tcPr>
          <w:p w14:paraId="18AB95F7" w14:textId="77777777" w:rsidR="002B0E92" w:rsidRDefault="002B0E92" w:rsidP="002B0E92">
            <w:pPr>
              <w:spacing w:before="0" w:after="0"/>
              <w:jc w:val="center"/>
            </w:pPr>
            <w:r>
              <w:t>600</w:t>
            </w:r>
          </w:p>
        </w:tc>
        <w:tc>
          <w:tcPr>
            <w:tcW w:w="1850" w:type="dxa"/>
          </w:tcPr>
          <w:p w14:paraId="09A4E399" w14:textId="77777777" w:rsidR="002B0E92" w:rsidRDefault="002B0E92" w:rsidP="002B0E92">
            <w:pPr>
              <w:spacing w:before="0" w:after="0"/>
              <w:jc w:val="center"/>
            </w:pPr>
          </w:p>
        </w:tc>
      </w:tr>
      <w:tr w:rsidR="002B0E92" w14:paraId="54249E2F" w14:textId="77777777" w:rsidTr="002B0E92">
        <w:tc>
          <w:tcPr>
            <w:tcW w:w="2552" w:type="dxa"/>
            <w:tcBorders>
              <w:right w:val="single" w:sz="4" w:space="0" w:color="auto"/>
            </w:tcBorders>
          </w:tcPr>
          <w:p w14:paraId="744D7B74" w14:textId="77777777" w:rsidR="002B0E92" w:rsidRDefault="002B0E92" w:rsidP="002B0E92">
            <w:pPr>
              <w:spacing w:before="0" w:after="0"/>
            </w:pPr>
            <w:r w:rsidRPr="006D0729">
              <w:t>50 to under 65 years</w:t>
            </w:r>
          </w:p>
        </w:tc>
        <w:tc>
          <w:tcPr>
            <w:tcW w:w="1183" w:type="dxa"/>
            <w:gridSpan w:val="2"/>
            <w:tcBorders>
              <w:top w:val="single" w:sz="4" w:space="0" w:color="auto"/>
              <w:left w:val="single" w:sz="4" w:space="0" w:color="auto"/>
              <w:bottom w:val="single" w:sz="4" w:space="0" w:color="auto"/>
              <w:right w:val="single" w:sz="4" w:space="0" w:color="auto"/>
            </w:tcBorders>
          </w:tcPr>
          <w:p w14:paraId="5B86050E" w14:textId="77777777" w:rsidR="002B0E92" w:rsidRDefault="002B0E92" w:rsidP="002B0E92">
            <w:pPr>
              <w:spacing w:before="0" w:after="0"/>
              <w:jc w:val="center"/>
            </w:pPr>
            <w:r>
              <w:t>100</w:t>
            </w:r>
          </w:p>
        </w:tc>
        <w:tc>
          <w:tcPr>
            <w:tcW w:w="1169" w:type="dxa"/>
            <w:tcBorders>
              <w:top w:val="single" w:sz="4" w:space="0" w:color="auto"/>
              <w:left w:val="single" w:sz="4" w:space="0" w:color="auto"/>
              <w:bottom w:val="single" w:sz="4" w:space="0" w:color="auto"/>
              <w:right w:val="single" w:sz="4" w:space="0" w:color="auto"/>
            </w:tcBorders>
          </w:tcPr>
          <w:p w14:paraId="3F7CC3ED" w14:textId="77777777" w:rsidR="002B0E92" w:rsidRDefault="002B0E92" w:rsidP="002B0E92">
            <w:pPr>
              <w:spacing w:before="0" w:after="0"/>
              <w:jc w:val="center"/>
            </w:pPr>
            <w:r>
              <w:t>150</w:t>
            </w:r>
          </w:p>
        </w:tc>
        <w:tc>
          <w:tcPr>
            <w:tcW w:w="1126" w:type="dxa"/>
            <w:tcBorders>
              <w:left w:val="single" w:sz="4" w:space="0" w:color="auto"/>
            </w:tcBorders>
            <w:shd w:val="clear" w:color="auto" w:fill="E5E5E7" w:themeFill="accent5" w:themeFillTint="33"/>
          </w:tcPr>
          <w:p w14:paraId="30752CC5" w14:textId="77777777" w:rsidR="002B0E92" w:rsidRDefault="002B0E92" w:rsidP="002B0E92">
            <w:pPr>
              <w:spacing w:before="0" w:after="0"/>
              <w:jc w:val="center"/>
            </w:pPr>
          </w:p>
        </w:tc>
        <w:tc>
          <w:tcPr>
            <w:tcW w:w="1496" w:type="dxa"/>
            <w:gridSpan w:val="2"/>
          </w:tcPr>
          <w:p w14:paraId="1A435AF5" w14:textId="77777777" w:rsidR="002B0E92" w:rsidRDefault="002B0E92" w:rsidP="002B0E92">
            <w:pPr>
              <w:spacing w:before="0" w:after="0"/>
              <w:jc w:val="center"/>
            </w:pPr>
            <w:r>
              <w:t>600</w:t>
            </w:r>
          </w:p>
        </w:tc>
        <w:tc>
          <w:tcPr>
            <w:tcW w:w="1850" w:type="dxa"/>
          </w:tcPr>
          <w:p w14:paraId="2505373B" w14:textId="77777777" w:rsidR="002B0E92" w:rsidRDefault="002B0E92" w:rsidP="002B0E92">
            <w:pPr>
              <w:spacing w:before="0" w:after="0"/>
              <w:jc w:val="center"/>
            </w:pPr>
          </w:p>
        </w:tc>
      </w:tr>
      <w:tr w:rsidR="002B0E92" w14:paraId="3626248D" w14:textId="77777777" w:rsidTr="002B0E92">
        <w:tc>
          <w:tcPr>
            <w:tcW w:w="2552" w:type="dxa"/>
            <w:tcBorders>
              <w:right w:val="single" w:sz="4" w:space="0" w:color="auto"/>
            </w:tcBorders>
          </w:tcPr>
          <w:p w14:paraId="6453BA63" w14:textId="77777777" w:rsidR="002B0E92" w:rsidRDefault="002B0E92" w:rsidP="002B0E92">
            <w:pPr>
              <w:spacing w:before="0" w:after="0"/>
            </w:pPr>
            <w:r w:rsidRPr="00C86147">
              <w:t>65 to under 75 years</w:t>
            </w:r>
          </w:p>
        </w:tc>
        <w:tc>
          <w:tcPr>
            <w:tcW w:w="1183" w:type="dxa"/>
            <w:gridSpan w:val="2"/>
            <w:tcBorders>
              <w:top w:val="single" w:sz="4" w:space="0" w:color="auto"/>
              <w:left w:val="single" w:sz="4" w:space="0" w:color="auto"/>
              <w:bottom w:val="single" w:sz="4" w:space="0" w:color="auto"/>
              <w:right w:val="single" w:sz="4" w:space="0" w:color="auto"/>
            </w:tcBorders>
          </w:tcPr>
          <w:p w14:paraId="7B2262D8" w14:textId="77777777" w:rsidR="002B0E92" w:rsidRDefault="002B0E92" w:rsidP="002B0E92">
            <w:pPr>
              <w:spacing w:before="0" w:after="0"/>
              <w:jc w:val="center"/>
            </w:pPr>
            <w:r>
              <w:t>100</w:t>
            </w:r>
          </w:p>
        </w:tc>
        <w:tc>
          <w:tcPr>
            <w:tcW w:w="1169" w:type="dxa"/>
            <w:tcBorders>
              <w:top w:val="single" w:sz="4" w:space="0" w:color="auto"/>
              <w:left w:val="single" w:sz="4" w:space="0" w:color="auto"/>
              <w:bottom w:val="single" w:sz="4" w:space="0" w:color="auto"/>
              <w:right w:val="single" w:sz="4" w:space="0" w:color="auto"/>
            </w:tcBorders>
          </w:tcPr>
          <w:p w14:paraId="7136F479" w14:textId="77777777" w:rsidR="002B0E92" w:rsidRDefault="002B0E92" w:rsidP="002B0E92">
            <w:pPr>
              <w:spacing w:before="0" w:after="0"/>
              <w:jc w:val="center"/>
            </w:pPr>
            <w:r>
              <w:t>150</w:t>
            </w:r>
          </w:p>
        </w:tc>
        <w:tc>
          <w:tcPr>
            <w:tcW w:w="1126" w:type="dxa"/>
            <w:tcBorders>
              <w:left w:val="single" w:sz="4" w:space="0" w:color="auto"/>
            </w:tcBorders>
            <w:shd w:val="clear" w:color="auto" w:fill="E5E5E7" w:themeFill="accent5" w:themeFillTint="33"/>
          </w:tcPr>
          <w:p w14:paraId="644DB779" w14:textId="77777777" w:rsidR="002B0E92" w:rsidRDefault="002B0E92" w:rsidP="002B0E92">
            <w:pPr>
              <w:spacing w:before="0" w:after="0"/>
              <w:jc w:val="center"/>
            </w:pPr>
          </w:p>
        </w:tc>
        <w:tc>
          <w:tcPr>
            <w:tcW w:w="1496" w:type="dxa"/>
            <w:gridSpan w:val="2"/>
          </w:tcPr>
          <w:p w14:paraId="14847DFE" w14:textId="77777777" w:rsidR="002B0E92" w:rsidRDefault="002B0E92" w:rsidP="002B0E92">
            <w:pPr>
              <w:spacing w:before="0" w:after="0"/>
              <w:jc w:val="center"/>
            </w:pPr>
            <w:r>
              <w:t>600</w:t>
            </w:r>
          </w:p>
        </w:tc>
        <w:tc>
          <w:tcPr>
            <w:tcW w:w="1850" w:type="dxa"/>
          </w:tcPr>
          <w:p w14:paraId="39E2355E" w14:textId="77777777" w:rsidR="002B0E92" w:rsidRDefault="002B0E92" w:rsidP="002B0E92">
            <w:pPr>
              <w:spacing w:before="0" w:after="0"/>
              <w:jc w:val="center"/>
            </w:pPr>
          </w:p>
        </w:tc>
      </w:tr>
      <w:tr w:rsidR="002B0E92" w14:paraId="5C834C01" w14:textId="77777777" w:rsidTr="002B0E92">
        <w:tc>
          <w:tcPr>
            <w:tcW w:w="2552" w:type="dxa"/>
            <w:tcBorders>
              <w:bottom w:val="nil"/>
              <w:right w:val="single" w:sz="4" w:space="0" w:color="auto"/>
            </w:tcBorders>
          </w:tcPr>
          <w:p w14:paraId="081622AC" w14:textId="77777777" w:rsidR="002B0E92" w:rsidRDefault="002B0E92" w:rsidP="002B0E92">
            <w:pPr>
              <w:spacing w:before="0" w:after="0"/>
            </w:pPr>
            <w:r w:rsidRPr="00C86147">
              <w:t>75 years and older</w:t>
            </w:r>
          </w:p>
        </w:tc>
        <w:tc>
          <w:tcPr>
            <w:tcW w:w="1183" w:type="dxa"/>
            <w:gridSpan w:val="2"/>
            <w:tcBorders>
              <w:top w:val="single" w:sz="4" w:space="0" w:color="auto"/>
              <w:left w:val="single" w:sz="4" w:space="0" w:color="auto"/>
              <w:bottom w:val="single" w:sz="4" w:space="0" w:color="auto"/>
              <w:right w:val="single" w:sz="4" w:space="0" w:color="auto"/>
            </w:tcBorders>
          </w:tcPr>
          <w:p w14:paraId="543CD6F5" w14:textId="77777777" w:rsidR="002B0E92" w:rsidRDefault="002B0E92" w:rsidP="002B0E92">
            <w:pPr>
              <w:spacing w:before="0" w:after="0"/>
              <w:jc w:val="center"/>
            </w:pPr>
            <w:r>
              <w:t>100</w:t>
            </w:r>
          </w:p>
        </w:tc>
        <w:tc>
          <w:tcPr>
            <w:tcW w:w="1169" w:type="dxa"/>
            <w:tcBorders>
              <w:top w:val="single" w:sz="4" w:space="0" w:color="auto"/>
              <w:left w:val="single" w:sz="4" w:space="0" w:color="auto"/>
              <w:bottom w:val="single" w:sz="4" w:space="0" w:color="auto"/>
              <w:right w:val="single" w:sz="4" w:space="0" w:color="auto"/>
            </w:tcBorders>
          </w:tcPr>
          <w:p w14:paraId="3D0F50DE" w14:textId="77777777" w:rsidR="002B0E92" w:rsidRDefault="002B0E92" w:rsidP="002B0E92">
            <w:pPr>
              <w:spacing w:before="0" w:after="0"/>
              <w:jc w:val="center"/>
            </w:pPr>
            <w:r>
              <w:t>150</w:t>
            </w:r>
          </w:p>
        </w:tc>
        <w:tc>
          <w:tcPr>
            <w:tcW w:w="1126" w:type="dxa"/>
            <w:tcBorders>
              <w:left w:val="single" w:sz="4" w:space="0" w:color="auto"/>
              <w:bottom w:val="nil"/>
            </w:tcBorders>
            <w:shd w:val="clear" w:color="auto" w:fill="E5E5E7" w:themeFill="accent5" w:themeFillTint="33"/>
          </w:tcPr>
          <w:p w14:paraId="0F9E22A7" w14:textId="77777777" w:rsidR="002B0E92" w:rsidRDefault="002B0E92" w:rsidP="002B0E92">
            <w:pPr>
              <w:spacing w:before="0" w:after="0"/>
              <w:jc w:val="center"/>
            </w:pPr>
          </w:p>
        </w:tc>
        <w:tc>
          <w:tcPr>
            <w:tcW w:w="1496" w:type="dxa"/>
            <w:gridSpan w:val="2"/>
            <w:tcBorders>
              <w:bottom w:val="nil"/>
            </w:tcBorders>
          </w:tcPr>
          <w:p w14:paraId="40A41784" w14:textId="77777777" w:rsidR="002B0E92" w:rsidRDefault="002B0E92" w:rsidP="002B0E92">
            <w:pPr>
              <w:spacing w:before="0" w:after="0"/>
              <w:jc w:val="center"/>
            </w:pPr>
            <w:r>
              <w:t>600</w:t>
            </w:r>
          </w:p>
        </w:tc>
        <w:tc>
          <w:tcPr>
            <w:tcW w:w="1850" w:type="dxa"/>
            <w:tcBorders>
              <w:bottom w:val="nil"/>
            </w:tcBorders>
          </w:tcPr>
          <w:p w14:paraId="7226FB4A" w14:textId="77777777" w:rsidR="002B0E92" w:rsidRDefault="002B0E92" w:rsidP="002B0E92">
            <w:pPr>
              <w:spacing w:before="0" w:after="0"/>
              <w:jc w:val="center"/>
            </w:pPr>
          </w:p>
        </w:tc>
      </w:tr>
      <w:tr w:rsidR="004F3F99" w:rsidRPr="00682A86" w14:paraId="23CF3F41" w14:textId="77777777" w:rsidTr="002B0E92">
        <w:tc>
          <w:tcPr>
            <w:tcW w:w="9376" w:type="dxa"/>
            <w:gridSpan w:val="8"/>
            <w:tcBorders>
              <w:top w:val="single" w:sz="4" w:space="0" w:color="auto"/>
              <w:left w:val="single" w:sz="4" w:space="0" w:color="auto"/>
              <w:bottom w:val="single" w:sz="4" w:space="0" w:color="auto"/>
              <w:right w:val="single" w:sz="4" w:space="0" w:color="auto"/>
            </w:tcBorders>
            <w:shd w:val="clear" w:color="auto" w:fill="005F85" w:themeFill="accent2"/>
          </w:tcPr>
          <w:p w14:paraId="3407A199" w14:textId="77777777" w:rsidR="004F3F99" w:rsidRPr="00682A86" w:rsidRDefault="004F3F99" w:rsidP="002B0E92">
            <w:pPr>
              <w:spacing w:before="0" w:after="0"/>
              <w:rPr>
                <w:color w:val="FFFFFF" w:themeColor="background1"/>
              </w:rPr>
            </w:pPr>
            <w:r w:rsidRPr="00682A86">
              <w:rPr>
                <w:color w:val="FFFFFF" w:themeColor="background1"/>
              </w:rPr>
              <w:t>Pregnancy</w:t>
            </w:r>
          </w:p>
        </w:tc>
      </w:tr>
      <w:tr w:rsidR="002B0E92" w14:paraId="21A1FC4D" w14:textId="77777777" w:rsidTr="002B0E92">
        <w:tc>
          <w:tcPr>
            <w:tcW w:w="2552" w:type="dxa"/>
            <w:tcBorders>
              <w:top w:val="nil"/>
              <w:bottom w:val="nil"/>
              <w:right w:val="single" w:sz="4" w:space="0" w:color="auto"/>
            </w:tcBorders>
          </w:tcPr>
          <w:p w14:paraId="68AE7736" w14:textId="77777777" w:rsidR="002B0E92" w:rsidRDefault="002B0E92" w:rsidP="002B0E92">
            <w:pPr>
              <w:spacing w:before="0" w:after="0"/>
            </w:pPr>
            <w:r>
              <w:t>All</w:t>
            </w:r>
          </w:p>
        </w:tc>
        <w:tc>
          <w:tcPr>
            <w:tcW w:w="1183" w:type="dxa"/>
            <w:gridSpan w:val="2"/>
            <w:tcBorders>
              <w:top w:val="single" w:sz="4" w:space="0" w:color="auto"/>
              <w:left w:val="single" w:sz="4" w:space="0" w:color="auto"/>
              <w:bottom w:val="single" w:sz="4" w:space="0" w:color="auto"/>
              <w:right w:val="single" w:sz="4" w:space="0" w:color="auto"/>
            </w:tcBorders>
          </w:tcPr>
          <w:p w14:paraId="082053B9" w14:textId="77777777" w:rsidR="002B0E92" w:rsidRDefault="002B0E92" w:rsidP="002B0E92">
            <w:pPr>
              <w:spacing w:before="0" w:after="0"/>
              <w:jc w:val="center"/>
            </w:pPr>
            <w:r>
              <w:t>160</w:t>
            </w:r>
          </w:p>
        </w:tc>
        <w:tc>
          <w:tcPr>
            <w:tcW w:w="1169" w:type="dxa"/>
            <w:tcBorders>
              <w:top w:val="single" w:sz="4" w:space="0" w:color="auto"/>
              <w:left w:val="single" w:sz="4" w:space="0" w:color="auto"/>
              <w:bottom w:val="single" w:sz="4" w:space="0" w:color="auto"/>
              <w:right w:val="single" w:sz="4" w:space="0" w:color="auto"/>
            </w:tcBorders>
          </w:tcPr>
          <w:p w14:paraId="5B389268" w14:textId="77777777" w:rsidR="002B0E92" w:rsidRDefault="002B0E92" w:rsidP="002B0E92">
            <w:pPr>
              <w:spacing w:before="0" w:after="0"/>
              <w:jc w:val="center"/>
            </w:pPr>
            <w:r>
              <w:t>220</w:t>
            </w:r>
          </w:p>
        </w:tc>
        <w:tc>
          <w:tcPr>
            <w:tcW w:w="1126" w:type="dxa"/>
            <w:tcBorders>
              <w:top w:val="nil"/>
              <w:left w:val="single" w:sz="4" w:space="0" w:color="auto"/>
              <w:bottom w:val="nil"/>
            </w:tcBorders>
          </w:tcPr>
          <w:p w14:paraId="24559472" w14:textId="77777777" w:rsidR="002B0E92" w:rsidRDefault="002B0E92" w:rsidP="002B0E92">
            <w:pPr>
              <w:spacing w:before="0" w:after="0"/>
              <w:jc w:val="center"/>
            </w:pPr>
          </w:p>
        </w:tc>
        <w:tc>
          <w:tcPr>
            <w:tcW w:w="1496" w:type="dxa"/>
            <w:gridSpan w:val="2"/>
            <w:tcBorders>
              <w:top w:val="nil"/>
              <w:bottom w:val="nil"/>
            </w:tcBorders>
          </w:tcPr>
          <w:p w14:paraId="022CAC24" w14:textId="77777777" w:rsidR="002B0E92" w:rsidRDefault="002B0E92" w:rsidP="002B0E92">
            <w:pPr>
              <w:spacing w:before="0" w:after="0"/>
              <w:jc w:val="center"/>
            </w:pPr>
            <w:r>
              <w:t>600</w:t>
            </w:r>
          </w:p>
        </w:tc>
        <w:tc>
          <w:tcPr>
            <w:tcW w:w="1850" w:type="dxa"/>
            <w:tcBorders>
              <w:top w:val="nil"/>
              <w:bottom w:val="nil"/>
            </w:tcBorders>
          </w:tcPr>
          <w:p w14:paraId="06D48293" w14:textId="77777777" w:rsidR="002B0E92" w:rsidRDefault="002B0E92" w:rsidP="002B0E92">
            <w:pPr>
              <w:spacing w:before="0" w:after="0"/>
              <w:jc w:val="center"/>
            </w:pPr>
          </w:p>
        </w:tc>
      </w:tr>
      <w:tr w:rsidR="004F3F99" w:rsidRPr="00682A86" w14:paraId="1153FE09" w14:textId="77777777" w:rsidTr="002B0E92">
        <w:tc>
          <w:tcPr>
            <w:tcW w:w="9376" w:type="dxa"/>
            <w:gridSpan w:val="8"/>
            <w:tcBorders>
              <w:top w:val="single" w:sz="4" w:space="0" w:color="auto"/>
              <w:left w:val="single" w:sz="4" w:space="0" w:color="auto"/>
              <w:bottom w:val="single" w:sz="4" w:space="0" w:color="auto"/>
              <w:right w:val="single" w:sz="4" w:space="0" w:color="auto"/>
            </w:tcBorders>
            <w:shd w:val="clear" w:color="auto" w:fill="005F85" w:themeFill="accent2"/>
          </w:tcPr>
          <w:p w14:paraId="5E58D799" w14:textId="77777777" w:rsidR="004F3F99" w:rsidRPr="00682A86" w:rsidRDefault="004F3F99" w:rsidP="002B0E92">
            <w:pPr>
              <w:spacing w:before="0" w:after="0"/>
              <w:rPr>
                <w:color w:val="FFFFFF" w:themeColor="background1"/>
              </w:rPr>
            </w:pPr>
            <w:r w:rsidRPr="00682A86">
              <w:rPr>
                <w:color w:val="FFFFFF" w:themeColor="background1"/>
              </w:rPr>
              <w:t>Lactation</w:t>
            </w:r>
          </w:p>
        </w:tc>
      </w:tr>
      <w:tr w:rsidR="002B0E92" w14:paraId="12943C63" w14:textId="77777777" w:rsidTr="002B0E92">
        <w:tc>
          <w:tcPr>
            <w:tcW w:w="2552" w:type="dxa"/>
            <w:tcBorders>
              <w:top w:val="nil"/>
              <w:right w:val="single" w:sz="4" w:space="0" w:color="auto"/>
            </w:tcBorders>
          </w:tcPr>
          <w:p w14:paraId="25C90C72" w14:textId="77777777" w:rsidR="002B0E92" w:rsidRDefault="002B0E92" w:rsidP="002B0E92">
            <w:pPr>
              <w:spacing w:before="0" w:after="0"/>
            </w:pPr>
            <w:r>
              <w:t>All</w:t>
            </w:r>
          </w:p>
        </w:tc>
        <w:tc>
          <w:tcPr>
            <w:tcW w:w="1183" w:type="dxa"/>
            <w:gridSpan w:val="2"/>
            <w:tcBorders>
              <w:top w:val="single" w:sz="4" w:space="0" w:color="auto"/>
              <w:left w:val="single" w:sz="4" w:space="0" w:color="auto"/>
              <w:bottom w:val="single" w:sz="4" w:space="0" w:color="auto"/>
              <w:right w:val="single" w:sz="4" w:space="0" w:color="auto"/>
            </w:tcBorders>
          </w:tcPr>
          <w:p w14:paraId="2CEF457C" w14:textId="77777777" w:rsidR="002B0E92" w:rsidRDefault="002B0E92" w:rsidP="002B0E92">
            <w:pPr>
              <w:spacing w:before="0" w:after="0"/>
              <w:jc w:val="center"/>
            </w:pPr>
            <w:r>
              <w:t>190</w:t>
            </w:r>
          </w:p>
        </w:tc>
        <w:tc>
          <w:tcPr>
            <w:tcW w:w="1169" w:type="dxa"/>
            <w:tcBorders>
              <w:top w:val="single" w:sz="4" w:space="0" w:color="auto"/>
              <w:left w:val="single" w:sz="4" w:space="0" w:color="auto"/>
              <w:bottom w:val="single" w:sz="4" w:space="0" w:color="auto"/>
              <w:right w:val="single" w:sz="4" w:space="0" w:color="auto"/>
            </w:tcBorders>
          </w:tcPr>
          <w:p w14:paraId="7249783E" w14:textId="77777777" w:rsidR="002B0E92" w:rsidRDefault="002B0E92" w:rsidP="002B0E92">
            <w:pPr>
              <w:spacing w:before="0" w:after="0"/>
              <w:jc w:val="center"/>
            </w:pPr>
            <w:r>
              <w:t>270</w:t>
            </w:r>
          </w:p>
        </w:tc>
        <w:tc>
          <w:tcPr>
            <w:tcW w:w="1126" w:type="dxa"/>
            <w:tcBorders>
              <w:top w:val="nil"/>
              <w:left w:val="single" w:sz="4" w:space="0" w:color="auto"/>
            </w:tcBorders>
          </w:tcPr>
          <w:p w14:paraId="0796C655" w14:textId="77777777" w:rsidR="002B0E92" w:rsidRDefault="002B0E92" w:rsidP="002B0E92">
            <w:pPr>
              <w:spacing w:before="0" w:after="0"/>
              <w:jc w:val="center"/>
            </w:pPr>
          </w:p>
        </w:tc>
        <w:tc>
          <w:tcPr>
            <w:tcW w:w="1496" w:type="dxa"/>
            <w:gridSpan w:val="2"/>
            <w:tcBorders>
              <w:top w:val="nil"/>
            </w:tcBorders>
          </w:tcPr>
          <w:p w14:paraId="3E435C42" w14:textId="77777777" w:rsidR="002B0E92" w:rsidRDefault="002B0E92" w:rsidP="002B0E92">
            <w:pPr>
              <w:spacing w:before="0" w:after="0"/>
              <w:jc w:val="center"/>
            </w:pPr>
            <w:r>
              <w:t>600</w:t>
            </w:r>
          </w:p>
        </w:tc>
        <w:tc>
          <w:tcPr>
            <w:tcW w:w="1850" w:type="dxa"/>
            <w:tcBorders>
              <w:top w:val="nil"/>
            </w:tcBorders>
          </w:tcPr>
          <w:p w14:paraId="39371E5A" w14:textId="77777777" w:rsidR="002B0E92" w:rsidRDefault="002B0E92" w:rsidP="002B0E92">
            <w:pPr>
              <w:spacing w:before="0" w:after="0"/>
              <w:jc w:val="center"/>
            </w:pPr>
          </w:p>
        </w:tc>
      </w:tr>
    </w:tbl>
    <w:p w14:paraId="579365A8" w14:textId="77777777" w:rsidR="004F3F99" w:rsidRDefault="004F3F99" w:rsidP="004F3F99">
      <w:r>
        <w:t>Comprehensive Evidence-to-Decision Frameworks documenting how the final recommendations have been determined are presented in Appendix E.</w:t>
      </w:r>
    </w:p>
    <w:p w14:paraId="4CAFD1DF" w14:textId="77777777" w:rsidR="004F3F99" w:rsidRDefault="004F3F99" w:rsidP="004F3F99">
      <w:pPr>
        <w:rPr>
          <w:rFonts w:asciiTheme="majorHAnsi" w:eastAsiaTheme="majorEastAsia" w:hAnsiTheme="majorHAnsi" w:cstheme="majorBidi"/>
          <w:color w:val="379AC4" w:themeColor="accent1" w:themeShade="BF"/>
          <w:sz w:val="40"/>
          <w:szCs w:val="40"/>
        </w:rPr>
      </w:pPr>
      <w:r>
        <w:br w:type="page"/>
      </w:r>
    </w:p>
    <w:p w14:paraId="10132AD0" w14:textId="77777777" w:rsidR="004F3F99" w:rsidRPr="004E2003" w:rsidRDefault="004F3F99" w:rsidP="00564593">
      <w:pPr>
        <w:pStyle w:val="Heading2"/>
      </w:pPr>
      <w:bookmarkStart w:id="159" w:name="_Toc210406403"/>
      <w:bookmarkStart w:id="160" w:name="_Toc212567902"/>
      <w:r w:rsidRPr="004E2003">
        <w:lastRenderedPageBreak/>
        <w:t>References</w:t>
      </w:r>
      <w:bookmarkEnd w:id="159"/>
      <w:bookmarkEnd w:id="160"/>
    </w:p>
    <w:p w14:paraId="4A5E1606" w14:textId="77777777" w:rsidR="004F3F99" w:rsidRPr="001503B2" w:rsidRDefault="004F3F99" w:rsidP="004F3F99">
      <w:r w:rsidRPr="001503B2">
        <w:t xml:space="preserve">Aarsland TE, Aakre I, Stea TH, Henjum S, Markhus MW, Strand TA, Dahl L, </w:t>
      </w:r>
      <w:proofErr w:type="spellStart"/>
      <w:r w:rsidRPr="001503B2">
        <w:t>Korevaar</w:t>
      </w:r>
      <w:proofErr w:type="spellEnd"/>
      <w:r w:rsidRPr="001503B2">
        <w:t xml:space="preserve"> TIM, et. al. 2025. Association of Mild-to-Moderate Iodine Deficiency </w:t>
      </w:r>
      <w:proofErr w:type="gramStart"/>
      <w:r w:rsidRPr="001503B2">
        <w:t>With</w:t>
      </w:r>
      <w:proofErr w:type="gramEnd"/>
      <w:r w:rsidRPr="001503B2">
        <w:t xml:space="preserve"> Thyroid Function—A Systematic Review and Meta-analysis, </w:t>
      </w:r>
      <w:r w:rsidRPr="001503B2">
        <w:rPr>
          <w:i/>
          <w:iCs/>
        </w:rPr>
        <w:t>Advances in Nutrition</w:t>
      </w:r>
      <w:r w:rsidRPr="001503B2">
        <w:t xml:space="preserve">, Vol 16 (9). </w:t>
      </w:r>
    </w:p>
    <w:p w14:paraId="167FC152" w14:textId="77777777" w:rsidR="004F3F99" w:rsidRPr="001503B2" w:rsidRDefault="004F3F99" w:rsidP="004F3F99">
      <w:r w:rsidRPr="001503B2">
        <w:t xml:space="preserve">Abel MH, </w:t>
      </w:r>
      <w:proofErr w:type="spellStart"/>
      <w:r w:rsidRPr="001503B2">
        <w:t>Korevaar</w:t>
      </w:r>
      <w:proofErr w:type="spellEnd"/>
      <w:r w:rsidRPr="001503B2">
        <w:t xml:space="preserve"> TIM, Erlund I, Villanger GD, Caspersen IH, </w:t>
      </w:r>
      <w:proofErr w:type="spellStart"/>
      <w:r w:rsidRPr="001503B2">
        <w:t>Arohonka</w:t>
      </w:r>
      <w:proofErr w:type="spellEnd"/>
      <w:r w:rsidRPr="001503B2">
        <w:t xml:space="preserve"> P, Alexander J, Meltzer HM, </w:t>
      </w:r>
      <w:proofErr w:type="spellStart"/>
      <w:r w:rsidRPr="001503B2">
        <w:t>Brantsæter</w:t>
      </w:r>
      <w:proofErr w:type="spellEnd"/>
      <w:r w:rsidRPr="001503B2">
        <w:t xml:space="preserve"> AL. Iodine Intake is Associated with Thyroid Function in Mild to Moderately Iodine Deficient Pregnant Women. Thyroid. 2018 Oct;28(10):1359-1371. </w:t>
      </w:r>
      <w:proofErr w:type="spellStart"/>
      <w:r w:rsidRPr="001503B2">
        <w:t>doi</w:t>
      </w:r>
      <w:proofErr w:type="spellEnd"/>
      <w:r w:rsidRPr="001503B2">
        <w:t>: 10.1089/thy.2018.0305. PMID: 30132420; PMCID: PMC6157349.</w:t>
      </w:r>
    </w:p>
    <w:p w14:paraId="3E2811CC" w14:textId="77777777" w:rsidR="004F3F99" w:rsidRPr="001503B2" w:rsidRDefault="004F3F99" w:rsidP="004F3F99">
      <w:r w:rsidRPr="001503B2">
        <w:t>Al-Balushi B, Al-Balushi R, Waly M, Al-</w:t>
      </w:r>
      <w:proofErr w:type="spellStart"/>
      <w:r w:rsidRPr="001503B2">
        <w:t>Attabi</w:t>
      </w:r>
      <w:proofErr w:type="spellEnd"/>
      <w:r w:rsidRPr="001503B2">
        <w:t xml:space="preserve"> Z. Global status of food composition database: A short review. International Journal of Nutrition, Pharmacology, Neurological Diseases 13(4</w:t>
      </w:r>
      <w:proofErr w:type="gramStart"/>
      <w:r w:rsidRPr="001503B2">
        <w:t>):p</w:t>
      </w:r>
      <w:proofErr w:type="gramEnd"/>
      <w:r w:rsidRPr="001503B2">
        <w:t xml:space="preserve"> 240-242, October-December 2023. | DOI: 10.4103/ijnpnd.ijnpnd_48_23</w:t>
      </w:r>
    </w:p>
    <w:p w14:paraId="223FA2FE" w14:textId="77777777" w:rsidR="004F3F99" w:rsidRPr="001503B2" w:rsidRDefault="004F3F99" w:rsidP="004F3F99">
      <w:r w:rsidRPr="001503B2">
        <w:t xml:space="preserve">Alexander EK, </w:t>
      </w:r>
      <w:proofErr w:type="spellStart"/>
      <w:r w:rsidRPr="001503B2">
        <w:t>Marqusee</w:t>
      </w:r>
      <w:proofErr w:type="spellEnd"/>
      <w:r w:rsidRPr="001503B2">
        <w:t xml:space="preserve"> E, Lawrence J, </w:t>
      </w:r>
      <w:proofErr w:type="spellStart"/>
      <w:r w:rsidRPr="001503B2">
        <w:t>Jarolim</w:t>
      </w:r>
      <w:proofErr w:type="spellEnd"/>
      <w:r w:rsidRPr="001503B2">
        <w:t xml:space="preserve"> P, Fischer GA and Larsen PR, 2004. Timing and magnitude of increases in levothyroxine requirements during pregnancy in women with hypothyroidism. New England Journal of Medicine, 351, 241-249. </w:t>
      </w:r>
    </w:p>
    <w:p w14:paraId="7E5CA29E" w14:textId="77777777" w:rsidR="004F3F99" w:rsidRPr="001503B2" w:rsidRDefault="004F3F99" w:rsidP="004F3F99">
      <w:r w:rsidRPr="001503B2">
        <w:t xml:space="preserve">Andersen SL, Moller M and Laurberg P. 2014. Iodine concentrations in milk and in urine during breastfeeding are differently affected by maternal fluid intake. </w:t>
      </w:r>
      <w:r w:rsidRPr="001503B2">
        <w:rPr>
          <w:i/>
          <w:iCs/>
        </w:rPr>
        <w:t>Thyroid</w:t>
      </w:r>
      <w:r w:rsidRPr="001503B2">
        <w:t>, 24: 764-772</w:t>
      </w:r>
    </w:p>
    <w:p w14:paraId="42D77804" w14:textId="77777777" w:rsidR="004F3F99" w:rsidRPr="001503B2" w:rsidRDefault="004F3F99" w:rsidP="004F3F99">
      <w:r w:rsidRPr="001503B2">
        <w:t>Angelo, L., Niederer, R., &amp; Hart, R. 2020.</w:t>
      </w:r>
      <w:hyperlink r:id="rId28" w:anchor="page=12" w:tgtFrame="_blank" w:history="1">
        <w:r w:rsidRPr="001503B2">
          <w:rPr>
            <w:rStyle w:val="Hyperlink"/>
          </w:rPr>
          <w:t> Thyroid eye disease in New Zealand: interaction between ethnicity and smoking status</w:t>
        </w:r>
      </w:hyperlink>
      <w:r w:rsidRPr="001503B2">
        <w:t>. </w:t>
      </w:r>
      <w:r w:rsidRPr="001503B2">
        <w:rPr>
          <w:i/>
          <w:iCs/>
        </w:rPr>
        <w:t>The New Zealand Medical Journal, 133</w:t>
      </w:r>
      <w:r w:rsidRPr="001503B2">
        <w:t> (1526), 12-17.</w:t>
      </w:r>
    </w:p>
    <w:p w14:paraId="5F240B97" w14:textId="77777777" w:rsidR="004F3F99" w:rsidRPr="001503B2" w:rsidRDefault="004F3F99" w:rsidP="004F3F99">
      <w:proofErr w:type="spellStart"/>
      <w:r w:rsidRPr="001503B2">
        <w:t>Aquaron</w:t>
      </w:r>
      <w:proofErr w:type="spellEnd"/>
      <w:r w:rsidRPr="001503B2">
        <w:t xml:space="preserve"> R, Delange F, Marchal P, </w:t>
      </w:r>
      <w:proofErr w:type="spellStart"/>
      <w:r w:rsidRPr="001503B2">
        <w:t>Lognone</w:t>
      </w:r>
      <w:proofErr w:type="spellEnd"/>
      <w:r w:rsidRPr="001503B2">
        <w:t xml:space="preserve"> V and </w:t>
      </w:r>
      <w:proofErr w:type="spellStart"/>
      <w:r w:rsidRPr="001503B2">
        <w:t>Ninane</w:t>
      </w:r>
      <w:proofErr w:type="spellEnd"/>
      <w:r w:rsidRPr="001503B2">
        <w:t xml:space="preserve"> L, 2002. Bioavailability of seaweed iodine in human beings. Cellular and Molecular Biology, 48, 563-569.</w:t>
      </w:r>
    </w:p>
    <w:p w14:paraId="04DD8D68" w14:textId="77777777" w:rsidR="004F3F99" w:rsidRPr="001503B2" w:rsidRDefault="004F3F99" w:rsidP="004F3F99">
      <w:pPr>
        <w:rPr>
          <w:rFonts w:cs="Open Sans"/>
          <w:color w:val="000000"/>
          <w:shd w:val="clear" w:color="auto" w:fill="FFFFFF"/>
        </w:rPr>
      </w:pPr>
      <w:r w:rsidRPr="001503B2">
        <w:rPr>
          <w:rFonts w:cs="Open Sans"/>
          <w:color w:val="000000"/>
          <w:shd w:val="clear" w:color="auto" w:fill="FFFFFF"/>
        </w:rPr>
        <w:t xml:space="preserve">Arturi F, Presta I, Scarpelli D, Bidart JM, Schlumberger M, Filetti S, Russo D. Stimulation of iodide uptake by human chorionic gonadotropin in FRTL-5 cells: effects on sodium/iodide symporter gene and protein expression. </w:t>
      </w:r>
      <w:proofErr w:type="spellStart"/>
      <w:r w:rsidRPr="001503B2">
        <w:rPr>
          <w:rFonts w:cs="Open Sans"/>
          <w:color w:val="000000"/>
          <w:shd w:val="clear" w:color="auto" w:fill="FFFFFF"/>
        </w:rPr>
        <w:t>Eur</w:t>
      </w:r>
      <w:proofErr w:type="spellEnd"/>
      <w:r w:rsidRPr="001503B2">
        <w:rPr>
          <w:rFonts w:cs="Open Sans"/>
          <w:color w:val="000000"/>
          <w:shd w:val="clear" w:color="auto" w:fill="FFFFFF"/>
        </w:rPr>
        <w:t xml:space="preserve"> J Endocrinol. 2002 Nov;147(5):655-61. </w:t>
      </w:r>
      <w:proofErr w:type="spellStart"/>
      <w:r w:rsidRPr="001503B2">
        <w:rPr>
          <w:rFonts w:cs="Open Sans"/>
          <w:color w:val="000000"/>
          <w:shd w:val="clear" w:color="auto" w:fill="FFFFFF"/>
        </w:rPr>
        <w:t>doi</w:t>
      </w:r>
      <w:proofErr w:type="spellEnd"/>
      <w:r w:rsidRPr="001503B2">
        <w:rPr>
          <w:rFonts w:cs="Open Sans"/>
          <w:color w:val="000000"/>
          <w:shd w:val="clear" w:color="auto" w:fill="FFFFFF"/>
        </w:rPr>
        <w:t xml:space="preserve">: 10.1530/eje.0.1470655. </w:t>
      </w:r>
    </w:p>
    <w:p w14:paraId="42867153" w14:textId="77777777" w:rsidR="004F3F99" w:rsidRPr="001503B2" w:rsidRDefault="004F3F99" w:rsidP="004F3F99">
      <w:pPr>
        <w:rPr>
          <w:rFonts w:cs="Open Sans"/>
          <w:color w:val="000000"/>
          <w:shd w:val="clear" w:color="auto" w:fill="FFFFFF"/>
        </w:rPr>
      </w:pPr>
      <w:r w:rsidRPr="001503B2">
        <w:rPr>
          <w:rFonts w:cs="Open Sans"/>
          <w:color w:val="000000"/>
          <w:shd w:val="clear" w:color="auto" w:fill="FFFFFF"/>
        </w:rPr>
        <w:t>Australian Bureau of Statistics (ABS) 2013. </w:t>
      </w:r>
      <w:r w:rsidRPr="001503B2">
        <w:rPr>
          <w:rStyle w:val="Emphasis"/>
          <w:rFonts w:cs="Open Sans"/>
          <w:i w:val="0"/>
          <w:iCs w:val="0"/>
          <w:color w:val="000000"/>
          <w:shd w:val="clear" w:color="auto" w:fill="FFFFFF"/>
        </w:rPr>
        <w:t>Iodine</w:t>
      </w:r>
      <w:r w:rsidRPr="001503B2">
        <w:rPr>
          <w:rFonts w:cs="Open Sans"/>
          <w:color w:val="000000"/>
          <w:shd w:val="clear" w:color="auto" w:fill="FFFFFF"/>
        </w:rPr>
        <w:t xml:space="preserve"> [Internet]. Data source: 2011-12 National Health Measures Survey. Canberra: December 11 [accessed 22 July 2024]. Available from: </w:t>
      </w:r>
      <w:hyperlink r:id="rId29" w:history="1">
        <w:r w:rsidRPr="001503B2">
          <w:rPr>
            <w:rStyle w:val="Hyperlink"/>
            <w:rFonts w:cs="Open Sans"/>
            <w:shd w:val="clear" w:color="auto" w:fill="FFFFFF"/>
          </w:rPr>
          <w:t>https://www.abs.gov.au/articles/iodine</w:t>
        </w:r>
      </w:hyperlink>
      <w:r w:rsidRPr="001503B2">
        <w:rPr>
          <w:rFonts w:cs="Open Sans"/>
          <w:color w:val="000000"/>
          <w:shd w:val="clear" w:color="auto" w:fill="FFFFFF"/>
        </w:rPr>
        <w:t>.</w:t>
      </w:r>
    </w:p>
    <w:p w14:paraId="3AB64CE0" w14:textId="77777777" w:rsidR="004F3F99" w:rsidRPr="001503B2" w:rsidRDefault="004F3F99" w:rsidP="004F3F99">
      <w:pPr>
        <w:rPr>
          <w:highlight w:val="yellow"/>
        </w:rPr>
      </w:pPr>
      <w:r w:rsidRPr="001503B2">
        <w:t xml:space="preserve">Australian Bureau of Statistics (ABS). 2015. 2011-13 Australian Health Survey: Usual Nutrient Intakes. Released 06/03/2015. Available from: </w:t>
      </w:r>
      <w:hyperlink r:id="rId30" w:history="1">
        <w:r w:rsidRPr="001503B2">
          <w:rPr>
            <w:rStyle w:val="Hyperlink"/>
          </w:rPr>
          <w:t>https://www.abs.gov.au/statistics/health/health-conditions-and-risks/usual-nutrient-intakes/latest-release</w:t>
        </w:r>
      </w:hyperlink>
      <w:r w:rsidRPr="001503B2">
        <w:t xml:space="preserve"> [Accessed 2 June 2025]</w:t>
      </w:r>
    </w:p>
    <w:p w14:paraId="7EB01167" w14:textId="77777777" w:rsidR="004F3F99" w:rsidRPr="001503B2" w:rsidRDefault="004F3F99" w:rsidP="004F3F99">
      <w:r w:rsidRPr="001503B2">
        <w:t xml:space="preserve">Australian Bureau of Statistics (ABS). 2025a. 2022-24 National Health Measures Survey (NHMS). Released 31/03/2025. Available from: </w:t>
      </w:r>
      <w:hyperlink r:id="rId31" w:anchor="nutrient-biomarkers" w:history="1">
        <w:r w:rsidRPr="001503B2">
          <w:rPr>
            <w:rStyle w:val="Hyperlink"/>
          </w:rPr>
          <w:t>https://www.abs.gov.au/statistics/health/health-conditions-and-risks/national-health-measures-survey/latest-release#nutrient-biomarkers</w:t>
        </w:r>
      </w:hyperlink>
      <w:r w:rsidRPr="001503B2">
        <w:t xml:space="preserve"> [Accessed 2 June 2025]</w:t>
      </w:r>
    </w:p>
    <w:p w14:paraId="43988910" w14:textId="77777777" w:rsidR="004F3F99" w:rsidRPr="001503B2" w:rsidRDefault="004F3F99" w:rsidP="004F3F99">
      <w:r w:rsidRPr="001503B2">
        <w:t xml:space="preserve">Australian Bureau of Statistics (ABS). 2025b. 2023-24 Apparent Consumption of Selected Foodstuffs, Australia. Released 281/03/2025. Available from </w:t>
      </w:r>
      <w:hyperlink r:id="rId32" w:history="1">
        <w:r w:rsidRPr="001503B2">
          <w:rPr>
            <w:rStyle w:val="Hyperlink"/>
          </w:rPr>
          <w:t>https://www.abs.gov.au/statistics/health/health-conditions-and-risks/apparent-consumption-selected-foodstuffs-australia/2023-24</w:t>
        </w:r>
      </w:hyperlink>
      <w:r w:rsidRPr="001503B2">
        <w:t xml:space="preserve">  </w:t>
      </w:r>
    </w:p>
    <w:p w14:paraId="4DCF1356" w14:textId="77777777" w:rsidR="004F3F99" w:rsidRPr="001503B2" w:rsidRDefault="004F3F99" w:rsidP="004F3F99">
      <w:r w:rsidRPr="001503B2">
        <w:lastRenderedPageBreak/>
        <w:t xml:space="preserve">Australian Bureau of Statistics (ABS). 2025c. 2023 National Nutrition and Physical Activity Survey (NNPAS). Released 05/09/2025. Available from: </w:t>
      </w:r>
      <w:hyperlink r:id="rId33" w:anchor="selected-micronutrients-and-caffeine" w:history="1">
        <w:r w:rsidRPr="001503B2">
          <w:rPr>
            <w:rStyle w:val="Hyperlink"/>
          </w:rPr>
          <w:t>https://www.abs.gov.au/statistics/health/food-and-nutrition/food-and-nutrients/2023#selected-micronutrients-and-caffeine</w:t>
        </w:r>
      </w:hyperlink>
      <w:r w:rsidRPr="001503B2">
        <w:t xml:space="preserve"> [Accessed 15 September 2025]</w:t>
      </w:r>
    </w:p>
    <w:p w14:paraId="1C25B2FF" w14:textId="77777777" w:rsidR="004F3F99" w:rsidRPr="001503B2" w:rsidRDefault="004F3F99" w:rsidP="004F3F99">
      <w:r w:rsidRPr="001503B2">
        <w:t>Australian Institute of Health and Welfare (AIHW) 2016. Monitoring the health impacts of mandatory folic acid and iodine fortification. Cat. no. PHE 208. Canberra: AIHW</w:t>
      </w:r>
    </w:p>
    <w:p w14:paraId="6D509190" w14:textId="77777777" w:rsidR="004F3F99" w:rsidRPr="001503B2" w:rsidRDefault="004F3F99" w:rsidP="004F3F99">
      <w:r w:rsidRPr="001503B2">
        <w:t xml:space="preserve">Australian Institute of Health and Welfare (AIHW) 2024. Cancer data in Australia. Available from: </w:t>
      </w:r>
      <w:hyperlink r:id="rId34" w:history="1">
        <w:r w:rsidRPr="001503B2">
          <w:rPr>
            <w:rStyle w:val="Hyperlink"/>
          </w:rPr>
          <w:t>https://www.aihw.gov.au/reports/cancer/cancer-data-in-australia</w:t>
        </w:r>
      </w:hyperlink>
      <w:r w:rsidRPr="001503B2">
        <w:t xml:space="preserve"> (accessed 20 January 2025) </w:t>
      </w:r>
    </w:p>
    <w:p w14:paraId="46ED329B" w14:textId="77777777" w:rsidR="004F3F99" w:rsidRPr="001503B2" w:rsidRDefault="004F3F99" w:rsidP="004F3F99">
      <w:r w:rsidRPr="001503B2">
        <w:t>Azizi F, Smyth P. Breastfeeding and maternal and infant iodine nutrition. Clin Endocrinol 2009; 70(5): 803</w:t>
      </w:r>
      <w:r>
        <w:t>-</w:t>
      </w:r>
      <w:r w:rsidRPr="001503B2">
        <w:t xml:space="preserve">9. </w:t>
      </w:r>
    </w:p>
    <w:p w14:paraId="14BB305D" w14:textId="77777777" w:rsidR="004F3F99" w:rsidRPr="001503B2" w:rsidRDefault="004F3F99" w:rsidP="004F3F99">
      <w:pPr>
        <w:spacing w:line="276" w:lineRule="auto"/>
      </w:pPr>
      <w:r w:rsidRPr="001503B2">
        <w:t xml:space="preserve">Barkley RA, Thompson TG. The total Iodine and Iodate-iodine content of </w:t>
      </w:r>
      <w:proofErr w:type="gramStart"/>
      <w:r w:rsidRPr="001503B2">
        <w:t>sea-water</w:t>
      </w:r>
      <w:proofErr w:type="gramEnd"/>
      <w:r w:rsidRPr="001503B2">
        <w:t>. Deep Sea Research 1960;7(1):24-34.</w:t>
      </w:r>
    </w:p>
    <w:p w14:paraId="6C3B2145" w14:textId="77777777" w:rsidR="004F3F99" w:rsidRPr="001503B2" w:rsidRDefault="004F3F99" w:rsidP="004F3F99">
      <w:r w:rsidRPr="001503B2">
        <w:t xml:space="preserve">Beckford K, Grimes CA, Margerison C, Riddell LJ, </w:t>
      </w:r>
      <w:proofErr w:type="spellStart"/>
      <w:r w:rsidRPr="001503B2">
        <w:t>Skeaff</w:t>
      </w:r>
      <w:proofErr w:type="spellEnd"/>
      <w:r w:rsidRPr="001503B2">
        <w:t xml:space="preserve"> SA, West ML, </w:t>
      </w:r>
      <w:proofErr w:type="spellStart"/>
      <w:r w:rsidRPr="001503B2">
        <w:t>Nowson</w:t>
      </w:r>
      <w:proofErr w:type="spellEnd"/>
      <w:r w:rsidRPr="001503B2">
        <w:t xml:space="preserve"> CA. A systematic review and meta-analysis of 24-h urinary output of children and adolescents: impact on the assessment of iodine status using urinary biomarkers. </w:t>
      </w:r>
      <w:proofErr w:type="spellStart"/>
      <w:r w:rsidRPr="001503B2">
        <w:t>Eur</w:t>
      </w:r>
      <w:proofErr w:type="spellEnd"/>
      <w:r w:rsidRPr="001503B2">
        <w:t xml:space="preserve"> J Nutr. 2020 Oct;59(7):3113-3131. </w:t>
      </w:r>
      <w:proofErr w:type="spellStart"/>
      <w:r w:rsidRPr="001503B2">
        <w:t>doi</w:t>
      </w:r>
      <w:proofErr w:type="spellEnd"/>
      <w:r w:rsidRPr="001503B2">
        <w:t xml:space="preserve">: 10.1007/s00394-019-02151-w. </w:t>
      </w:r>
      <w:proofErr w:type="spellStart"/>
      <w:r w:rsidRPr="001503B2">
        <w:t>Epub</w:t>
      </w:r>
      <w:proofErr w:type="spellEnd"/>
      <w:r w:rsidRPr="001503B2">
        <w:t xml:space="preserve"> 2019 Nov 29. PMID: 31784814; PMCID: PMC7501103.</w:t>
      </w:r>
    </w:p>
    <w:p w14:paraId="33784AD4" w14:textId="77777777" w:rsidR="004F3F99" w:rsidRPr="001503B2" w:rsidRDefault="004F3F99" w:rsidP="004F3F99">
      <w:r w:rsidRPr="001503B2">
        <w:t xml:space="preserve">Berbel and de Escobar (2011). Iodine and Brain Development. Chapter 135, Handbook of </w:t>
      </w:r>
      <w:proofErr w:type="spellStart"/>
      <w:r w:rsidRPr="001503B2">
        <w:t>Behavior</w:t>
      </w:r>
      <w:proofErr w:type="spellEnd"/>
      <w:r w:rsidRPr="001503B2">
        <w:t xml:space="preserve">, Food and Nutrition. Eds: VR </w:t>
      </w:r>
      <w:proofErr w:type="spellStart"/>
      <w:r w:rsidRPr="001503B2">
        <w:t>Preedy</w:t>
      </w:r>
      <w:proofErr w:type="spellEnd"/>
      <w:r w:rsidRPr="001503B2">
        <w:t>, RR Watson, CR Martin. Springer. pp 2105</w:t>
      </w:r>
      <w:r>
        <w:t>-</w:t>
      </w:r>
      <w:r w:rsidRPr="001503B2">
        <w:t xml:space="preserve">2134 </w:t>
      </w:r>
      <w:hyperlink r:id="rId35" w:history="1">
        <w:r w:rsidRPr="001503B2">
          <w:rPr>
            <w:rStyle w:val="Hyperlink"/>
          </w:rPr>
          <w:t>http://dx.doi.org/10.1007/978-0-387-92271-3_135</w:t>
        </w:r>
      </w:hyperlink>
      <w:r w:rsidRPr="001503B2">
        <w:t xml:space="preserve"> </w:t>
      </w:r>
    </w:p>
    <w:p w14:paraId="28DB7D1C" w14:textId="77777777" w:rsidR="004F3F99" w:rsidRPr="001503B2" w:rsidRDefault="004F3F99" w:rsidP="004F3F99">
      <w:r w:rsidRPr="001503B2">
        <w:t>Bernard JD, McDonald RA and Nesmith JA, 1970. New normal ranges for the radioiodine uptake study. Journal of Nuclear Medicine, 11, 449-451.</w:t>
      </w:r>
    </w:p>
    <w:p w14:paraId="075B69B3" w14:textId="77777777" w:rsidR="004F3F99" w:rsidRPr="001503B2" w:rsidRDefault="004F3F99" w:rsidP="004F3F99">
      <w:proofErr w:type="spellStart"/>
      <w:r w:rsidRPr="001503B2">
        <w:t>Blikra</w:t>
      </w:r>
      <w:proofErr w:type="spellEnd"/>
      <w:r w:rsidRPr="001503B2">
        <w:t xml:space="preserve"> MJ, Henjum S, Aakre I. Iodine from brown algae in human nutrition, with an emphasis on </w:t>
      </w:r>
      <w:proofErr w:type="spellStart"/>
      <w:r w:rsidRPr="001503B2">
        <w:t>bioaccessibility</w:t>
      </w:r>
      <w:proofErr w:type="spellEnd"/>
      <w:r w:rsidRPr="001503B2">
        <w:t xml:space="preserve">, bioavailability, chemistry, and effects of processing: A systematic review. 2022. </w:t>
      </w:r>
      <w:proofErr w:type="spellStart"/>
      <w:r w:rsidRPr="001503B2">
        <w:t>Compr</w:t>
      </w:r>
      <w:proofErr w:type="spellEnd"/>
      <w:r w:rsidRPr="001503B2">
        <w:t xml:space="preserve"> Rev Food Sci Food Saf. 21(2):1517-1536. </w:t>
      </w:r>
      <w:proofErr w:type="spellStart"/>
      <w:r w:rsidRPr="001503B2">
        <w:t>doi</w:t>
      </w:r>
      <w:proofErr w:type="spellEnd"/>
      <w:r w:rsidRPr="001503B2">
        <w:t xml:space="preserve">: 10.1111/1541-4337.12918. </w:t>
      </w:r>
      <w:proofErr w:type="spellStart"/>
      <w:r w:rsidRPr="001503B2">
        <w:t>Epub</w:t>
      </w:r>
      <w:proofErr w:type="spellEnd"/>
      <w:r w:rsidRPr="001503B2">
        <w:t xml:space="preserve"> 2022 Mar 1. PMID: 35233943.</w:t>
      </w:r>
    </w:p>
    <w:p w14:paraId="58F2B94A" w14:textId="77777777" w:rsidR="004F3F99" w:rsidRPr="001503B2" w:rsidRDefault="004F3F99" w:rsidP="004F3F99">
      <w:proofErr w:type="spellStart"/>
      <w:r w:rsidRPr="001503B2">
        <w:t>Blikra</w:t>
      </w:r>
      <w:proofErr w:type="spellEnd"/>
      <w:r w:rsidRPr="001503B2">
        <w:t xml:space="preserve">, M. J., Aakre, I., &amp; </w:t>
      </w:r>
      <w:proofErr w:type="spellStart"/>
      <w:r w:rsidRPr="001503B2">
        <w:t>Rigutto</w:t>
      </w:r>
      <w:proofErr w:type="spellEnd"/>
      <w:r w:rsidRPr="001503B2">
        <w:rPr>
          <w:rFonts w:ascii="Cambria Math" w:hAnsi="Cambria Math" w:cs="Cambria Math"/>
        </w:rPr>
        <w:t>‐</w:t>
      </w:r>
      <w:r w:rsidRPr="001503B2">
        <w:t>Farebrother, J. (2024). Consequences of acute and long</w:t>
      </w:r>
      <w:r w:rsidRPr="001503B2">
        <w:rPr>
          <w:rFonts w:ascii="Cambria Math" w:hAnsi="Cambria Math" w:cs="Cambria Math"/>
        </w:rPr>
        <w:t>‐</w:t>
      </w:r>
      <w:r w:rsidRPr="001503B2">
        <w:t>term excessive iodine intake: A literature review focusing on seaweed as a potential dietary iodine source.</w:t>
      </w:r>
      <w:r w:rsidRPr="001503B2">
        <w:rPr>
          <w:rFonts w:cs="Aptos"/>
        </w:rPr>
        <w:t> </w:t>
      </w:r>
      <w:r w:rsidRPr="001503B2">
        <w:rPr>
          <w:i/>
          <w:iCs/>
        </w:rPr>
        <w:t>Comprehensive Reviews in Food Science and Food Safety</w:t>
      </w:r>
      <w:r w:rsidRPr="001503B2">
        <w:t>, </w:t>
      </w:r>
      <w:r w:rsidRPr="001503B2">
        <w:rPr>
          <w:i/>
          <w:iCs/>
        </w:rPr>
        <w:t>23</w:t>
      </w:r>
      <w:r w:rsidRPr="001503B2">
        <w:t>(6), e70037.</w:t>
      </w:r>
    </w:p>
    <w:p w14:paraId="72BB2DBD" w14:textId="77777777" w:rsidR="004F3F99" w:rsidRPr="001503B2" w:rsidRDefault="004F3F99" w:rsidP="004F3F99">
      <w:proofErr w:type="spellStart"/>
      <w:r w:rsidRPr="001503B2">
        <w:t>Blomhoff</w:t>
      </w:r>
      <w:proofErr w:type="spellEnd"/>
      <w:r w:rsidRPr="001503B2">
        <w:t xml:space="preserve"> R, Andersen R, Arnesen, E et al. 2023. Nordic Nutrition Recommendations 2023. Nordic Council of Ministers, Copenhagen. Available from </w:t>
      </w:r>
      <w:hyperlink r:id="rId36" w:history="1">
        <w:r w:rsidRPr="001503B2">
          <w:rPr>
            <w:rStyle w:val="Hyperlink"/>
          </w:rPr>
          <w:t>https://pub.norden.org/nord2023-003/nord2023-003.pdf</w:t>
        </w:r>
      </w:hyperlink>
      <w:r w:rsidRPr="001503B2">
        <w:t xml:space="preserve">. Accessed 5 December 2024.  </w:t>
      </w:r>
    </w:p>
    <w:p w14:paraId="11D68E0B" w14:textId="77777777" w:rsidR="004F3F99" w:rsidRPr="001503B2" w:rsidRDefault="004F3F99" w:rsidP="004F3F99">
      <w:pPr>
        <w:spacing w:line="240" w:lineRule="auto"/>
      </w:pPr>
      <w:proofErr w:type="spellStart"/>
      <w:r w:rsidRPr="001503B2">
        <w:t>Bolfi</w:t>
      </w:r>
      <w:proofErr w:type="spellEnd"/>
      <w:r w:rsidRPr="001503B2">
        <w:t xml:space="preserve"> F, Marum MB, Fonseca SEDS, </w:t>
      </w:r>
      <w:proofErr w:type="spellStart"/>
      <w:r w:rsidRPr="001503B2">
        <w:t>Mazeto</w:t>
      </w:r>
      <w:proofErr w:type="spellEnd"/>
      <w:r w:rsidRPr="001503B2">
        <w:t xml:space="preserve"> GMFS, Nogueira CR, Nunes-Nogueira VDS. Association between individual urinary iodine concentrations in pregnant women and maternal/newborn outcomes. </w:t>
      </w:r>
      <w:proofErr w:type="spellStart"/>
      <w:r w:rsidRPr="001503B2">
        <w:t>Endocr</w:t>
      </w:r>
      <w:proofErr w:type="spellEnd"/>
      <w:r w:rsidRPr="001503B2">
        <w:t xml:space="preserve"> Connect. 2025 Jan 29;14(3</w:t>
      </w:r>
      <w:proofErr w:type="gramStart"/>
      <w:r w:rsidRPr="001503B2">
        <w:t>):e</w:t>
      </w:r>
      <w:proofErr w:type="gramEnd"/>
      <w:r w:rsidRPr="001503B2">
        <w:t xml:space="preserve">240621. </w:t>
      </w:r>
      <w:proofErr w:type="spellStart"/>
      <w:r w:rsidRPr="001503B2">
        <w:t>doi</w:t>
      </w:r>
      <w:proofErr w:type="spellEnd"/>
      <w:r w:rsidRPr="001503B2">
        <w:t>: 10.1530/EC-24-0621. PMID: 39804211; PMCID: PMC11799753.</w:t>
      </w:r>
    </w:p>
    <w:p w14:paraId="6F140280" w14:textId="77777777" w:rsidR="004F3F99" w:rsidRPr="001503B2" w:rsidRDefault="004F3F99" w:rsidP="004F3F99">
      <w:pPr>
        <w:spacing w:line="240" w:lineRule="auto"/>
      </w:pPr>
      <w:r w:rsidRPr="001503B2">
        <w:t xml:space="preserve">Bottini PV, </w:t>
      </w:r>
      <w:proofErr w:type="spellStart"/>
      <w:r w:rsidRPr="001503B2">
        <w:t>Garlipp</w:t>
      </w:r>
      <w:proofErr w:type="spellEnd"/>
      <w:r w:rsidRPr="001503B2">
        <w:t xml:space="preserve"> CR, Lima PRM, Brito IT, Carvalho LMG. Are patients adequately informed about procedures for 24-h urine collection. Clin Chem Lab Med. </w:t>
      </w:r>
      <w:proofErr w:type="gramStart"/>
      <w:r w:rsidRPr="001503B2">
        <w:t>2020;58:32</w:t>
      </w:r>
      <w:proofErr w:type="gramEnd"/>
      <w:r>
        <w:t>-</w:t>
      </w:r>
      <w:r w:rsidRPr="001503B2">
        <w:t>5. Braverman K D and Pearce E N. 2025. Iodine and Hyperthyroidism: A Double-Edged Sword, En</w:t>
      </w:r>
      <w:r w:rsidRPr="001503B2">
        <w:rPr>
          <w:i/>
          <w:iCs/>
        </w:rPr>
        <w:t xml:space="preserve">docrine Practice, </w:t>
      </w:r>
      <w:r w:rsidRPr="001503B2">
        <w:t>Vol 31 (3), pp. 390-395</w:t>
      </w:r>
    </w:p>
    <w:p w14:paraId="6DB0E5C7" w14:textId="77777777" w:rsidR="004F3F99" w:rsidRPr="001503B2" w:rsidRDefault="004F3F99" w:rsidP="004F3F99">
      <w:r w:rsidRPr="001503B2">
        <w:lastRenderedPageBreak/>
        <w:t xml:space="preserve">Brough L and </w:t>
      </w:r>
      <w:proofErr w:type="spellStart"/>
      <w:r w:rsidRPr="001503B2">
        <w:t>Skeaff</w:t>
      </w:r>
      <w:proofErr w:type="spellEnd"/>
      <w:r w:rsidRPr="001503B2">
        <w:t xml:space="preserve"> S. 2024. Iodine. </w:t>
      </w:r>
      <w:r w:rsidRPr="001503B2">
        <w:rPr>
          <w:i/>
          <w:iCs/>
        </w:rPr>
        <w:t>Advances in Nutrition</w:t>
      </w:r>
      <w:r w:rsidRPr="001503B2">
        <w:t>, 15 (2) 100168, ISSN 2161-8313, https://doi.org/10.1016/j.advnut.2024.100168</w:t>
      </w:r>
    </w:p>
    <w:p w14:paraId="366BF81B" w14:textId="77777777" w:rsidR="004F3F99" w:rsidRPr="001503B2" w:rsidRDefault="004F3F99" w:rsidP="004F3F99">
      <w:r w:rsidRPr="001503B2">
        <w:t xml:space="preserve">Businge CB, </w:t>
      </w:r>
      <w:proofErr w:type="spellStart"/>
      <w:r w:rsidRPr="001503B2">
        <w:t>Usenbo</w:t>
      </w:r>
      <w:proofErr w:type="spellEnd"/>
      <w:r w:rsidRPr="001503B2">
        <w:t xml:space="preserve"> A, Longo-Mbenza B, Kengne AP. Insufficient iodine nutrition status and the risk of pre-eclampsia: a systemic review and meta-analysis. BMJ Open. 2021 Feb 10;11(2) </w:t>
      </w:r>
    </w:p>
    <w:p w14:paraId="671A048A" w14:textId="77777777" w:rsidR="004F3F99" w:rsidRPr="001503B2" w:rsidRDefault="004F3F99" w:rsidP="004F3F99">
      <w:pPr>
        <w:rPr>
          <w:rFonts w:eastAsia="Times New Roman"/>
        </w:rPr>
      </w:pPr>
      <w:r w:rsidRPr="001503B2">
        <w:rPr>
          <w:rFonts w:eastAsia="Times New Roman"/>
        </w:rPr>
        <w:t>Cao LZ, Peng XD, Xie JP, Yang FH, Wen HL, Li S. The relationship between iodine intake and the risk of thyroid cancer: A meta-analysis. Medicine (Baltimore). 2017 May;96(20</w:t>
      </w:r>
      <w:proofErr w:type="gramStart"/>
      <w:r w:rsidRPr="001503B2">
        <w:rPr>
          <w:rFonts w:eastAsia="Times New Roman"/>
        </w:rPr>
        <w:t>):e</w:t>
      </w:r>
      <w:proofErr w:type="gramEnd"/>
      <w:r w:rsidRPr="001503B2">
        <w:rPr>
          <w:rFonts w:eastAsia="Times New Roman"/>
        </w:rPr>
        <w:t xml:space="preserve">6734. </w:t>
      </w:r>
      <w:proofErr w:type="spellStart"/>
      <w:r w:rsidRPr="001503B2">
        <w:rPr>
          <w:rFonts w:eastAsia="Times New Roman"/>
        </w:rPr>
        <w:t>doi</w:t>
      </w:r>
      <w:proofErr w:type="spellEnd"/>
      <w:r w:rsidRPr="001503B2">
        <w:rPr>
          <w:rFonts w:eastAsia="Times New Roman"/>
        </w:rPr>
        <w:t>: 10.1097/MD.0000000000006734. PMID: 28514290; PMCID: PMC5440127.</w:t>
      </w:r>
    </w:p>
    <w:p w14:paraId="6C2D0F14" w14:textId="77777777" w:rsidR="004F3F99" w:rsidRPr="001503B2" w:rsidRDefault="004F3F99" w:rsidP="004F3F99">
      <w:pPr>
        <w:rPr>
          <w:rFonts w:eastAsia="Times New Roman"/>
          <w:i/>
          <w:iCs/>
        </w:rPr>
      </w:pPr>
      <w:proofErr w:type="spellStart"/>
      <w:r w:rsidRPr="001503B2">
        <w:rPr>
          <w:rFonts w:eastAsia="Times New Roman"/>
        </w:rPr>
        <w:t>Centers</w:t>
      </w:r>
      <w:proofErr w:type="spellEnd"/>
      <w:r w:rsidRPr="001503B2">
        <w:rPr>
          <w:rFonts w:eastAsia="Times New Roman"/>
        </w:rPr>
        <w:t xml:space="preserve"> for Disease Control and Prevention, National </w:t>
      </w:r>
      <w:proofErr w:type="spellStart"/>
      <w:r w:rsidRPr="001503B2">
        <w:rPr>
          <w:rFonts w:eastAsia="Times New Roman"/>
        </w:rPr>
        <w:t>Center</w:t>
      </w:r>
      <w:proofErr w:type="spellEnd"/>
      <w:r w:rsidRPr="001503B2">
        <w:rPr>
          <w:rFonts w:eastAsia="Times New Roman"/>
        </w:rPr>
        <w:t xml:space="preserve"> for Environmental Health, Division of Laboratory Sciences. </w:t>
      </w:r>
      <w:r w:rsidRPr="001503B2">
        <w:rPr>
          <w:rFonts w:eastAsia="Times New Roman"/>
          <w:i/>
          <w:iCs/>
        </w:rPr>
        <w:t xml:space="preserve">Second National Report on Biochemical Indicators of Diet and Nutrition in the US Population, 2012. </w:t>
      </w:r>
    </w:p>
    <w:p w14:paraId="17A85027" w14:textId="77777777" w:rsidR="004F3F99" w:rsidRPr="001503B2" w:rsidRDefault="004F3F99" w:rsidP="004F3F99">
      <w:pPr>
        <w:rPr>
          <w:rFonts w:eastAsia="Times New Roman"/>
        </w:rPr>
      </w:pPr>
      <w:r w:rsidRPr="001503B2">
        <w:rPr>
          <w:rFonts w:eastAsia="Times New Roman"/>
        </w:rPr>
        <w:t xml:space="preserve">Chen W, Wang W, Gao M, Chen Y, Guo W, et. al. 2023. Iodine Intakes of &lt;150μg/day or &gt;550μg/day are Not Recommended during Pregnancy: A Balance Study. </w:t>
      </w:r>
      <w:r w:rsidRPr="001503B2">
        <w:rPr>
          <w:rFonts w:eastAsia="Times New Roman"/>
          <w:i/>
          <w:iCs/>
        </w:rPr>
        <w:t xml:space="preserve">The Journal of Nutrition, </w:t>
      </w:r>
      <w:r w:rsidRPr="001503B2">
        <w:rPr>
          <w:rFonts w:eastAsia="Times New Roman"/>
        </w:rPr>
        <w:t xml:space="preserve">153 (7), pp. 2041-2050 </w:t>
      </w:r>
    </w:p>
    <w:p w14:paraId="2F17B293" w14:textId="77777777" w:rsidR="004F3F99" w:rsidRPr="001503B2" w:rsidRDefault="004F3F99" w:rsidP="004F3F99">
      <w:pPr>
        <w:rPr>
          <w:rFonts w:eastAsia="Times New Roman"/>
        </w:rPr>
      </w:pPr>
      <w:proofErr w:type="spellStart"/>
      <w:proofErr w:type="gramStart"/>
      <w:r w:rsidRPr="001503B2">
        <w:rPr>
          <w:rFonts w:eastAsia="Times New Roman"/>
        </w:rPr>
        <w:t>Colzani</w:t>
      </w:r>
      <w:proofErr w:type="spellEnd"/>
      <w:r w:rsidRPr="001503B2">
        <w:rPr>
          <w:rFonts w:eastAsia="Times New Roman"/>
        </w:rPr>
        <w:t xml:space="preserve">  R</w:t>
      </w:r>
      <w:proofErr w:type="gramEnd"/>
      <w:r w:rsidRPr="001503B2">
        <w:rPr>
          <w:rFonts w:eastAsia="Times New Roman"/>
        </w:rPr>
        <w:t xml:space="preserve">, </w:t>
      </w:r>
      <w:proofErr w:type="gramStart"/>
      <w:r w:rsidRPr="001503B2">
        <w:rPr>
          <w:rFonts w:eastAsia="Times New Roman"/>
        </w:rPr>
        <w:t>Fang  S</w:t>
      </w:r>
      <w:proofErr w:type="gramEnd"/>
      <w:r w:rsidRPr="001503B2">
        <w:rPr>
          <w:rFonts w:eastAsia="Times New Roman"/>
        </w:rPr>
        <w:t xml:space="preserve"> L, </w:t>
      </w:r>
      <w:proofErr w:type="gramStart"/>
      <w:r w:rsidRPr="001503B2">
        <w:rPr>
          <w:rFonts w:eastAsia="Times New Roman"/>
        </w:rPr>
        <w:t>Alex  S</w:t>
      </w:r>
      <w:proofErr w:type="gramEnd"/>
      <w:r w:rsidRPr="001503B2">
        <w:rPr>
          <w:rFonts w:eastAsia="Times New Roman"/>
        </w:rPr>
        <w:t xml:space="preserve">, </w:t>
      </w:r>
      <w:proofErr w:type="gramStart"/>
      <w:r w:rsidRPr="001503B2">
        <w:rPr>
          <w:rFonts w:eastAsia="Times New Roman"/>
        </w:rPr>
        <w:t>Braverman  LE</w:t>
      </w:r>
      <w:proofErr w:type="gramEnd"/>
      <w:r w:rsidRPr="001503B2">
        <w:rPr>
          <w:rFonts w:eastAsia="Times New Roman"/>
        </w:rPr>
        <w:t>. 1998. The effect of nicotine on thyroid function in rats. </w:t>
      </w:r>
      <w:r w:rsidRPr="001503B2">
        <w:rPr>
          <w:rFonts w:eastAsia="Times New Roman"/>
          <w:i/>
          <w:iCs/>
        </w:rPr>
        <w:t> Metabolism.</w:t>
      </w:r>
      <w:r w:rsidRPr="001503B2">
        <w:rPr>
          <w:rFonts w:eastAsia="Times New Roman"/>
        </w:rPr>
        <w:t>  47, 154- 157</w:t>
      </w:r>
    </w:p>
    <w:p w14:paraId="3B2A730A" w14:textId="77777777" w:rsidR="004F3F99" w:rsidRPr="001503B2" w:rsidRDefault="004F3F99" w:rsidP="004F3F99">
      <w:proofErr w:type="spellStart"/>
      <w:r w:rsidRPr="001503B2">
        <w:t>Dafnis</w:t>
      </w:r>
      <w:proofErr w:type="spellEnd"/>
      <w:r w:rsidRPr="001503B2">
        <w:t xml:space="preserve"> E, Sabatini S. 1992. The effect of pregnancy on renal function: physiology and pathophysiology. </w:t>
      </w:r>
      <w:r w:rsidRPr="001503B2">
        <w:rPr>
          <w:i/>
          <w:iCs/>
        </w:rPr>
        <w:t>Am J Med Sci</w:t>
      </w:r>
      <w:r w:rsidRPr="001503B2">
        <w:t xml:space="preserve"> 303:184</w:t>
      </w:r>
      <w:r>
        <w:t>-</w:t>
      </w:r>
      <w:r w:rsidRPr="001503B2">
        <w:t>205</w:t>
      </w:r>
    </w:p>
    <w:p w14:paraId="668C24F7" w14:textId="77777777" w:rsidR="004F3F99" w:rsidRPr="001503B2" w:rsidRDefault="004F3F99" w:rsidP="004F3F99">
      <w:pPr>
        <w:rPr>
          <w:rFonts w:eastAsia="Times New Roman"/>
        </w:rPr>
      </w:pPr>
      <w:r w:rsidRPr="001503B2">
        <w:rPr>
          <w:rFonts w:eastAsia="Times New Roman"/>
        </w:rPr>
        <w:t xml:space="preserve">D-A-CH (2015). German Nutrition Society, Austrian Nutrition Society, Swiss Nutrition Society (eds.). Dietary Reference Values. 2nd version of the 1st edition 2015, Neuer </w:t>
      </w:r>
      <w:proofErr w:type="spellStart"/>
      <w:r w:rsidRPr="001503B2">
        <w:rPr>
          <w:rFonts w:eastAsia="Times New Roman"/>
        </w:rPr>
        <w:t>Umschau</w:t>
      </w:r>
      <w:proofErr w:type="spellEnd"/>
      <w:r w:rsidRPr="001503B2">
        <w:rPr>
          <w:rFonts w:eastAsia="Times New Roman"/>
        </w:rPr>
        <w:t xml:space="preserve"> </w:t>
      </w:r>
      <w:proofErr w:type="spellStart"/>
      <w:r w:rsidRPr="001503B2">
        <w:rPr>
          <w:rFonts w:eastAsia="Times New Roman"/>
        </w:rPr>
        <w:t>Buchverlag</w:t>
      </w:r>
      <w:proofErr w:type="spellEnd"/>
      <w:r w:rsidRPr="001503B2">
        <w:rPr>
          <w:rFonts w:eastAsia="Times New Roman"/>
        </w:rPr>
        <w:t xml:space="preserve">. </w:t>
      </w:r>
    </w:p>
    <w:p w14:paraId="29730BDF" w14:textId="77777777" w:rsidR="004F3F99" w:rsidRPr="001503B2" w:rsidRDefault="004F3F99" w:rsidP="004F3F99">
      <w:pPr>
        <w:rPr>
          <w:rFonts w:eastAsia="Times New Roman"/>
        </w:rPr>
      </w:pPr>
      <w:r w:rsidRPr="001503B2">
        <w:rPr>
          <w:rFonts w:eastAsia="Times New Roman"/>
        </w:rPr>
        <w:t xml:space="preserve">DeGroot LJ, 1966. Kinetic analysis of iodine metabolism. Journal of Clinical Endocrinology and Metabolism, 26, 149-173. </w:t>
      </w:r>
    </w:p>
    <w:p w14:paraId="3D9B3251" w14:textId="77777777" w:rsidR="004F3F99" w:rsidRPr="001503B2" w:rsidRDefault="004F3F99" w:rsidP="004F3F99">
      <w:pPr>
        <w:rPr>
          <w:rFonts w:eastAsia="Times New Roman"/>
        </w:rPr>
      </w:pPr>
      <w:r w:rsidRPr="001503B2">
        <w:rPr>
          <w:rFonts w:eastAsia="Times New Roman"/>
        </w:rPr>
        <w:t xml:space="preserve">Delange F, </w:t>
      </w:r>
      <w:proofErr w:type="spellStart"/>
      <w:r w:rsidRPr="001503B2">
        <w:rPr>
          <w:rFonts w:eastAsia="Times New Roman"/>
        </w:rPr>
        <w:t>Bourdoux</w:t>
      </w:r>
      <w:proofErr w:type="spellEnd"/>
      <w:r w:rsidRPr="001503B2">
        <w:rPr>
          <w:rFonts w:eastAsia="Times New Roman"/>
        </w:rPr>
        <w:t xml:space="preserve"> P, Vo </w:t>
      </w:r>
      <w:proofErr w:type="spellStart"/>
      <w:r w:rsidRPr="001503B2">
        <w:rPr>
          <w:rFonts w:eastAsia="Times New Roman"/>
        </w:rPr>
        <w:t>Thi</w:t>
      </w:r>
      <w:proofErr w:type="spellEnd"/>
      <w:r w:rsidRPr="001503B2">
        <w:rPr>
          <w:rFonts w:eastAsia="Times New Roman"/>
        </w:rPr>
        <w:t xml:space="preserve"> LD, </w:t>
      </w:r>
      <w:proofErr w:type="spellStart"/>
      <w:r w:rsidRPr="001503B2">
        <w:rPr>
          <w:rFonts w:eastAsia="Times New Roman"/>
        </w:rPr>
        <w:t>Ermans</w:t>
      </w:r>
      <w:proofErr w:type="spellEnd"/>
      <w:r w:rsidRPr="001503B2">
        <w:rPr>
          <w:rFonts w:eastAsia="Times New Roman"/>
        </w:rPr>
        <w:t xml:space="preserve"> AM, </w:t>
      </w:r>
      <w:proofErr w:type="spellStart"/>
      <w:r w:rsidRPr="001503B2">
        <w:rPr>
          <w:rFonts w:eastAsia="Times New Roman"/>
        </w:rPr>
        <w:t>Senterre</w:t>
      </w:r>
      <w:proofErr w:type="spellEnd"/>
      <w:r w:rsidRPr="001503B2">
        <w:rPr>
          <w:rFonts w:eastAsia="Times New Roman"/>
        </w:rPr>
        <w:t xml:space="preserve"> J. 1984. Negative iodine balance in preterm infants. </w:t>
      </w:r>
      <w:r w:rsidRPr="001503B2">
        <w:rPr>
          <w:rFonts w:eastAsia="Times New Roman"/>
          <w:i/>
          <w:iCs/>
        </w:rPr>
        <w:t>Ann Endocrinol</w:t>
      </w:r>
      <w:r w:rsidRPr="001503B2">
        <w:rPr>
          <w:rFonts w:eastAsia="Times New Roman"/>
        </w:rPr>
        <w:t> 45:77.</w:t>
      </w:r>
    </w:p>
    <w:p w14:paraId="05E63222" w14:textId="77777777" w:rsidR="004F3F99" w:rsidRPr="001503B2" w:rsidRDefault="004F3F99" w:rsidP="004F3F99">
      <w:r w:rsidRPr="001503B2">
        <w:t>Delange F, Burgi H. 1989. Iodine deficiency disorders in Europe. </w:t>
      </w:r>
      <w:r w:rsidRPr="001503B2">
        <w:rPr>
          <w:i/>
          <w:iCs/>
        </w:rPr>
        <w:t>Bull World Health Organ</w:t>
      </w:r>
      <w:r w:rsidRPr="001503B2">
        <w:t xml:space="preserve"> 67:317</w:t>
      </w:r>
      <w:r>
        <w:t>-</w:t>
      </w:r>
      <w:r w:rsidRPr="001503B2">
        <w:t xml:space="preserve">325. </w:t>
      </w:r>
    </w:p>
    <w:p w14:paraId="6B1DFA9F" w14:textId="77777777" w:rsidR="004F3F99" w:rsidRPr="001503B2" w:rsidRDefault="004F3F99" w:rsidP="004F3F99">
      <w:r w:rsidRPr="001503B2">
        <w:t xml:space="preserve">Delange F, </w:t>
      </w:r>
      <w:proofErr w:type="spellStart"/>
      <w:r w:rsidRPr="001503B2">
        <w:t>Ermans</w:t>
      </w:r>
      <w:proofErr w:type="spellEnd"/>
      <w:r w:rsidRPr="001503B2">
        <w:t xml:space="preserve"> AM. 1991.Iodine deficiency. In: Braverman LE, </w:t>
      </w:r>
      <w:proofErr w:type="gramStart"/>
      <w:r w:rsidRPr="001503B2">
        <w:t xml:space="preserve">editor;  </w:t>
      </w:r>
      <w:proofErr w:type="spellStart"/>
      <w:r w:rsidRPr="001503B2">
        <w:t>Utiger</w:t>
      </w:r>
      <w:proofErr w:type="spellEnd"/>
      <w:proofErr w:type="gramEnd"/>
      <w:r w:rsidRPr="001503B2">
        <w:t xml:space="preserve"> RD, editor</w:t>
      </w:r>
      <w:proofErr w:type="gramStart"/>
      <w:r w:rsidRPr="001503B2">
        <w:t>. ,</w:t>
      </w:r>
      <w:proofErr w:type="gramEnd"/>
      <w:r w:rsidRPr="001503B2">
        <w:t xml:space="preserve"> eds. </w:t>
      </w:r>
      <w:r w:rsidRPr="001503B2">
        <w:rPr>
          <w:i/>
          <w:iCs/>
        </w:rPr>
        <w:t xml:space="preserve">Werner and Ingbar's the Thyroid: A Fundamental and Clinical </w:t>
      </w:r>
      <w:proofErr w:type="gramStart"/>
      <w:r w:rsidRPr="001503B2">
        <w:rPr>
          <w:i/>
          <w:iCs/>
        </w:rPr>
        <w:t>Text</w:t>
      </w:r>
      <w:r w:rsidRPr="001503B2">
        <w:t> </w:t>
      </w:r>
      <w:r w:rsidRPr="001503B2">
        <w:rPr>
          <w:i/>
          <w:iCs/>
        </w:rPr>
        <w:t>,</w:t>
      </w:r>
      <w:proofErr w:type="gramEnd"/>
      <w:r w:rsidRPr="001503B2">
        <w:rPr>
          <w:i/>
          <w:iCs/>
        </w:rPr>
        <w:t> </w:t>
      </w:r>
      <w:r w:rsidRPr="001503B2">
        <w:t>6th ed. Philadelphia: JD Lippincott.</w:t>
      </w:r>
    </w:p>
    <w:p w14:paraId="78248F68" w14:textId="77777777" w:rsidR="004F3F99" w:rsidRPr="001503B2" w:rsidRDefault="004F3F99" w:rsidP="004F3F99">
      <w:r w:rsidRPr="001503B2">
        <w:t xml:space="preserve">Delange F, Benker G, Caron P, Eber O, Ott W, Peter F, Podoba J, </w:t>
      </w:r>
      <w:proofErr w:type="spellStart"/>
      <w:r w:rsidRPr="001503B2">
        <w:t>Simescu</w:t>
      </w:r>
      <w:proofErr w:type="spellEnd"/>
      <w:r w:rsidRPr="001503B2">
        <w:t xml:space="preserve"> M, </w:t>
      </w:r>
      <w:proofErr w:type="spellStart"/>
      <w:r w:rsidRPr="001503B2">
        <w:t>Szybinsky</w:t>
      </w:r>
      <w:proofErr w:type="spellEnd"/>
      <w:r w:rsidRPr="001503B2">
        <w:t xml:space="preserve"> Z, </w:t>
      </w:r>
      <w:proofErr w:type="spellStart"/>
      <w:r w:rsidRPr="001503B2">
        <w:t>Vertongen</w:t>
      </w:r>
      <w:proofErr w:type="spellEnd"/>
      <w:r w:rsidRPr="001503B2">
        <w:t xml:space="preserve"> F, Vitti P, </w:t>
      </w:r>
      <w:proofErr w:type="spellStart"/>
      <w:r w:rsidRPr="001503B2">
        <w:t>Wiersinga</w:t>
      </w:r>
      <w:proofErr w:type="spellEnd"/>
      <w:r w:rsidRPr="001503B2">
        <w:t xml:space="preserve"> W, </w:t>
      </w:r>
      <w:proofErr w:type="spellStart"/>
      <w:r w:rsidRPr="001503B2">
        <w:t>Zamrazil</w:t>
      </w:r>
      <w:proofErr w:type="spellEnd"/>
      <w:r w:rsidRPr="001503B2">
        <w:t xml:space="preserve"> V. Thyroid volume and urinary iodine in European schoolchildren: standardization of values for assessment of iodine deficiency. </w:t>
      </w:r>
      <w:proofErr w:type="spellStart"/>
      <w:r w:rsidRPr="001503B2">
        <w:t>Eur</w:t>
      </w:r>
      <w:proofErr w:type="spellEnd"/>
      <w:r w:rsidRPr="001503B2">
        <w:t xml:space="preserve"> J Endocrinol. 1997 Feb;136(2):180-7. </w:t>
      </w:r>
      <w:proofErr w:type="spellStart"/>
      <w:r w:rsidRPr="001503B2">
        <w:t>doi</w:t>
      </w:r>
      <w:proofErr w:type="spellEnd"/>
      <w:r w:rsidRPr="001503B2">
        <w:t xml:space="preserve">: 10.1530/eje.0.1360180. PMID: 9116913. </w:t>
      </w:r>
    </w:p>
    <w:p w14:paraId="2D9E8D7B" w14:textId="77777777" w:rsidR="004F3F99" w:rsidRPr="001503B2" w:rsidRDefault="004F3F99" w:rsidP="004F3F99">
      <w:proofErr w:type="spellStart"/>
      <w:r w:rsidRPr="001503B2">
        <w:rPr>
          <w:color w:val="000000"/>
        </w:rPr>
        <w:t>Delitala</w:t>
      </w:r>
      <w:proofErr w:type="spellEnd"/>
      <w:r w:rsidRPr="001503B2">
        <w:rPr>
          <w:color w:val="000000"/>
        </w:rPr>
        <w:t xml:space="preserve"> AP, Fanciulli G, </w:t>
      </w:r>
      <w:proofErr w:type="spellStart"/>
      <w:r w:rsidRPr="001503B2">
        <w:rPr>
          <w:color w:val="000000"/>
        </w:rPr>
        <w:t>Maioli</w:t>
      </w:r>
      <w:proofErr w:type="spellEnd"/>
      <w:r w:rsidRPr="001503B2">
        <w:rPr>
          <w:color w:val="000000"/>
        </w:rPr>
        <w:t xml:space="preserve"> M, </w:t>
      </w:r>
      <w:proofErr w:type="spellStart"/>
      <w:r w:rsidRPr="001503B2">
        <w:rPr>
          <w:color w:val="000000"/>
        </w:rPr>
        <w:t>Delitala</w:t>
      </w:r>
      <w:proofErr w:type="spellEnd"/>
      <w:r w:rsidRPr="001503B2">
        <w:rPr>
          <w:color w:val="000000"/>
        </w:rPr>
        <w:t xml:space="preserve"> G. Subclinical hypothyroidism, lipid metabolism and cardiovascular disease.</w:t>
      </w:r>
      <w:r w:rsidRPr="001503B2">
        <w:rPr>
          <w:rStyle w:val="apple-converted-space"/>
          <w:color w:val="000000"/>
        </w:rPr>
        <w:t> </w:t>
      </w:r>
      <w:proofErr w:type="spellStart"/>
      <w:r w:rsidRPr="001503B2">
        <w:rPr>
          <w:rStyle w:val="ref-journal"/>
          <w:color w:val="000000"/>
        </w:rPr>
        <w:t>Eur</w:t>
      </w:r>
      <w:proofErr w:type="spellEnd"/>
      <w:r w:rsidRPr="001503B2">
        <w:rPr>
          <w:rStyle w:val="ref-journal"/>
          <w:color w:val="000000"/>
        </w:rPr>
        <w:t xml:space="preserve"> J Intern Med.</w:t>
      </w:r>
      <w:r w:rsidRPr="001503B2">
        <w:rPr>
          <w:rStyle w:val="apple-converted-space"/>
          <w:color w:val="000000"/>
        </w:rPr>
        <w:t> </w:t>
      </w:r>
      <w:r w:rsidRPr="001503B2">
        <w:rPr>
          <w:color w:val="000000"/>
        </w:rPr>
        <w:t xml:space="preserve">2017 </w:t>
      </w:r>
      <w:proofErr w:type="gramStart"/>
      <w:r w:rsidRPr="001503B2">
        <w:rPr>
          <w:color w:val="000000"/>
        </w:rPr>
        <w:t>Mar;</w:t>
      </w:r>
      <w:r w:rsidRPr="001503B2">
        <w:rPr>
          <w:rStyle w:val="ref-vol"/>
          <w:color w:val="000000"/>
        </w:rPr>
        <w:t>38</w:t>
      </w:r>
      <w:r w:rsidRPr="001503B2">
        <w:rPr>
          <w:color w:val="000000"/>
        </w:rPr>
        <w:t>:17</w:t>
      </w:r>
      <w:proofErr w:type="gramEnd"/>
      <w:r w:rsidRPr="001503B2">
        <w:rPr>
          <w:color w:val="000000"/>
        </w:rPr>
        <w:t>-24</w:t>
      </w:r>
    </w:p>
    <w:p w14:paraId="36A67589" w14:textId="77777777" w:rsidR="004F3F99" w:rsidRPr="001503B2" w:rsidRDefault="004F3F99" w:rsidP="004F3F99">
      <w:proofErr w:type="spellStart"/>
      <w:r w:rsidRPr="001503B2">
        <w:t>Dohán</w:t>
      </w:r>
      <w:proofErr w:type="spellEnd"/>
      <w:r w:rsidRPr="001503B2">
        <w:t xml:space="preserve"> O, De la Vieja A, </w:t>
      </w:r>
      <w:proofErr w:type="spellStart"/>
      <w:r w:rsidRPr="001503B2">
        <w:t>Praoder</w:t>
      </w:r>
      <w:proofErr w:type="spellEnd"/>
      <w:r w:rsidRPr="001503B2">
        <w:t xml:space="preserve"> V, Riedel C, Artani M, Reed M, Ginter CS, Carrasco N. The sodium/iodide symporter (NIS): Characterization, regulation and medical significance. Endocrine Reviews 2003;24(l):48-77.</w:t>
      </w:r>
    </w:p>
    <w:p w14:paraId="2AF7D80C" w14:textId="77777777" w:rsidR="004F3F99" w:rsidRPr="001503B2" w:rsidRDefault="004F3F99" w:rsidP="004F3F99">
      <w:proofErr w:type="spellStart"/>
      <w:r w:rsidRPr="001503B2">
        <w:lastRenderedPageBreak/>
        <w:t>Dineva</w:t>
      </w:r>
      <w:proofErr w:type="spellEnd"/>
      <w:r w:rsidRPr="001503B2">
        <w:t xml:space="preserve"> M, Fishpool H, Rayman MP, Mendis J, Bath SC. Systematic review and meta-analysis of the effects of iodine supplementation on thyroid function and child neurodevelopment in mildly-to-moderately iodine-deficient pregnant women. Am J Clin Nutr. 2020 Aug 1;112(2):389-412. </w:t>
      </w:r>
      <w:proofErr w:type="spellStart"/>
      <w:r w:rsidRPr="001503B2">
        <w:t>doi</w:t>
      </w:r>
      <w:proofErr w:type="spellEnd"/>
      <w:r w:rsidRPr="001503B2">
        <w:t>: 10.1093/</w:t>
      </w:r>
      <w:proofErr w:type="spellStart"/>
      <w:r w:rsidRPr="001503B2">
        <w:t>ajcn</w:t>
      </w:r>
      <w:proofErr w:type="spellEnd"/>
      <w:r w:rsidRPr="001503B2">
        <w:t>/nqaa071. PMID: 32320029.</w:t>
      </w:r>
    </w:p>
    <w:p w14:paraId="0127FE95" w14:textId="77777777" w:rsidR="004F3F99" w:rsidRPr="001503B2" w:rsidRDefault="004F3F99" w:rsidP="004F3F99">
      <w:proofErr w:type="spellStart"/>
      <w:r w:rsidRPr="001503B2">
        <w:t>Dineva</w:t>
      </w:r>
      <w:proofErr w:type="spellEnd"/>
      <w:r w:rsidRPr="001503B2">
        <w:t xml:space="preserve"> M, Rayman MP, Bath SC. 2021. Iodine status of consumers of milk-alternative drinks </w:t>
      </w:r>
      <w:r w:rsidRPr="001503B2">
        <w:rPr>
          <w:i/>
          <w:iCs/>
        </w:rPr>
        <w:t>v</w:t>
      </w:r>
      <w:r w:rsidRPr="001503B2">
        <w:t xml:space="preserve">. cows' milk: data from the UK National Diet and Nutrition Survey. Br J Nutr. 126(1):28-36. </w:t>
      </w:r>
      <w:proofErr w:type="spellStart"/>
      <w:r w:rsidRPr="001503B2">
        <w:t>doi</w:t>
      </w:r>
      <w:proofErr w:type="spellEnd"/>
      <w:r w:rsidRPr="001503B2">
        <w:t>: 10.1017/S0007114520003876.</w:t>
      </w:r>
    </w:p>
    <w:p w14:paraId="765E52C6" w14:textId="77777777" w:rsidR="004F3F99" w:rsidRPr="001503B2" w:rsidRDefault="004F3F99" w:rsidP="004F3F99">
      <w:proofErr w:type="spellStart"/>
      <w:r w:rsidRPr="001503B2">
        <w:t>Dineva</w:t>
      </w:r>
      <w:proofErr w:type="spellEnd"/>
      <w:r w:rsidRPr="001503B2">
        <w:t xml:space="preserve"> M, Hall A, Tan M, </w:t>
      </w:r>
      <w:proofErr w:type="spellStart"/>
      <w:r w:rsidRPr="001503B2">
        <w:t>Blaskova</w:t>
      </w:r>
      <w:proofErr w:type="spellEnd"/>
      <w:r w:rsidRPr="001503B2">
        <w:t xml:space="preserve"> A, Bath SC. Iodine status during child development and hearing ability: a systematic review. Br J Nutr. 2023 Mar 14;129(5):795-812. </w:t>
      </w:r>
      <w:proofErr w:type="spellStart"/>
      <w:r w:rsidRPr="001503B2">
        <w:t>doi</w:t>
      </w:r>
      <w:proofErr w:type="spellEnd"/>
      <w:r w:rsidRPr="001503B2">
        <w:t xml:space="preserve">: 10.1017/S0007114522001441. </w:t>
      </w:r>
      <w:proofErr w:type="spellStart"/>
      <w:r w:rsidRPr="001503B2">
        <w:t>Epub</w:t>
      </w:r>
      <w:proofErr w:type="spellEnd"/>
      <w:r w:rsidRPr="001503B2">
        <w:t xml:space="preserve"> 2022 May 10. PMID: 35535480; PMCID: PMC9975783. </w:t>
      </w:r>
    </w:p>
    <w:p w14:paraId="1B9A5C10" w14:textId="77777777" w:rsidR="004F3F99" w:rsidRPr="001503B2" w:rsidRDefault="004F3F99" w:rsidP="004F3F99">
      <w:r w:rsidRPr="001503B2">
        <w:t xml:space="preserve">Dold S, Zimmermann MB, Baumgartner </w:t>
      </w:r>
      <w:proofErr w:type="spellStart"/>
      <w:proofErr w:type="gramStart"/>
      <w:r w:rsidRPr="001503B2">
        <w:t>J,Davaz</w:t>
      </w:r>
      <w:proofErr w:type="spellEnd"/>
      <w:proofErr w:type="gramEnd"/>
      <w:r w:rsidRPr="001503B2">
        <w:t xml:space="preserve"> T, Galetti V, Braegger C, Andersson M. A dose-response crossover iodine balance study to determine iodine requirements in early infancy. Am J Clin </w:t>
      </w:r>
      <w:proofErr w:type="spellStart"/>
      <w:r w:rsidRPr="001503B2">
        <w:t>Nutr</w:t>
      </w:r>
      <w:proofErr w:type="spellEnd"/>
      <w:r w:rsidRPr="001503B2">
        <w:t xml:space="preserve"> </w:t>
      </w:r>
      <w:proofErr w:type="gramStart"/>
      <w:r w:rsidRPr="001503B2">
        <w:t>2016;104:620</w:t>
      </w:r>
      <w:proofErr w:type="gramEnd"/>
      <w:r>
        <w:t>-</w:t>
      </w:r>
      <w:r w:rsidRPr="001503B2">
        <w:t>8.</w:t>
      </w:r>
    </w:p>
    <w:p w14:paraId="0BCA80A5" w14:textId="77777777" w:rsidR="004F3F99" w:rsidRPr="001503B2" w:rsidRDefault="004F3F99" w:rsidP="004F3F99">
      <w:r w:rsidRPr="001503B2">
        <w:t xml:space="preserve">Dror DK, Allen LH. Overview of Nutrients in Human Milk. Adv </w:t>
      </w:r>
      <w:proofErr w:type="spellStart"/>
      <w:r w:rsidRPr="001503B2">
        <w:t>Nutr</w:t>
      </w:r>
      <w:proofErr w:type="spellEnd"/>
      <w:r w:rsidRPr="001503B2">
        <w:t xml:space="preserve">. 2018 May 1;9(suppl_1):278S-294S. </w:t>
      </w:r>
      <w:proofErr w:type="spellStart"/>
      <w:r w:rsidRPr="001503B2">
        <w:t>doi</w:t>
      </w:r>
      <w:proofErr w:type="spellEnd"/>
      <w:r w:rsidRPr="001503B2">
        <w:t>: 10.1093/advances/nmy022. PMID: 29846526; PMCID: PMC6008960.</w:t>
      </w:r>
    </w:p>
    <w:p w14:paraId="72B60192" w14:textId="77777777" w:rsidR="004F3F99" w:rsidRPr="001503B2" w:rsidRDefault="004F3F99" w:rsidP="004F3F99">
      <w:r w:rsidRPr="001503B2">
        <w:t xml:space="preserve">Dworkin HJ, Jacquez JA, </w:t>
      </w:r>
      <w:proofErr w:type="spellStart"/>
      <w:r w:rsidRPr="001503B2">
        <w:t>Beierwaltes</w:t>
      </w:r>
      <w:proofErr w:type="spellEnd"/>
      <w:r w:rsidRPr="001503B2">
        <w:t xml:space="preserve"> WH. 1966. Relationship of iodine ingestion to iodine excretion in pregnancy. </w:t>
      </w:r>
      <w:r w:rsidRPr="001503B2">
        <w:rPr>
          <w:i/>
          <w:iCs/>
        </w:rPr>
        <w:t xml:space="preserve">J Clin Endocrinol </w:t>
      </w:r>
      <w:proofErr w:type="spellStart"/>
      <w:r w:rsidRPr="001503B2">
        <w:rPr>
          <w:i/>
          <w:iCs/>
        </w:rPr>
        <w:t>Metab</w:t>
      </w:r>
      <w:proofErr w:type="spellEnd"/>
      <w:r w:rsidRPr="001503B2">
        <w:t> 26:1329</w:t>
      </w:r>
      <w:r>
        <w:t>-</w:t>
      </w:r>
      <w:r w:rsidRPr="001503B2">
        <w:t>1342.</w:t>
      </w:r>
    </w:p>
    <w:p w14:paraId="4B6730C1" w14:textId="77777777" w:rsidR="004F3F99" w:rsidRPr="001503B2" w:rsidRDefault="004F3F99" w:rsidP="004F3F99">
      <w:r w:rsidRPr="001503B2">
        <w:t xml:space="preserve">Eastman CJ, Zimmermann MB. The Iodine Deficiency Disorders [Updated 6 Feb 2018]. In: Feingold KR, Ahmed SF, Anawalt B, et al., editors. </w:t>
      </w:r>
      <w:proofErr w:type="spellStart"/>
      <w:r w:rsidRPr="001503B2">
        <w:t>Endotext</w:t>
      </w:r>
      <w:proofErr w:type="spellEnd"/>
      <w:r w:rsidRPr="001503B2">
        <w:t xml:space="preserve"> [Internet].  South Dartmouth (MA); 2018. PMID: 25905411. Available from: </w:t>
      </w:r>
      <w:hyperlink r:id="rId37" w:history="1">
        <w:r w:rsidRPr="001503B2">
          <w:rPr>
            <w:rStyle w:val="Hyperlink"/>
          </w:rPr>
          <w:t>https://www.ncbi.nlm.nih.gov/books/NBK285556/</w:t>
        </w:r>
      </w:hyperlink>
      <w:r w:rsidRPr="001503B2">
        <w:t xml:space="preserve"> </w:t>
      </w:r>
    </w:p>
    <w:p w14:paraId="50C6398C" w14:textId="77777777" w:rsidR="004F3F99" w:rsidRPr="001503B2" w:rsidRDefault="004F3F99" w:rsidP="004F3F99">
      <w:r w:rsidRPr="001503B2">
        <w:t>Edmonds, J.C., McLean, R.M., Williams, S.M. </w:t>
      </w:r>
      <w:r w:rsidRPr="001503B2">
        <w:rPr>
          <w:i/>
          <w:iCs/>
        </w:rPr>
        <w:t>et al.</w:t>
      </w:r>
      <w:r w:rsidRPr="001503B2">
        <w:t> Urinary iodine concentration of New Zealand adults improves with mandatory fortification of bread with iodised salt but not to predicted levels. </w:t>
      </w:r>
      <w:proofErr w:type="spellStart"/>
      <w:r w:rsidRPr="001503B2">
        <w:rPr>
          <w:i/>
          <w:iCs/>
        </w:rPr>
        <w:t>Eur</w:t>
      </w:r>
      <w:proofErr w:type="spellEnd"/>
      <w:r w:rsidRPr="001503B2">
        <w:rPr>
          <w:i/>
          <w:iCs/>
        </w:rPr>
        <w:t xml:space="preserve"> J </w:t>
      </w:r>
      <w:proofErr w:type="spellStart"/>
      <w:r w:rsidRPr="001503B2">
        <w:rPr>
          <w:i/>
          <w:iCs/>
        </w:rPr>
        <w:t>Nutr</w:t>
      </w:r>
      <w:proofErr w:type="spellEnd"/>
      <w:r w:rsidRPr="001503B2">
        <w:t> </w:t>
      </w:r>
      <w:r w:rsidRPr="001503B2">
        <w:rPr>
          <w:b/>
          <w:bCs/>
        </w:rPr>
        <w:t>55</w:t>
      </w:r>
      <w:r w:rsidRPr="001503B2">
        <w:t>, 1201</w:t>
      </w:r>
      <w:r>
        <w:t>-</w:t>
      </w:r>
      <w:r w:rsidRPr="001503B2">
        <w:t xml:space="preserve">1212 (2016). https://doi.org/10.1007/s00394-015-0933-y </w:t>
      </w:r>
    </w:p>
    <w:p w14:paraId="5F9A9D1A" w14:textId="77777777" w:rsidR="004F3F99" w:rsidRPr="001503B2" w:rsidRDefault="004F3F99" w:rsidP="004F3F99">
      <w:r w:rsidRPr="001503B2">
        <w:t xml:space="preserve">El-mani S, Charlton KE, Flood VM and Mullan J. Folic acid and iodine supplementation in pregnant women. </w:t>
      </w:r>
      <w:r w:rsidRPr="001503B2">
        <w:rPr>
          <w:i/>
          <w:iCs/>
        </w:rPr>
        <w:t>Nutrition &amp; Dietetics,</w:t>
      </w:r>
      <w:r w:rsidRPr="001503B2">
        <w:t xml:space="preserve"> 2014. 71: 236-244. </w:t>
      </w:r>
      <w:hyperlink r:id="rId38" w:history="1">
        <w:r w:rsidRPr="001503B2">
          <w:rPr>
            <w:rStyle w:val="Hyperlink"/>
          </w:rPr>
          <w:t>https://doi.org/10.1111/1747-0080.12132</w:t>
        </w:r>
      </w:hyperlink>
    </w:p>
    <w:p w14:paraId="4989E834" w14:textId="77777777" w:rsidR="004F3F99" w:rsidRPr="001503B2" w:rsidRDefault="004F3F99" w:rsidP="004F3F99">
      <w:r w:rsidRPr="001503B2">
        <w:t>Empson, M., Flood, V., Ma, G., Eastman, C.J. and Mitchell, P. (2007), Prevalence of thyroid disease in an older Australian population. Internal Medicine Journal, 37: 448-455. </w:t>
      </w:r>
      <w:hyperlink r:id="rId39" w:history="1">
        <w:r w:rsidRPr="001503B2">
          <w:rPr>
            <w:rStyle w:val="Hyperlink"/>
          </w:rPr>
          <w:t>https://doi.org/10.1111/j.1445-5994.2007.01367.x</w:t>
        </w:r>
      </w:hyperlink>
      <w:r w:rsidRPr="001503B2">
        <w:t xml:space="preserve"> </w:t>
      </w:r>
    </w:p>
    <w:p w14:paraId="4A9DF319" w14:textId="77777777" w:rsidR="004F3F99" w:rsidRPr="001503B2" w:rsidRDefault="004F3F99" w:rsidP="004F3F99">
      <w:r w:rsidRPr="001503B2">
        <w:t xml:space="preserve">Eng PH, Cardona GR, Previti MC, Chin WW, Braverman LE. Regulation of the sodium iodide symporter by iodide in FRTL-5 cells. European Journal of Endocrinology </w:t>
      </w:r>
      <w:proofErr w:type="gramStart"/>
      <w:r w:rsidRPr="001503B2">
        <w:t>2001;144:139</w:t>
      </w:r>
      <w:proofErr w:type="gramEnd"/>
      <w:r w:rsidRPr="001503B2">
        <w:t>-144.</w:t>
      </w:r>
    </w:p>
    <w:p w14:paraId="2883E89D" w14:textId="77777777" w:rsidR="004F3F99" w:rsidRPr="001503B2" w:rsidRDefault="004F3F99" w:rsidP="004F3F99">
      <w:r w:rsidRPr="001503B2">
        <w:t xml:space="preserve">European Food Safety Authority (EFSA) Scientific Committee on Food, 2003. Opinion of the Scientific Committee on Food on the Tolerable Upper Intake Level of Iodine. In: Tolerable Upper Intake Levels for Vitamins and Mineral. 135-150 pp. Available online: </w:t>
      </w:r>
      <w:hyperlink r:id="rId40" w:history="1">
        <w:r w:rsidRPr="001503B2">
          <w:rPr>
            <w:rStyle w:val="Hyperlink"/>
          </w:rPr>
          <w:t>https://www.efsa.europa.eu/sites/default/files/efsa_rep/blobserver_assets/ndatolerable uil.pdf</w:t>
        </w:r>
      </w:hyperlink>
      <w:r w:rsidRPr="001503B2">
        <w:t xml:space="preserve"> Accessed 5 December 2024.</w:t>
      </w:r>
    </w:p>
    <w:p w14:paraId="677FA367" w14:textId="77777777" w:rsidR="004F3F99" w:rsidRPr="001503B2" w:rsidRDefault="004F3F99" w:rsidP="004F3F99">
      <w:r w:rsidRPr="001503B2">
        <w:lastRenderedPageBreak/>
        <w:t xml:space="preserve">European Food Safety Authority (EFSA) Panel on Dietetic Products Nutrition and Allergies, 2014. Scientific Opinion on Dietary Reference Values for iodine. EFSA Journal 2014;12(5):3660, 57 pp. </w:t>
      </w:r>
      <w:proofErr w:type="gramStart"/>
      <w:r w:rsidRPr="001503B2">
        <w:t>doi:10.2903/j.efsa</w:t>
      </w:r>
      <w:proofErr w:type="gramEnd"/>
      <w:r w:rsidRPr="001503B2">
        <w:t>.2014.3660</w:t>
      </w:r>
    </w:p>
    <w:p w14:paraId="26AC947D" w14:textId="77777777" w:rsidR="004F3F99" w:rsidRPr="001503B2" w:rsidRDefault="004F3F99" w:rsidP="004F3F99">
      <w:r w:rsidRPr="001503B2">
        <w:t>European Food Safety Authority (EFSA), Dujardin B, Ferreira de Sousa, R, Gómez Ruiz JA, 2023. Scientific Report on the dietary exposure to heavy metals and iodine intake via consumption of seaweeds and halophytes in the European population. </w:t>
      </w:r>
      <w:r w:rsidRPr="001503B2">
        <w:rPr>
          <w:i/>
          <w:iCs/>
        </w:rPr>
        <w:t>EFSA Journal</w:t>
      </w:r>
      <w:r w:rsidRPr="001503B2">
        <w:t> 2023; 21(1):7798, 47 pp. </w:t>
      </w:r>
      <w:hyperlink r:id="rId41" w:history="1">
        <w:r w:rsidRPr="001503B2">
          <w:rPr>
            <w:rStyle w:val="Hyperlink"/>
            <w:b/>
            <w:bCs/>
          </w:rPr>
          <w:t>https://doi.org/10.2903/j.efsa.2023.7798</w:t>
        </w:r>
      </w:hyperlink>
    </w:p>
    <w:p w14:paraId="45C952BB" w14:textId="77777777" w:rsidR="004F3F99" w:rsidRPr="001503B2" w:rsidRDefault="004F3F99" w:rsidP="004F3F99">
      <w:pPr>
        <w:rPr>
          <w:noProof/>
        </w:rPr>
      </w:pPr>
      <w:r w:rsidRPr="001503B2">
        <w:rPr>
          <w:noProof/>
        </w:rPr>
        <w:t>Eveleigh ER, Coneyworth L, Welham SJM. Systematic review and meta-analysis of iodine nutrition in modern vegan and vegetarian diets. Br J Nutr. 2023 Nov 14;130(9):1580-1594. doi: 10.1017/S000711452300051X. Epub 2023 Mar 13. PMID: 36912094; PMCID: PMC10551477.</w:t>
      </w:r>
    </w:p>
    <w:p w14:paraId="5777A92C" w14:textId="77777777" w:rsidR="004F3F99" w:rsidRPr="001503B2" w:rsidRDefault="004F3F99" w:rsidP="004F3F99">
      <w:pPr>
        <w:rPr>
          <w:noProof/>
        </w:rPr>
      </w:pPr>
      <w:r w:rsidRPr="001503B2">
        <w:rPr>
          <w:noProof/>
        </w:rPr>
        <w:t>Farebrother J, Naude CE, Nicol L, Sang Z, Yang Z, Joost PL, et al. Effects of iodized salt and iodine supplements on prenatal and postnatal growth: a systematic review. Adv Nutr (Bethesda, Md) 2018; 9(3): 219-37</w:t>
      </w:r>
    </w:p>
    <w:p w14:paraId="24A1E3A3" w14:textId="77777777" w:rsidR="004F3F99" w:rsidRPr="001503B2" w:rsidRDefault="004F3F99" w:rsidP="004F3F99">
      <w:pPr>
        <w:rPr>
          <w:noProof/>
        </w:rPr>
      </w:pPr>
      <w:r w:rsidRPr="001503B2">
        <w:rPr>
          <w:noProof/>
        </w:rPr>
        <w:t xml:space="preserve">Finlayson J. Iodine and mid-life women living in Auckland, New Zealand who avoid bread: a thesis presented in partial fulfillment of the requirements for the degree of Master of Science in Human Nutrition. Massey University, Albany, Auckland, New Zealand. 2019. Available from: </w:t>
      </w:r>
      <w:hyperlink r:id="rId42" w:history="1">
        <w:r w:rsidRPr="001503B2">
          <w:rPr>
            <w:rStyle w:val="Hyperlink"/>
            <w:noProof/>
          </w:rPr>
          <w:t>https://mro.massey.ac.nz/server/api/core/bitstreams/ce22b13b-af95-43c4-837e-a36fbb6b4cdd/content</w:t>
        </w:r>
      </w:hyperlink>
      <w:r w:rsidRPr="001503B2">
        <w:rPr>
          <w:noProof/>
        </w:rPr>
        <w:t xml:space="preserve"> Accessed 9 April 2025</w:t>
      </w:r>
    </w:p>
    <w:p w14:paraId="71A6B835" w14:textId="77777777" w:rsidR="004F3F99" w:rsidRPr="001503B2" w:rsidRDefault="004F3F99" w:rsidP="004F3F99">
      <w:pPr>
        <w:rPr>
          <w:noProof/>
        </w:rPr>
      </w:pPr>
      <w:r w:rsidRPr="001503B2">
        <w:rPr>
          <w:noProof/>
        </w:rPr>
        <w:t>Fisher DA and Oddie TH, 1969a. Thyroid iodine content and turnover in euthyroid subjects: validityof estimation of thyroid iodine accumulation from short-term clearance studies. Journal of ClinicalEndocrinology and Metabolism, 29, 721-727.</w:t>
      </w:r>
    </w:p>
    <w:p w14:paraId="23F5BAD9" w14:textId="77777777" w:rsidR="004F3F99" w:rsidRPr="001503B2" w:rsidRDefault="004F3F99" w:rsidP="004F3F99">
      <w:pPr>
        <w:rPr>
          <w:noProof/>
        </w:rPr>
      </w:pPr>
      <w:r w:rsidRPr="001503B2">
        <w:rPr>
          <w:noProof/>
        </w:rPr>
        <w:t xml:space="preserve">Fisher DA and Oddie TH, 1969b. Thyroidal radioiodine clearance and thryoid iodine accumulation:contrast between random daily variation and population data. Journal of Clinical Endocrinologyand Metabolism, 29, 111-115. </w:t>
      </w:r>
    </w:p>
    <w:p w14:paraId="250DD865" w14:textId="77777777" w:rsidR="004F3F99" w:rsidRPr="001503B2" w:rsidRDefault="004F3F99" w:rsidP="004F3F99">
      <w:pPr>
        <w:rPr>
          <w:rFonts w:eastAsia="Times New Roman"/>
        </w:rPr>
      </w:pPr>
      <w:r w:rsidRPr="001503B2">
        <w:rPr>
          <w:rFonts w:eastAsia="Times New Roman"/>
        </w:rPr>
        <w:t xml:space="preserve">Flieger J, Kawka J, </w:t>
      </w:r>
      <w:proofErr w:type="spellStart"/>
      <w:r w:rsidRPr="001503B2">
        <w:rPr>
          <w:rFonts w:eastAsia="Times New Roman"/>
        </w:rPr>
        <w:t>Tatarczak-Michalewska</w:t>
      </w:r>
      <w:proofErr w:type="spellEnd"/>
      <w:r w:rsidRPr="001503B2">
        <w:rPr>
          <w:rFonts w:eastAsia="Times New Roman"/>
        </w:rPr>
        <w:t xml:space="preserve"> M. Levels of the Thiocyanate in the Saliva of Tobacco Smokers in Comparison to e-Cigarette Smokers and Nonsmokers Measured by HPLC on a Phosphatidylcholine Column. Molecules. 2019 Oct 21;24(20):3790. </w:t>
      </w:r>
      <w:proofErr w:type="spellStart"/>
      <w:r w:rsidRPr="001503B2">
        <w:rPr>
          <w:rFonts w:eastAsia="Times New Roman"/>
        </w:rPr>
        <w:t>doi</w:t>
      </w:r>
      <w:proofErr w:type="spellEnd"/>
      <w:r w:rsidRPr="001503B2">
        <w:rPr>
          <w:rFonts w:eastAsia="Times New Roman"/>
        </w:rPr>
        <w:t xml:space="preserve">: 10.3390/molecules24203790. PMID: 31640293; PMCID: PMC6832790. </w:t>
      </w:r>
    </w:p>
    <w:p w14:paraId="1F33720F" w14:textId="77777777" w:rsidR="004F3F99" w:rsidRPr="001503B2" w:rsidRDefault="004F3F99" w:rsidP="004F3F99">
      <w:pPr>
        <w:rPr>
          <w:rFonts w:eastAsia="Times New Roman"/>
        </w:rPr>
      </w:pPr>
      <w:r w:rsidRPr="001503B2">
        <w:rPr>
          <w:rFonts w:eastAsia="Times New Roman"/>
        </w:rPr>
        <w:t xml:space="preserve">Follis RH, Jr., </w:t>
      </w:r>
      <w:proofErr w:type="spellStart"/>
      <w:r w:rsidRPr="001503B2">
        <w:rPr>
          <w:rFonts w:eastAsia="Times New Roman"/>
        </w:rPr>
        <w:t>Vanprapa</w:t>
      </w:r>
      <w:proofErr w:type="spellEnd"/>
      <w:r w:rsidRPr="001503B2">
        <w:rPr>
          <w:rFonts w:eastAsia="Times New Roman"/>
        </w:rPr>
        <w:t xml:space="preserve"> K and </w:t>
      </w:r>
      <w:proofErr w:type="spellStart"/>
      <w:r w:rsidRPr="001503B2">
        <w:rPr>
          <w:rFonts w:eastAsia="Times New Roman"/>
        </w:rPr>
        <w:t>Damrongsakdi</w:t>
      </w:r>
      <w:proofErr w:type="spellEnd"/>
      <w:r w:rsidRPr="001503B2">
        <w:rPr>
          <w:rFonts w:eastAsia="Times New Roman"/>
        </w:rPr>
        <w:t xml:space="preserve"> D, 1962. Studies on iodine nutrition in Thailand. Journal of Nutrition, 76, 159-173.</w:t>
      </w:r>
    </w:p>
    <w:p w14:paraId="13AB7B59" w14:textId="77777777" w:rsidR="004F3F99" w:rsidRPr="001503B2" w:rsidRDefault="004F3F99" w:rsidP="004F3F99">
      <w:pPr>
        <w:rPr>
          <w:rFonts w:eastAsia="Times New Roman"/>
        </w:rPr>
      </w:pPr>
      <w:r w:rsidRPr="001503B2">
        <w:rPr>
          <w:rFonts w:eastAsia="Times New Roman"/>
        </w:rPr>
        <w:t>Food and Agricultural Organization (FAO</w:t>
      </w:r>
      <w:proofErr w:type="gramStart"/>
      <w:r w:rsidRPr="001503B2">
        <w:rPr>
          <w:rFonts w:eastAsia="Times New Roman"/>
        </w:rPr>
        <w:t>):World</w:t>
      </w:r>
      <w:proofErr w:type="gramEnd"/>
      <w:r w:rsidRPr="001503B2">
        <w:rPr>
          <w:rFonts w:eastAsia="Times New Roman"/>
        </w:rPr>
        <w:t xml:space="preserve"> Health </w:t>
      </w:r>
      <w:proofErr w:type="gramStart"/>
      <w:r w:rsidRPr="001503B2">
        <w:rPr>
          <w:rFonts w:eastAsia="Times New Roman"/>
        </w:rPr>
        <w:t>Organization(</w:t>
      </w:r>
      <w:proofErr w:type="gramEnd"/>
      <w:r w:rsidRPr="001503B2">
        <w:rPr>
          <w:rFonts w:eastAsia="Times New Roman"/>
        </w:rPr>
        <w:t xml:space="preserve">WHO). Human vitamin and mineral requirements. Report of a joint </w:t>
      </w:r>
      <w:proofErr w:type="gramStart"/>
      <w:r w:rsidRPr="001503B2">
        <w:rPr>
          <w:rFonts w:eastAsia="Times New Roman"/>
        </w:rPr>
        <w:t>FAO:WHO</w:t>
      </w:r>
      <w:proofErr w:type="gramEnd"/>
      <w:r w:rsidRPr="001503B2">
        <w:rPr>
          <w:rFonts w:eastAsia="Times New Roman"/>
        </w:rPr>
        <w:t xml:space="preserve"> expert consultation. Bangkok, Thailand. Rome: FAO, 2001.</w:t>
      </w:r>
    </w:p>
    <w:p w14:paraId="34A7CD44" w14:textId="77777777" w:rsidR="004F3F99" w:rsidRPr="001503B2" w:rsidRDefault="004F3F99" w:rsidP="004F3F99">
      <w:pPr>
        <w:rPr>
          <w:noProof/>
        </w:rPr>
      </w:pPr>
      <w:r w:rsidRPr="001503B2">
        <w:rPr>
          <w:noProof/>
        </w:rPr>
        <w:t>Food Standards Australia New Zealand (FSANZ), 2014. 24</w:t>
      </w:r>
      <w:r w:rsidRPr="001503B2">
        <w:rPr>
          <w:noProof/>
          <w:vertAlign w:val="superscript"/>
        </w:rPr>
        <w:t>th</w:t>
      </w:r>
      <w:r w:rsidRPr="001503B2">
        <w:rPr>
          <w:noProof/>
        </w:rPr>
        <w:t xml:space="preserve"> Australian Total Diet Study. Available from: </w:t>
      </w:r>
      <w:hyperlink r:id="rId43" w:history="1">
        <w:r w:rsidRPr="001503B2">
          <w:rPr>
            <w:rStyle w:val="Hyperlink"/>
            <w:noProof/>
          </w:rPr>
          <w:t>https://www.foodstandards.gov.au/sites/default/files/2023-11/24th-ATDS.pdf</w:t>
        </w:r>
      </w:hyperlink>
      <w:r w:rsidRPr="001503B2">
        <w:rPr>
          <w:noProof/>
        </w:rPr>
        <w:t xml:space="preserve"> (accessed 08 September 2025).</w:t>
      </w:r>
    </w:p>
    <w:p w14:paraId="247A6B91" w14:textId="77777777" w:rsidR="004F3F99" w:rsidRPr="001503B2" w:rsidRDefault="004F3F99" w:rsidP="004F3F99">
      <w:pPr>
        <w:rPr>
          <w:noProof/>
        </w:rPr>
      </w:pPr>
      <w:r w:rsidRPr="001503B2">
        <w:rPr>
          <w:noProof/>
        </w:rPr>
        <w:t xml:space="preserve">Food Standards Australia New Zealand (FSANZ), 2016. Monitoring the Australian population’s intake of dietary iodine before and after mandatory fortification. Available from: </w:t>
      </w:r>
      <w:hyperlink r:id="rId44" w:history="1">
        <w:r w:rsidRPr="001503B2">
          <w:rPr>
            <w:rStyle w:val="Hyperlink"/>
            <w:noProof/>
          </w:rPr>
          <w:t>https://www.foodstandards.gov.au/sites/default/files/publications/Documents/Iodine%20Fortification%20Monitoring%20Report.pdf</w:t>
        </w:r>
      </w:hyperlink>
      <w:r w:rsidRPr="001503B2">
        <w:rPr>
          <w:noProof/>
        </w:rPr>
        <w:t xml:space="preserve"> (accessed 30 July 2024)</w:t>
      </w:r>
    </w:p>
    <w:p w14:paraId="077D668E" w14:textId="77777777" w:rsidR="004F3F99" w:rsidRPr="001503B2" w:rsidRDefault="004F3F99" w:rsidP="004F3F99">
      <w:r w:rsidRPr="001503B2">
        <w:lastRenderedPageBreak/>
        <w:t>Gaitan E, 1990. Goitrogens in food and water. Annual Review of Nutrition, 10, 21-39.</w:t>
      </w:r>
    </w:p>
    <w:p w14:paraId="70D416FF" w14:textId="77777777" w:rsidR="004F3F99" w:rsidRPr="001503B2" w:rsidRDefault="004F3F99" w:rsidP="004F3F99">
      <w:r w:rsidRPr="001503B2">
        <w:t xml:space="preserve">Gardner DF, </w:t>
      </w:r>
      <w:proofErr w:type="spellStart"/>
      <w:r w:rsidRPr="001503B2">
        <w:t>Centor</w:t>
      </w:r>
      <w:proofErr w:type="spellEnd"/>
      <w:r w:rsidRPr="001503B2">
        <w:t xml:space="preserve"> RM, </w:t>
      </w:r>
      <w:proofErr w:type="spellStart"/>
      <w:r w:rsidRPr="001503B2">
        <w:t>Utiger</w:t>
      </w:r>
      <w:proofErr w:type="spellEnd"/>
      <w:r w:rsidRPr="001503B2">
        <w:t xml:space="preserve"> RD. 1988. Effects of low dose oral iodide supplementation on thyroid function in normal men. </w:t>
      </w:r>
      <w:r w:rsidRPr="001503B2">
        <w:rPr>
          <w:i/>
          <w:iCs/>
        </w:rPr>
        <w:t>Clin Endocrinol (</w:t>
      </w:r>
      <w:proofErr w:type="spellStart"/>
      <w:r w:rsidRPr="001503B2">
        <w:rPr>
          <w:i/>
          <w:iCs/>
        </w:rPr>
        <w:t>Oxf</w:t>
      </w:r>
      <w:proofErr w:type="spellEnd"/>
      <w:r w:rsidRPr="001503B2">
        <w:rPr>
          <w:i/>
          <w:iCs/>
        </w:rPr>
        <w:t>).</w:t>
      </w:r>
      <w:r w:rsidRPr="001503B2">
        <w:t xml:space="preserve"> 28(3):283-8. </w:t>
      </w:r>
    </w:p>
    <w:p w14:paraId="1383246F" w14:textId="77777777" w:rsidR="004F3F99" w:rsidRPr="001503B2" w:rsidRDefault="004F3F99" w:rsidP="004F3F99">
      <w:r w:rsidRPr="001503B2">
        <w:t xml:space="preserve">Gibbons V, </w:t>
      </w:r>
      <w:proofErr w:type="spellStart"/>
      <w:r w:rsidRPr="001503B2">
        <w:t>Conaglen</w:t>
      </w:r>
      <w:proofErr w:type="spellEnd"/>
      <w:r w:rsidRPr="001503B2">
        <w:t xml:space="preserve"> JV, Lillis S, Naras V, Lawrenson R. Epidemiology of thyroid disease in Hamilton (New Zealand) general practice, </w:t>
      </w:r>
      <w:r w:rsidRPr="001503B2">
        <w:rPr>
          <w:i/>
          <w:iCs/>
        </w:rPr>
        <w:t>Australian and New Zealand Journal of Public Health</w:t>
      </w:r>
      <w:r w:rsidRPr="001503B2">
        <w:t>, Volume 32, Issue 5, 2008, Pages 421-423.</w:t>
      </w:r>
    </w:p>
    <w:p w14:paraId="29196A1A" w14:textId="77777777" w:rsidR="004F3F99" w:rsidRPr="001503B2" w:rsidRDefault="004F3F99" w:rsidP="004F3F99">
      <w:r w:rsidRPr="001503B2">
        <w:t xml:space="preserve">Gibson RS. Principles of nutritional assessment. New York: Oxford University Press. 1991:749-766. </w:t>
      </w:r>
    </w:p>
    <w:p w14:paraId="4F082EA0" w14:textId="77777777" w:rsidR="004F3F99" w:rsidRPr="001503B2" w:rsidRDefault="004F3F99" w:rsidP="004F3F99">
      <w:r w:rsidRPr="001503B2">
        <w:t xml:space="preserve">Gilbert RM, Hadlow NC, Walsh JP, et al. Assessment of thyroid function during pregnancy: </w:t>
      </w:r>
      <w:proofErr w:type="gramStart"/>
      <w:r w:rsidRPr="001503B2">
        <w:t>first-trimester</w:t>
      </w:r>
      <w:proofErr w:type="gramEnd"/>
      <w:r w:rsidRPr="001503B2">
        <w:t xml:space="preserve"> (weeks 9-13) reference intervals derived from Western Australian women. Med J Aust </w:t>
      </w:r>
      <w:proofErr w:type="gramStart"/>
      <w:r w:rsidRPr="001503B2">
        <w:t>2008;189:250</w:t>
      </w:r>
      <w:proofErr w:type="gramEnd"/>
      <w:r>
        <w:t>-</w:t>
      </w:r>
      <w:r w:rsidRPr="001503B2">
        <w:t>3.</w:t>
      </w:r>
    </w:p>
    <w:p w14:paraId="07F19F66" w14:textId="77777777" w:rsidR="004F3F99" w:rsidRPr="001503B2" w:rsidRDefault="004F3F99" w:rsidP="004F3F99">
      <w:proofErr w:type="spellStart"/>
      <w:r w:rsidRPr="001503B2">
        <w:t>Glinoer</w:t>
      </w:r>
      <w:proofErr w:type="spellEnd"/>
      <w:r w:rsidRPr="001503B2">
        <w:t xml:space="preserve"> D. 1998. Iodine supplementation during pregnancy: Importance and biochemical assessment. </w:t>
      </w:r>
      <w:r w:rsidRPr="001503B2">
        <w:rPr>
          <w:i/>
          <w:iCs/>
        </w:rPr>
        <w:t>Exp Clin Endocrinol Diabetes</w:t>
      </w:r>
      <w:r w:rsidRPr="001503B2">
        <w:t> </w:t>
      </w:r>
      <w:proofErr w:type="gramStart"/>
      <w:r w:rsidRPr="001503B2">
        <w:t>106:S</w:t>
      </w:r>
      <w:proofErr w:type="gramEnd"/>
      <w:r w:rsidRPr="001503B2">
        <w:t>21</w:t>
      </w:r>
    </w:p>
    <w:p w14:paraId="5B7CB56A" w14:textId="77777777" w:rsidR="004F3F99" w:rsidRPr="001503B2" w:rsidRDefault="004F3F99" w:rsidP="004F3F99">
      <w:proofErr w:type="spellStart"/>
      <w:r w:rsidRPr="001503B2">
        <w:t>Glinoer</w:t>
      </w:r>
      <w:proofErr w:type="spellEnd"/>
      <w:r w:rsidRPr="001503B2">
        <w:t xml:space="preserve"> D. 2001. Pregnancy and iodine. </w:t>
      </w:r>
      <w:r w:rsidRPr="001503B2">
        <w:rPr>
          <w:i/>
          <w:iCs/>
        </w:rPr>
        <w:t>Thyroid,</w:t>
      </w:r>
      <w:r w:rsidRPr="001503B2">
        <w:t xml:space="preserve"> Vol 11 pp. 471</w:t>
      </w:r>
      <w:r>
        <w:t>-</w:t>
      </w:r>
      <w:r w:rsidRPr="001503B2">
        <w:t>481</w:t>
      </w:r>
    </w:p>
    <w:p w14:paraId="5A488789" w14:textId="77777777" w:rsidR="004F3F99" w:rsidRPr="001503B2" w:rsidRDefault="004F3F99" w:rsidP="004F3F99">
      <w:r w:rsidRPr="001503B2">
        <w:t xml:space="preserve">Greenwell J, Grant M, Young L, Mackay S, Bradbury KE. The prevalence of vegetarians, vegans and other dietary patterns that exclude some animal-source foods in a representative sample of New Zealand adults. Public Health </w:t>
      </w:r>
      <w:proofErr w:type="spellStart"/>
      <w:r w:rsidRPr="001503B2">
        <w:t>Nutr</w:t>
      </w:r>
      <w:proofErr w:type="spellEnd"/>
      <w:r w:rsidRPr="001503B2">
        <w:t>. 2023 Dec 5;27(1</w:t>
      </w:r>
      <w:proofErr w:type="gramStart"/>
      <w:r w:rsidRPr="001503B2">
        <w:t>):e</w:t>
      </w:r>
      <w:proofErr w:type="gramEnd"/>
      <w:r w:rsidRPr="001503B2">
        <w:t>5.</w:t>
      </w:r>
    </w:p>
    <w:p w14:paraId="2B847F6B" w14:textId="77777777" w:rsidR="004F3F99" w:rsidRPr="001503B2" w:rsidRDefault="004F3F99" w:rsidP="004F3F99">
      <w:r w:rsidRPr="001503B2">
        <w:t>Greenwood DC, Webster J, Keeble C, Taylor E, Hardie LJ. Maternal Iodine Status and Birth Outcomes: A Systematic Literature Review and Meta-Analysis. Nutrients. 2023 Jan 12;15(2):387. </w:t>
      </w:r>
    </w:p>
    <w:p w14:paraId="1518EDE3" w14:textId="77777777" w:rsidR="004F3F99" w:rsidRPr="001503B2" w:rsidRDefault="004F3F99" w:rsidP="004F3F99">
      <w:r w:rsidRPr="001503B2">
        <w:t xml:space="preserve">Guess K, Malek L, Anderson A, Makrides M, Zhou SJ. Knowledge and practices regarding iodine supplementation: A national survey of healthcare providers. </w:t>
      </w:r>
      <w:r w:rsidRPr="001503B2">
        <w:rPr>
          <w:i/>
          <w:iCs/>
        </w:rPr>
        <w:t xml:space="preserve">Women and Birth, </w:t>
      </w:r>
      <w:r w:rsidRPr="001503B2">
        <w:t>2017. Vol. 30 (1), pp. e56-e60.</w:t>
      </w:r>
    </w:p>
    <w:p w14:paraId="786AD1E9" w14:textId="77777777" w:rsidR="004F3F99" w:rsidRPr="001503B2" w:rsidRDefault="004F3F99" w:rsidP="004F3F99">
      <w:r w:rsidRPr="001503B2">
        <w:t xml:space="preserve">Gunnarsdóttir I, </w:t>
      </w:r>
      <w:proofErr w:type="spellStart"/>
      <w:r w:rsidRPr="001503B2">
        <w:t>Brantsæter</w:t>
      </w:r>
      <w:proofErr w:type="spellEnd"/>
      <w:r w:rsidRPr="001503B2">
        <w:t xml:space="preserve"> AL. Iodine: a scoping review for Nordic Nutrition Recommendations 2023. Food </w:t>
      </w:r>
      <w:proofErr w:type="spellStart"/>
      <w:r w:rsidRPr="001503B2">
        <w:t>Nutr</w:t>
      </w:r>
      <w:proofErr w:type="spellEnd"/>
      <w:r w:rsidRPr="001503B2">
        <w:t xml:space="preserve"> Res. 2023 Dec 26;67. </w:t>
      </w:r>
      <w:proofErr w:type="spellStart"/>
      <w:r w:rsidRPr="001503B2">
        <w:t>doi</w:t>
      </w:r>
      <w:proofErr w:type="spellEnd"/>
      <w:r w:rsidRPr="001503B2">
        <w:t>: 10.29219/</w:t>
      </w:r>
      <w:proofErr w:type="gramStart"/>
      <w:r w:rsidRPr="001503B2">
        <w:t>fnr.v</w:t>
      </w:r>
      <w:proofErr w:type="gramEnd"/>
      <w:r w:rsidRPr="001503B2">
        <w:t xml:space="preserve">67.10369. PMID: 38187800; PMCID: PMC10770700. </w:t>
      </w:r>
    </w:p>
    <w:p w14:paraId="3503DD8B" w14:textId="77777777" w:rsidR="004F3F99" w:rsidRPr="001503B2" w:rsidRDefault="004F3F99" w:rsidP="004F3F99">
      <w:pPr>
        <w:rPr>
          <w:rFonts w:eastAsia="Times New Roman"/>
        </w:rPr>
      </w:pPr>
      <w:r w:rsidRPr="001503B2">
        <w:rPr>
          <w:rFonts w:eastAsia="Times New Roman"/>
        </w:rPr>
        <w:t xml:space="preserve">Guo W, Chen W, Zhang W. 2025. Global Perspectives on China's Iodine Dietary Reference Intakes: Revisions, Public Health Implications, and Future Strategies. J Nutr. 2025 Jul;155(7):2076-2085. </w:t>
      </w:r>
      <w:proofErr w:type="spellStart"/>
      <w:r w:rsidRPr="001503B2">
        <w:rPr>
          <w:rFonts w:eastAsia="Times New Roman"/>
        </w:rPr>
        <w:t>doi</w:t>
      </w:r>
      <w:proofErr w:type="spellEnd"/>
      <w:r w:rsidRPr="001503B2">
        <w:rPr>
          <w:rFonts w:eastAsia="Times New Roman"/>
        </w:rPr>
        <w:t xml:space="preserve">: 10.1016/j.tjnut.2025.03.019. </w:t>
      </w:r>
      <w:proofErr w:type="spellStart"/>
      <w:r w:rsidRPr="001503B2">
        <w:rPr>
          <w:rFonts w:eastAsia="Times New Roman"/>
        </w:rPr>
        <w:t>Epub</w:t>
      </w:r>
      <w:proofErr w:type="spellEnd"/>
      <w:r w:rsidRPr="001503B2">
        <w:rPr>
          <w:rFonts w:eastAsia="Times New Roman"/>
        </w:rPr>
        <w:t xml:space="preserve"> 2025 Mar 17. PMID: 40107453 </w:t>
      </w:r>
    </w:p>
    <w:p w14:paraId="7056E7BF" w14:textId="77777777" w:rsidR="004F3F99" w:rsidRPr="001503B2" w:rsidRDefault="004F3F99" w:rsidP="004F3F99">
      <w:pPr>
        <w:rPr>
          <w:rFonts w:eastAsia="Times New Roman"/>
        </w:rPr>
      </w:pPr>
      <w:proofErr w:type="spellStart"/>
      <w:r w:rsidRPr="001503B2">
        <w:rPr>
          <w:rFonts w:eastAsia="Times New Roman"/>
        </w:rPr>
        <w:t>Gushurst</w:t>
      </w:r>
      <w:proofErr w:type="spellEnd"/>
      <w:r w:rsidRPr="001503B2">
        <w:rPr>
          <w:rFonts w:eastAsia="Times New Roman"/>
        </w:rPr>
        <w:t xml:space="preserve"> CA, Mueller JA, Green JA, Sedor F. 1984. Breast milk iodine: Reassessment in the 1980s. </w:t>
      </w:r>
      <w:proofErr w:type="spellStart"/>
      <w:r w:rsidRPr="001503B2">
        <w:rPr>
          <w:rFonts w:eastAsia="Times New Roman"/>
          <w:i/>
          <w:iCs/>
        </w:rPr>
        <w:t>Pediatrics</w:t>
      </w:r>
      <w:proofErr w:type="spellEnd"/>
      <w:r w:rsidRPr="001503B2">
        <w:rPr>
          <w:rFonts w:eastAsia="Times New Roman"/>
        </w:rPr>
        <w:t> 73:354</w:t>
      </w:r>
      <w:r>
        <w:rPr>
          <w:rFonts w:eastAsia="Times New Roman"/>
        </w:rPr>
        <w:t>-</w:t>
      </w:r>
      <w:r w:rsidRPr="001503B2">
        <w:rPr>
          <w:rFonts w:eastAsia="Times New Roman"/>
        </w:rPr>
        <w:t>357. </w:t>
      </w:r>
    </w:p>
    <w:p w14:paraId="51058AD0" w14:textId="77777777" w:rsidR="004F3F99" w:rsidRPr="001503B2" w:rsidRDefault="004F3F99" w:rsidP="004F3F99">
      <w:r w:rsidRPr="001503B2">
        <w:t xml:space="preserve">Guttikonda K, Travers CA, Lewis PR, </w:t>
      </w:r>
      <w:proofErr w:type="spellStart"/>
      <w:r w:rsidRPr="001503B2">
        <w:t>Boyages</w:t>
      </w:r>
      <w:proofErr w:type="spellEnd"/>
      <w:r w:rsidRPr="001503B2">
        <w:t xml:space="preserve"> S. Iodine deficiency in urban primary school children: a cross-sectional analysis. Med J Aust. 2003 Oct 6;179(7):346-8. </w:t>
      </w:r>
      <w:proofErr w:type="spellStart"/>
      <w:r w:rsidRPr="001503B2">
        <w:t>doi</w:t>
      </w:r>
      <w:proofErr w:type="spellEnd"/>
      <w:r w:rsidRPr="001503B2">
        <w:t>: 10.5694/j.1326-</w:t>
      </w:r>
      <w:proofErr w:type="gramStart"/>
      <w:r w:rsidRPr="001503B2">
        <w:t>5377.2003.tb05589.x.</w:t>
      </w:r>
      <w:proofErr w:type="gramEnd"/>
      <w:r w:rsidRPr="001503B2">
        <w:t xml:space="preserve"> PMID: 14503896.</w:t>
      </w:r>
    </w:p>
    <w:p w14:paraId="5CAB344A" w14:textId="77777777" w:rsidR="004F3F99" w:rsidRPr="001503B2" w:rsidRDefault="004F3F99" w:rsidP="004F3F99">
      <w:r w:rsidRPr="001503B2">
        <w:t>Harding KB, Peña-Rosas JP, Webster AC, Yap CM, Payne BA, Ota E, De-</w:t>
      </w:r>
      <w:proofErr w:type="spellStart"/>
      <w:r w:rsidRPr="001503B2">
        <w:t>Regil</w:t>
      </w:r>
      <w:proofErr w:type="spellEnd"/>
      <w:r w:rsidRPr="001503B2">
        <w:t xml:space="preserve"> LM. Iodine supplementation for women during the preconception, pregnancy and postpartum period. Cochrane Database Syst Rev. 2017 Mar 5;3(3):CD011761. </w:t>
      </w:r>
      <w:proofErr w:type="spellStart"/>
      <w:r w:rsidRPr="001503B2">
        <w:t>doi</w:t>
      </w:r>
      <w:proofErr w:type="spellEnd"/>
      <w:r w:rsidRPr="001503B2">
        <w:t>: 10.1002/14651858.CD011761.pub2. PMID: 28260263; PMCID: PMC6464647.</w:t>
      </w:r>
    </w:p>
    <w:p w14:paraId="2F01D5D9" w14:textId="77777777" w:rsidR="004F3F99" w:rsidRPr="001503B2" w:rsidRDefault="004F3F99" w:rsidP="004F3F99">
      <w:r w:rsidRPr="001503B2">
        <w:lastRenderedPageBreak/>
        <w:t xml:space="preserve">Harmer I, Craddock JC, Charlton KE. 2025. How do plant-based milks compare to cow's milk nutritionally? An audit of the plant-based milk products available in Australia. </w:t>
      </w:r>
      <w:proofErr w:type="spellStart"/>
      <w:r w:rsidRPr="001503B2">
        <w:t>Nutr</w:t>
      </w:r>
      <w:proofErr w:type="spellEnd"/>
      <w:r w:rsidRPr="001503B2">
        <w:t xml:space="preserve"> Diet.82(1):76-85. </w:t>
      </w:r>
      <w:proofErr w:type="spellStart"/>
      <w:r w:rsidRPr="001503B2">
        <w:t>doi</w:t>
      </w:r>
      <w:proofErr w:type="spellEnd"/>
      <w:r w:rsidRPr="001503B2">
        <w:t xml:space="preserve">: 10.1111/1747-0080.12906. </w:t>
      </w:r>
    </w:p>
    <w:p w14:paraId="7475ACF0" w14:textId="77777777" w:rsidR="004F3F99" w:rsidRPr="001503B2" w:rsidRDefault="004F3F99" w:rsidP="004F3F99">
      <w:r w:rsidRPr="001503B2">
        <w:t xml:space="preserve">Harrison MT, 1968. Iodine balance in man. Postgraduate Medical Journal, 44, 69-71. </w:t>
      </w:r>
    </w:p>
    <w:p w14:paraId="61785B7C" w14:textId="77777777" w:rsidR="004F3F99" w:rsidRPr="001503B2" w:rsidRDefault="004F3F99" w:rsidP="004F3F99">
      <w:r w:rsidRPr="001503B2">
        <w:t>Hay I, Hynes KL, Burgess JR. 2019. Mild-to-Moderate Gestational Iodine Deficiency Processing Disorder. </w:t>
      </w:r>
      <w:r w:rsidRPr="001503B2">
        <w:rPr>
          <w:i/>
          <w:iCs/>
        </w:rPr>
        <w:t>Nutrients</w:t>
      </w:r>
      <w:r w:rsidRPr="001503B2">
        <w:t xml:space="preserve">. 11(9):1974. https://doi.org/10.3390/nu11091974 </w:t>
      </w:r>
    </w:p>
    <w:p w14:paraId="615A9E41" w14:textId="77777777" w:rsidR="004F3F99" w:rsidRPr="001503B2" w:rsidRDefault="004F3F99" w:rsidP="004F3F99">
      <w:r w:rsidRPr="001503B2">
        <w:t xml:space="preserve">Henze M, Brown SJ, Hadlow NC, Walsh JP. Rationalizing Thyroid Function Testing: Which TSH Cutoffs Are Optimal for Testing Free T4? 2017. J Clin Endocrinol </w:t>
      </w:r>
      <w:proofErr w:type="spellStart"/>
      <w:r w:rsidRPr="001503B2">
        <w:t>Metab</w:t>
      </w:r>
      <w:proofErr w:type="spellEnd"/>
      <w:r w:rsidRPr="001503B2">
        <w:t xml:space="preserve">. 102(11):4235-4241. </w:t>
      </w:r>
      <w:proofErr w:type="spellStart"/>
      <w:r w:rsidRPr="001503B2">
        <w:t>doi</w:t>
      </w:r>
      <w:proofErr w:type="spellEnd"/>
      <w:r w:rsidRPr="001503B2">
        <w:t xml:space="preserve">: 10.1210/jc.2017-01322. </w:t>
      </w:r>
    </w:p>
    <w:p w14:paraId="6C760744" w14:textId="77777777" w:rsidR="004F3F99" w:rsidRPr="001503B2" w:rsidRDefault="004F3F99" w:rsidP="004F3F99">
      <w:r w:rsidRPr="001503B2">
        <w:t>Hess SY. 2010. The impact of common micronutrient deficiencies on iodine and thyroid metabolism: the evidence from human studies. Best Practice &amp; Research: Clinical Endocrinology and Metabolism,24(l</w:t>
      </w:r>
      <w:proofErr w:type="gramStart"/>
      <w:r w:rsidRPr="001503B2">
        <w:t>):l</w:t>
      </w:r>
      <w:proofErr w:type="gramEnd"/>
      <w:r w:rsidRPr="001503B2">
        <w:t xml:space="preserve"> 17-132</w:t>
      </w:r>
    </w:p>
    <w:p w14:paraId="0701ABE0" w14:textId="77777777" w:rsidR="004F3F99" w:rsidRPr="001503B2" w:rsidRDefault="004F3F99" w:rsidP="004F3F99">
      <w:r w:rsidRPr="001503B2">
        <w:t xml:space="preserve">Hetzel BS. 1983. Iodine deficiency disorders (IDD) and their eradication. </w:t>
      </w:r>
      <w:r w:rsidRPr="001503B2">
        <w:rPr>
          <w:i/>
          <w:iCs/>
        </w:rPr>
        <w:t xml:space="preserve">Lancet. </w:t>
      </w:r>
      <w:r w:rsidRPr="001503B2">
        <w:t xml:space="preserve">2:1126-7. </w:t>
      </w:r>
    </w:p>
    <w:p w14:paraId="662B60B4" w14:textId="77777777" w:rsidR="004F3F99" w:rsidRPr="001503B2" w:rsidRDefault="004F3F99" w:rsidP="004F3F99">
      <w:r w:rsidRPr="001503B2">
        <w:t>Hickman, P.E., Koerbin, G., Simpson, A., Potter, J.M., Hughes, D.G., Abhayaratna, W.P., West, N., Glasgow, N., Armbruster, D., Cavanaugh, J. and Reed, M. (2017), Using a thyroid disease-free population to define the reference interval for TSH and free T4 on the Abbott Architect analyser. Clin Endocrinol, 86: 108-112. </w:t>
      </w:r>
      <w:hyperlink r:id="rId45" w:history="1">
        <w:r w:rsidRPr="001503B2">
          <w:t>https://doi.org/10.1111/cen.13143</w:t>
        </w:r>
      </w:hyperlink>
      <w:r w:rsidRPr="001503B2">
        <w:t xml:space="preserve"> </w:t>
      </w:r>
    </w:p>
    <w:p w14:paraId="2929B94D" w14:textId="77777777" w:rsidR="004F3F99" w:rsidRPr="001503B2" w:rsidRDefault="004F3F99" w:rsidP="004F3F99">
      <w:r w:rsidRPr="001503B2">
        <w:t xml:space="preserve">Hine T, Zhao Y, Begley A, </w:t>
      </w:r>
      <w:proofErr w:type="spellStart"/>
      <w:r w:rsidRPr="001503B2">
        <w:t>Skeaff</w:t>
      </w:r>
      <w:proofErr w:type="spellEnd"/>
      <w:r w:rsidRPr="001503B2">
        <w:t xml:space="preserve"> S, Sherriff J. Iodine-containing supplement use by pregnant women attending antenatal clinics in Western Australia. Aust N Z J </w:t>
      </w:r>
      <w:proofErr w:type="spellStart"/>
      <w:r w:rsidRPr="001503B2">
        <w:t>Obstet</w:t>
      </w:r>
      <w:proofErr w:type="spellEnd"/>
      <w:r w:rsidRPr="001503B2">
        <w:t xml:space="preserve"> </w:t>
      </w:r>
      <w:proofErr w:type="spellStart"/>
      <w:r w:rsidRPr="001503B2">
        <w:t>Gynaecol</w:t>
      </w:r>
      <w:proofErr w:type="spellEnd"/>
      <w:r w:rsidRPr="001503B2">
        <w:t>. 2018 Dec;58(6):636-642</w:t>
      </w:r>
    </w:p>
    <w:p w14:paraId="40B685A1" w14:textId="77777777" w:rsidR="004F3F99" w:rsidRPr="001503B2" w:rsidRDefault="004F3F99" w:rsidP="004F3F99">
      <w:r w:rsidRPr="001503B2">
        <w:t>Hooper PL, Turner JR, Conway MJ and Plymate SR, 1980. Thyroid uptake of 123I in a normal population. Archives of Internal Medicine, 140, 757-758.</w:t>
      </w:r>
    </w:p>
    <w:p w14:paraId="35315658" w14:textId="77777777" w:rsidR="004F3F99" w:rsidRPr="001503B2" w:rsidRDefault="004F3F99" w:rsidP="004F3F99">
      <w:r w:rsidRPr="001503B2">
        <w:t>Hurley, S., Eastman, C. J., &amp; Gallego, G. (2019). The impact of mandatory iodine fortification and supplementation on pregnant and lactating women in Australia. Asia Pacific Journal of Clinical Nutrition, 28(1), 15</w:t>
      </w:r>
      <w:r>
        <w:t>-</w:t>
      </w:r>
      <w:r w:rsidRPr="001503B2">
        <w:t>22. https://search.informit.org/doi/10.3316/ielapa.264165338344088</w:t>
      </w:r>
    </w:p>
    <w:p w14:paraId="40CA342D" w14:textId="77777777" w:rsidR="004F3F99" w:rsidRPr="001503B2" w:rsidRDefault="004F3F99" w:rsidP="004F3F99">
      <w:r w:rsidRPr="001503B2">
        <w:t xml:space="preserve">Huynh D, Condo D, Gibson R, Makrides M, </w:t>
      </w:r>
      <w:proofErr w:type="spellStart"/>
      <w:r w:rsidRPr="001503B2">
        <w:t>Muhlhausler</w:t>
      </w:r>
      <w:proofErr w:type="spellEnd"/>
      <w:r w:rsidRPr="001503B2">
        <w:t xml:space="preserve"> B, Zhou SJ. 2017. Comparison of breast-milk iodine concentration of lactating women in Australia pre and post mandatory iodine fortification. </w:t>
      </w:r>
      <w:r w:rsidRPr="001503B2">
        <w:rPr>
          <w:i/>
          <w:iCs/>
        </w:rPr>
        <w:t>Public Health Nutrition</w:t>
      </w:r>
      <w:r w:rsidRPr="001503B2">
        <w:t xml:space="preserve">. 20(1):12-17. </w:t>
      </w:r>
    </w:p>
    <w:p w14:paraId="284083C2" w14:textId="77777777" w:rsidR="004F3F99" w:rsidRPr="001503B2" w:rsidRDefault="004F3F99" w:rsidP="004F3F99">
      <w:r w:rsidRPr="001503B2">
        <w:t xml:space="preserve">Hynes KL, Seal JA, </w:t>
      </w:r>
      <w:proofErr w:type="spellStart"/>
      <w:r w:rsidRPr="001503B2">
        <w:t>Otahal</w:t>
      </w:r>
      <w:proofErr w:type="spellEnd"/>
      <w:r w:rsidRPr="001503B2">
        <w:t xml:space="preserve"> P, Oddy WH &amp; Burgess JR. Women remain at risk of iodine deficiency during pregnancy: the importance of iodine supplementation before conception and throughout gestation. </w:t>
      </w:r>
      <w:r w:rsidRPr="001503B2">
        <w:rPr>
          <w:i/>
          <w:iCs/>
        </w:rPr>
        <w:t xml:space="preserve">Nutrients </w:t>
      </w:r>
      <w:r w:rsidRPr="001503B2">
        <w:t xml:space="preserve">2019 </w:t>
      </w:r>
      <w:r w:rsidRPr="001503B2">
        <w:rPr>
          <w:b/>
          <w:bCs/>
        </w:rPr>
        <w:t xml:space="preserve">11 </w:t>
      </w:r>
      <w:r w:rsidRPr="001503B2">
        <w:t xml:space="preserve">172. (https://doi.org/10.3390/ nu11010172) </w:t>
      </w:r>
    </w:p>
    <w:p w14:paraId="4E0B620C" w14:textId="77777777" w:rsidR="004F3F99" w:rsidRPr="001503B2" w:rsidRDefault="004F3F99" w:rsidP="004F3F99">
      <w:r w:rsidRPr="001503B2">
        <w:t xml:space="preserve">Hynes KL, </w:t>
      </w:r>
      <w:proofErr w:type="spellStart"/>
      <w:r w:rsidRPr="001503B2">
        <w:t>Otahal</w:t>
      </w:r>
      <w:proofErr w:type="spellEnd"/>
      <w:r w:rsidRPr="001503B2">
        <w:t xml:space="preserve"> P, Hay I, </w:t>
      </w:r>
      <w:proofErr w:type="spellStart"/>
      <w:r w:rsidRPr="001503B2">
        <w:t>Burgress</w:t>
      </w:r>
      <w:proofErr w:type="spellEnd"/>
      <w:r w:rsidRPr="001503B2">
        <w:t xml:space="preserve"> JR. Mild Iodine Deficiency During Pregnancy Is Associated </w:t>
      </w:r>
      <w:proofErr w:type="gramStart"/>
      <w:r w:rsidRPr="001503B2">
        <w:t>With</w:t>
      </w:r>
      <w:proofErr w:type="gramEnd"/>
      <w:r w:rsidRPr="001503B2">
        <w:t xml:space="preserve"> Reduced Educational Outcomes in the Offspring: 9-year follow-up of the gestational iodine cohort. </w:t>
      </w:r>
      <w:r w:rsidRPr="001503B2">
        <w:rPr>
          <w:i/>
          <w:iCs/>
        </w:rPr>
        <w:t xml:space="preserve">J Clin Endocrinol </w:t>
      </w:r>
      <w:proofErr w:type="spellStart"/>
      <w:r w:rsidRPr="001503B2">
        <w:rPr>
          <w:i/>
          <w:iCs/>
        </w:rPr>
        <w:t>Metab</w:t>
      </w:r>
      <w:proofErr w:type="spellEnd"/>
      <w:r w:rsidRPr="001503B2">
        <w:t>. 2013;98(5):1954</w:t>
      </w:r>
      <w:r>
        <w:t>-</w:t>
      </w:r>
      <w:r w:rsidRPr="001503B2">
        <w:t xml:space="preserve">62. </w:t>
      </w:r>
      <w:hyperlink r:id="rId46" w:history="1">
        <w:r w:rsidRPr="001503B2">
          <w:rPr>
            <w:rStyle w:val="Hyperlink"/>
          </w:rPr>
          <w:t>https://doi.org/10.1210/jc.2012-4249</w:t>
        </w:r>
      </w:hyperlink>
      <w:r w:rsidRPr="001503B2">
        <w:t>.</w:t>
      </w:r>
    </w:p>
    <w:p w14:paraId="25BD4585" w14:textId="77777777" w:rsidR="004F3F99" w:rsidRPr="001503B2" w:rsidRDefault="004F3F99" w:rsidP="004F3F99">
      <w:r w:rsidRPr="001503B2">
        <w:t xml:space="preserve">Hynes KL, </w:t>
      </w:r>
      <w:proofErr w:type="spellStart"/>
      <w:r w:rsidRPr="001503B2">
        <w:t>Otahal</w:t>
      </w:r>
      <w:proofErr w:type="spellEnd"/>
      <w:r w:rsidRPr="001503B2">
        <w:t xml:space="preserve"> P, Burgess JR, Oddy WH, Hay I. Reduced Educational Outcomes Persist into Adolescence Following Mild Iodine Deficiency in Utero, Despite Adequacy in Childhood: 15-Year Follow-Up of the Gestational Iodine Cohort Investigating Auditory </w:t>
      </w:r>
      <w:r w:rsidRPr="001503B2">
        <w:lastRenderedPageBreak/>
        <w:t xml:space="preserve">Processing Speed and Working Memory. Nutrients. 2017 Dec 13;9(12):1354. </w:t>
      </w:r>
      <w:proofErr w:type="spellStart"/>
      <w:r w:rsidRPr="001503B2">
        <w:t>doi</w:t>
      </w:r>
      <w:proofErr w:type="spellEnd"/>
      <w:r w:rsidRPr="001503B2">
        <w:t xml:space="preserve">: 10.3390/nu9121354. </w:t>
      </w:r>
    </w:p>
    <w:p w14:paraId="6920CD04" w14:textId="77777777" w:rsidR="004F3F99" w:rsidRPr="001503B2" w:rsidRDefault="004F3F99" w:rsidP="004F3F99">
      <w:proofErr w:type="spellStart"/>
      <w:r w:rsidRPr="001503B2">
        <w:t>Ingenbleek</w:t>
      </w:r>
      <w:proofErr w:type="spellEnd"/>
      <w:r w:rsidRPr="001503B2">
        <w:t xml:space="preserve"> Y, </w:t>
      </w:r>
      <w:proofErr w:type="spellStart"/>
      <w:r w:rsidRPr="001503B2">
        <w:t>Malvaux</w:t>
      </w:r>
      <w:proofErr w:type="spellEnd"/>
      <w:r w:rsidRPr="001503B2">
        <w:t xml:space="preserve"> P. 1974. Iodine balance studies in protein-calorie malnutrition. </w:t>
      </w:r>
      <w:r w:rsidRPr="001503B2">
        <w:rPr>
          <w:i/>
          <w:iCs/>
        </w:rPr>
        <w:t>Arch Dis Child</w:t>
      </w:r>
      <w:r w:rsidRPr="001503B2">
        <w:t> 49:305</w:t>
      </w:r>
      <w:r>
        <w:t>-</w:t>
      </w:r>
      <w:r w:rsidRPr="001503B2">
        <w:t>309.</w:t>
      </w:r>
    </w:p>
    <w:p w14:paraId="2A65FA28" w14:textId="77777777" w:rsidR="004F3F99" w:rsidRPr="001503B2" w:rsidRDefault="004F3F99" w:rsidP="004F3F99">
      <w:pPr>
        <w:rPr>
          <w:color w:val="000000"/>
        </w:rPr>
      </w:pPr>
      <w:r w:rsidRPr="001503B2">
        <w:rPr>
          <w:color w:val="000000"/>
        </w:rPr>
        <w:t xml:space="preserve">Inoue K, Ritz B, Brent GA, Ebrahimi R, Rhee CM, Leung AM. Association of Subclinical Hypothyroidism and Cardiovascular Disease </w:t>
      </w:r>
      <w:proofErr w:type="gramStart"/>
      <w:r w:rsidRPr="001503B2">
        <w:rPr>
          <w:color w:val="000000"/>
        </w:rPr>
        <w:t>With</w:t>
      </w:r>
      <w:proofErr w:type="gramEnd"/>
      <w:r w:rsidRPr="001503B2">
        <w:rPr>
          <w:color w:val="000000"/>
        </w:rPr>
        <w:t xml:space="preserve"> Mortality.</w:t>
      </w:r>
      <w:r w:rsidRPr="001503B2">
        <w:rPr>
          <w:rStyle w:val="apple-converted-space"/>
          <w:color w:val="000000"/>
        </w:rPr>
        <w:t> </w:t>
      </w:r>
      <w:r w:rsidRPr="001503B2">
        <w:rPr>
          <w:rStyle w:val="ref-journal"/>
          <w:color w:val="000000"/>
        </w:rPr>
        <w:t xml:space="preserve">JAMA </w:t>
      </w:r>
      <w:proofErr w:type="spellStart"/>
      <w:r w:rsidRPr="001503B2">
        <w:rPr>
          <w:rStyle w:val="ref-journal"/>
          <w:color w:val="000000"/>
        </w:rPr>
        <w:t>Netw</w:t>
      </w:r>
      <w:proofErr w:type="spellEnd"/>
      <w:r w:rsidRPr="001503B2">
        <w:rPr>
          <w:rStyle w:val="ref-journal"/>
          <w:color w:val="000000"/>
        </w:rPr>
        <w:t xml:space="preserve"> Open.</w:t>
      </w:r>
      <w:r w:rsidRPr="001503B2">
        <w:rPr>
          <w:rStyle w:val="apple-converted-space"/>
          <w:color w:val="000000"/>
        </w:rPr>
        <w:t> </w:t>
      </w:r>
      <w:r w:rsidRPr="001503B2">
        <w:rPr>
          <w:color w:val="000000"/>
        </w:rPr>
        <w:t>2020 Feb 05;</w:t>
      </w:r>
      <w:r w:rsidRPr="001503B2">
        <w:rPr>
          <w:rStyle w:val="ref-vol"/>
          <w:color w:val="000000"/>
        </w:rPr>
        <w:t>3</w:t>
      </w:r>
      <w:r w:rsidRPr="001503B2">
        <w:rPr>
          <w:color w:val="000000"/>
        </w:rPr>
        <w:t>(2</w:t>
      </w:r>
      <w:proofErr w:type="gramStart"/>
      <w:r w:rsidRPr="001503B2">
        <w:rPr>
          <w:color w:val="000000"/>
        </w:rPr>
        <w:t>):e</w:t>
      </w:r>
      <w:proofErr w:type="gramEnd"/>
      <w:r w:rsidRPr="001503B2">
        <w:rPr>
          <w:color w:val="000000"/>
        </w:rPr>
        <w:t>1920745</w:t>
      </w:r>
    </w:p>
    <w:p w14:paraId="253A92FF" w14:textId="77777777" w:rsidR="004F3F99" w:rsidRPr="001503B2" w:rsidRDefault="004F3F99" w:rsidP="004F3F99">
      <w:r w:rsidRPr="001503B2">
        <w:t xml:space="preserve">International Agency for Research on Cancer New Zealand. 2022. Global Cancer Observatory </w:t>
      </w:r>
      <w:r>
        <w:t>-</w:t>
      </w:r>
      <w:r w:rsidRPr="001503B2">
        <w:t xml:space="preserve"> Cancer Today 2022 </w:t>
      </w:r>
      <w:r>
        <w:t>-</w:t>
      </w:r>
      <w:r w:rsidRPr="001503B2">
        <w:t xml:space="preserve"> New Zealand Fact Sheet. Available from: </w:t>
      </w:r>
      <w:hyperlink r:id="rId47" w:history="1">
        <w:r w:rsidRPr="001503B2">
          <w:rPr>
            <w:rStyle w:val="Hyperlink"/>
          </w:rPr>
          <w:t>https://gco.iarc.who.int/media/globocan/factsheets/populations/554-new-zealand-fact-sheet.pdf</w:t>
        </w:r>
      </w:hyperlink>
      <w:r w:rsidRPr="001503B2">
        <w:t xml:space="preserve"> (Accessed 20 January 2025)</w:t>
      </w:r>
    </w:p>
    <w:p w14:paraId="5325F888" w14:textId="77777777" w:rsidR="004F3F99" w:rsidRPr="001503B2" w:rsidRDefault="004F3F99" w:rsidP="004F3F99">
      <w:r w:rsidRPr="001503B2">
        <w:t>IOM (Institute of Medicine), 2001. Dietary Reference Intakes for vitamin A, vitamin K, arsenic, boron, chromium, copper, iodine, iron, manganese, molybdenum, nickel, silicon, vanadium, and zinc. National Academies Press, Washington DC, USA, 797 pp.</w:t>
      </w:r>
    </w:p>
    <w:p w14:paraId="72BC6693" w14:textId="77777777" w:rsidR="004F3F99" w:rsidRPr="001503B2" w:rsidRDefault="004F3F99" w:rsidP="004F3F99">
      <w:r w:rsidRPr="001503B2">
        <w:t xml:space="preserve">Jahreis G, Hausmann W, Kiessling G, Franke K and </w:t>
      </w:r>
      <w:proofErr w:type="spellStart"/>
      <w:r w:rsidRPr="001503B2">
        <w:t>Leiterer</w:t>
      </w:r>
      <w:proofErr w:type="spellEnd"/>
      <w:r w:rsidRPr="001503B2">
        <w:t xml:space="preserve"> M, 2001. Bioavailability of iodine from normal diets rich in dairy products--results of balance studies in women. Experimental and Clinical Endocrinology and Diabetes, 109, 163-167.</w:t>
      </w:r>
    </w:p>
    <w:p w14:paraId="40B80831" w14:textId="77777777" w:rsidR="004F3F99" w:rsidRPr="001503B2" w:rsidRDefault="004F3F99" w:rsidP="004F3F99">
      <w:r w:rsidRPr="001503B2">
        <w:t xml:space="preserve">Jin Y, Coad J, Zhou SJ, </w:t>
      </w:r>
      <w:proofErr w:type="spellStart"/>
      <w:r w:rsidRPr="001503B2">
        <w:t>Skeaff</w:t>
      </w:r>
      <w:proofErr w:type="spellEnd"/>
      <w:r w:rsidRPr="001503B2">
        <w:t xml:space="preserve"> S, Benn C, Brough L. 2021. Use of Iodine Supplements by Breastfeeding Mothers Is Associated with Better Maternal and Infant Iodine Status. </w:t>
      </w:r>
      <w:r w:rsidRPr="001503B2">
        <w:rPr>
          <w:i/>
          <w:iCs/>
        </w:rPr>
        <w:t>Biol Trace Elem Res.</w:t>
      </w:r>
      <w:r w:rsidRPr="001503B2">
        <w:t>199(8):2893-2903.</w:t>
      </w:r>
    </w:p>
    <w:p w14:paraId="6F1F2421" w14:textId="77777777" w:rsidR="004F3F99" w:rsidRPr="001503B2" w:rsidRDefault="004F3F99" w:rsidP="004F3F99">
      <w:r w:rsidRPr="001503B2">
        <w:t xml:space="preserve">Johner SA, Shi L, Remer T. 2010. Higher urine volume results in additional renal iodine loss. Thyroid. 20(12):1391-7. </w:t>
      </w:r>
      <w:proofErr w:type="spellStart"/>
      <w:r w:rsidRPr="001503B2">
        <w:t>doi</w:t>
      </w:r>
      <w:proofErr w:type="spellEnd"/>
      <w:r w:rsidRPr="001503B2">
        <w:t xml:space="preserve">: 10.1089/thy.2010.0161. </w:t>
      </w:r>
      <w:proofErr w:type="spellStart"/>
      <w:r w:rsidRPr="001503B2">
        <w:t>Epub</w:t>
      </w:r>
      <w:proofErr w:type="spellEnd"/>
      <w:r w:rsidRPr="001503B2">
        <w:t xml:space="preserve"> 2010 Oct 29. PMID: 21034227.</w:t>
      </w:r>
    </w:p>
    <w:p w14:paraId="18B9E826" w14:textId="77777777" w:rsidR="004F3F99" w:rsidRPr="001503B2" w:rsidRDefault="004F3F99" w:rsidP="004F3F99">
      <w:pPr>
        <w:rPr>
          <w:rFonts w:eastAsia="Times New Roman"/>
        </w:rPr>
      </w:pPr>
      <w:r w:rsidRPr="001503B2">
        <w:rPr>
          <w:rFonts w:eastAsia="Times New Roman"/>
        </w:rPr>
        <w:t xml:space="preserve">Johnson LA, Ford HC, Doran JM, Richardson VF. A survey of the iodide concentration of human milk. NZ Med J </w:t>
      </w:r>
      <w:proofErr w:type="gramStart"/>
      <w:r w:rsidRPr="001503B2">
        <w:rPr>
          <w:rFonts w:eastAsia="Times New Roman"/>
        </w:rPr>
        <w:t>1990;103:393</w:t>
      </w:r>
      <w:proofErr w:type="gramEnd"/>
      <w:r>
        <w:rPr>
          <w:rFonts w:eastAsia="Times New Roman"/>
        </w:rPr>
        <w:t>-</w:t>
      </w:r>
      <w:r w:rsidRPr="001503B2">
        <w:rPr>
          <w:rFonts w:eastAsia="Times New Roman"/>
        </w:rPr>
        <w:t>4</w:t>
      </w:r>
    </w:p>
    <w:p w14:paraId="2F0BAB7C" w14:textId="77777777" w:rsidR="004F3F99" w:rsidRPr="001503B2" w:rsidRDefault="004F3F99" w:rsidP="004F3F99">
      <w:r w:rsidRPr="001503B2">
        <w:t xml:space="preserve">Jones E, McLean R, Davies B, Hawkins R, Meiklejohn E, Ma ZF, </w:t>
      </w:r>
      <w:proofErr w:type="spellStart"/>
      <w:r w:rsidRPr="001503B2">
        <w:t>Skeaff</w:t>
      </w:r>
      <w:proofErr w:type="spellEnd"/>
      <w:r w:rsidRPr="001503B2">
        <w:t xml:space="preserve"> S. Adequate Iodine Status in New Zealand School Children Post-Fortification of Bread with Iodised Salt. Nutrients. 2016 May 16;8(5):298. </w:t>
      </w:r>
      <w:proofErr w:type="spellStart"/>
      <w:r w:rsidRPr="001503B2">
        <w:t>doi</w:t>
      </w:r>
      <w:proofErr w:type="spellEnd"/>
      <w:r w:rsidRPr="001503B2">
        <w:t xml:space="preserve">: 10.3390/nu8050298. PMID: 27196925; PMCID: PMC4882711. </w:t>
      </w:r>
    </w:p>
    <w:p w14:paraId="6DBE77EE" w14:textId="77777777" w:rsidR="004F3F99" w:rsidRPr="001503B2" w:rsidRDefault="004F3F99" w:rsidP="004F3F99">
      <w:r w:rsidRPr="001503B2">
        <w:t>Kaplan MM, 1992. Monitoring thyroxine treatment during pregnancy. Thyroid, 2, 147-152.</w:t>
      </w:r>
    </w:p>
    <w:p w14:paraId="3F0BD508" w14:textId="77777777" w:rsidR="004F3F99" w:rsidRPr="001503B2" w:rsidRDefault="004F3F99" w:rsidP="004F3F99">
      <w:r w:rsidRPr="001503B2">
        <w:t xml:space="preserve">Katagiri R, Yuan X, Kobayashi S, Sasaki S. Effect of excess iodine intake on thyroid diseases in different populations: a systematic review and meta-analyses including observational studies. </w:t>
      </w:r>
      <w:proofErr w:type="spellStart"/>
      <w:r w:rsidRPr="001503B2">
        <w:t>PLoS</w:t>
      </w:r>
      <w:proofErr w:type="spellEnd"/>
      <w:r w:rsidRPr="001503B2">
        <w:t xml:space="preserve"> One 2017; 12(3): e0173722</w:t>
      </w:r>
    </w:p>
    <w:p w14:paraId="43F85937" w14:textId="77777777" w:rsidR="004F3F99" w:rsidRPr="001503B2" w:rsidRDefault="004F3F99" w:rsidP="004F3F99">
      <w:r w:rsidRPr="001503B2">
        <w:t xml:space="preserve">Kent J, </w:t>
      </w:r>
      <w:proofErr w:type="spellStart"/>
      <w:r w:rsidRPr="001503B2">
        <w:t>Mitoulas</w:t>
      </w:r>
      <w:proofErr w:type="spellEnd"/>
      <w:r w:rsidRPr="001503B2">
        <w:t xml:space="preserve"> L, Cregan M, Ramsay D, Doherty D, Hartmann P. Volume and Frequency of </w:t>
      </w:r>
      <w:proofErr w:type="spellStart"/>
      <w:r w:rsidRPr="001503B2">
        <w:t>Breastfeedings</w:t>
      </w:r>
      <w:proofErr w:type="spellEnd"/>
      <w:r w:rsidRPr="001503B2">
        <w:t xml:space="preserve"> and Fat Content of Breast Milk Throughout the Day. </w:t>
      </w:r>
      <w:proofErr w:type="spellStart"/>
      <w:r w:rsidRPr="001503B2">
        <w:t>Pediatrics</w:t>
      </w:r>
      <w:proofErr w:type="spellEnd"/>
      <w:r w:rsidRPr="001503B2">
        <w:t>. 2006 117 (3): e387</w:t>
      </w:r>
      <w:r>
        <w:t>-</w:t>
      </w:r>
      <w:r w:rsidRPr="001503B2">
        <w:t xml:space="preserve">e395. </w:t>
      </w:r>
    </w:p>
    <w:p w14:paraId="29836D7F" w14:textId="77777777" w:rsidR="004F3F99" w:rsidRPr="001503B2" w:rsidRDefault="004F3F99" w:rsidP="004F3F99">
      <w:r w:rsidRPr="001503B2">
        <w:t>Konno N, Yuri K, Miura K, Kumagai M, Murakami S. 1993. Clinical evaluation of the iodide/creatinine ratio of casual urine samples as an index of daily iodide excretion in a population study</w:t>
      </w:r>
      <w:r w:rsidRPr="001503B2">
        <w:rPr>
          <w:i/>
          <w:iCs/>
        </w:rPr>
        <w:t xml:space="preserve">. </w:t>
      </w:r>
      <w:proofErr w:type="spellStart"/>
      <w:r w:rsidRPr="001503B2">
        <w:rPr>
          <w:i/>
          <w:iCs/>
        </w:rPr>
        <w:t>Endocr</w:t>
      </w:r>
      <w:proofErr w:type="spellEnd"/>
      <w:r w:rsidRPr="001503B2">
        <w:rPr>
          <w:i/>
          <w:iCs/>
        </w:rPr>
        <w:t xml:space="preserve"> J.</w:t>
      </w:r>
      <w:r w:rsidRPr="001503B2">
        <w:t xml:space="preserve"> 40:163</w:t>
      </w:r>
      <w:r>
        <w:t>-</w:t>
      </w:r>
      <w:r w:rsidRPr="001503B2">
        <w:t>9.</w:t>
      </w:r>
    </w:p>
    <w:p w14:paraId="320C64CC" w14:textId="77777777" w:rsidR="004F3F99" w:rsidRPr="001503B2" w:rsidRDefault="004F3F99" w:rsidP="004F3F99">
      <w:r w:rsidRPr="001503B2">
        <w:t xml:space="preserve">Knudsen N, Christiansen E, Brandt-Christensen M, Nygaard B, Perrild H. 2000. Age- and sex-adjusted iodine/creatinine ratio. A new standard in epidemiological surveys? </w:t>
      </w:r>
      <w:r w:rsidRPr="001503B2">
        <w:lastRenderedPageBreak/>
        <w:t xml:space="preserve">Evaluation of three estimates of iodine excretion based on causal urine samples and comparison to 24 h values. </w:t>
      </w:r>
      <w:proofErr w:type="spellStart"/>
      <w:r w:rsidRPr="001503B2">
        <w:rPr>
          <w:i/>
          <w:iCs/>
        </w:rPr>
        <w:t>Eur</w:t>
      </w:r>
      <w:proofErr w:type="spellEnd"/>
      <w:r w:rsidRPr="001503B2">
        <w:rPr>
          <w:i/>
          <w:iCs/>
        </w:rPr>
        <w:t xml:space="preserve"> J Clin Nutr.</w:t>
      </w:r>
      <w:r w:rsidRPr="001503B2">
        <w:t>54:361</w:t>
      </w:r>
      <w:r>
        <w:t>-</w:t>
      </w:r>
      <w:r w:rsidRPr="001503B2">
        <w:t>3.</w:t>
      </w:r>
    </w:p>
    <w:p w14:paraId="2083C0C6" w14:textId="77777777" w:rsidR="004F3F99" w:rsidRPr="001503B2" w:rsidRDefault="004F3F99" w:rsidP="004F3F99">
      <w:r w:rsidRPr="001503B2">
        <w:t xml:space="preserve">Knudsen N, Bülow I, Laurberg P, Ovesen L, Perrild H, Jørgensen T. Association of Tobacco Smoking </w:t>
      </w:r>
      <w:proofErr w:type="gramStart"/>
      <w:r w:rsidRPr="001503B2">
        <w:t>With</w:t>
      </w:r>
      <w:proofErr w:type="gramEnd"/>
      <w:r w:rsidRPr="001503B2">
        <w:t xml:space="preserve"> </w:t>
      </w:r>
      <w:proofErr w:type="spellStart"/>
      <w:r w:rsidRPr="001503B2">
        <w:t>Goiter</w:t>
      </w:r>
      <w:proofErr w:type="spellEnd"/>
      <w:r w:rsidRPr="001503B2">
        <w:t xml:space="preserve"> in a Low-Iodine-Intake Area. </w:t>
      </w:r>
      <w:r w:rsidRPr="001503B2">
        <w:rPr>
          <w:i/>
          <w:iCs/>
        </w:rPr>
        <w:t>Arch Intern Med.</w:t>
      </w:r>
      <w:r w:rsidRPr="001503B2">
        <w:t> 2002;162(4):439</w:t>
      </w:r>
      <w:r>
        <w:t>-</w:t>
      </w:r>
      <w:r w:rsidRPr="001503B2">
        <w:t>443. doi:10.1001/archinte.162.4.439</w:t>
      </w:r>
    </w:p>
    <w:p w14:paraId="79873D86" w14:textId="77777777" w:rsidR="004F3F99" w:rsidRPr="001503B2" w:rsidRDefault="004F3F99" w:rsidP="004F3F99">
      <w:r w:rsidRPr="001503B2">
        <w:t xml:space="preserve">Kohrle, J. (1999). The trace element selenium and the thyroid gland. </w:t>
      </w:r>
      <w:proofErr w:type="spellStart"/>
      <w:r w:rsidRPr="001503B2">
        <w:rPr>
          <w:i/>
          <w:iCs/>
        </w:rPr>
        <w:t>Biochimie</w:t>
      </w:r>
      <w:proofErr w:type="spellEnd"/>
      <w:r w:rsidRPr="001503B2">
        <w:t>. 81:527</w:t>
      </w:r>
      <w:r>
        <w:t>-</w:t>
      </w:r>
      <w:r w:rsidRPr="001503B2">
        <w:t>533.</w:t>
      </w:r>
    </w:p>
    <w:p w14:paraId="54503677" w14:textId="77777777" w:rsidR="004F3F99" w:rsidRPr="001503B2" w:rsidRDefault="004F3F99" w:rsidP="004F3F99">
      <w:r w:rsidRPr="001503B2">
        <w:t xml:space="preserve">König F, Andersson M, Hotz K, </w:t>
      </w:r>
      <w:proofErr w:type="spellStart"/>
      <w:r w:rsidRPr="001503B2">
        <w:t>Aeberli</w:t>
      </w:r>
      <w:proofErr w:type="spellEnd"/>
      <w:r w:rsidRPr="001503B2">
        <w:t xml:space="preserve"> I, Zimmermann MB. 2011. Ten Repeat Collections for Urinary Iodine from Spot Samples or 24-Hour Samples Are Needed to Reliably Estimate Individual Iodine Status in Women123, </w:t>
      </w:r>
      <w:r w:rsidRPr="001503B2">
        <w:rPr>
          <w:i/>
          <w:iCs/>
        </w:rPr>
        <w:t xml:space="preserve">The Journal of Nutrition, </w:t>
      </w:r>
      <w:r w:rsidRPr="001503B2">
        <w:t>141 (11). Pp. 2049-2054,</w:t>
      </w:r>
    </w:p>
    <w:p w14:paraId="24464594" w14:textId="77777777" w:rsidR="004F3F99" w:rsidRPr="001503B2" w:rsidRDefault="004F3F99" w:rsidP="004F3F99">
      <w:r w:rsidRPr="001503B2">
        <w:t xml:space="preserve">Küpper FC, </w:t>
      </w:r>
      <w:proofErr w:type="spellStart"/>
      <w:r w:rsidRPr="001503B2">
        <w:t>Feiters</w:t>
      </w:r>
      <w:proofErr w:type="spellEnd"/>
      <w:r w:rsidRPr="001503B2">
        <w:t xml:space="preserve"> MC, Olofsson B, </w:t>
      </w:r>
      <w:proofErr w:type="spellStart"/>
      <w:r w:rsidRPr="001503B2">
        <w:t>Kaiho</w:t>
      </w:r>
      <w:proofErr w:type="spellEnd"/>
      <w:r w:rsidRPr="001503B2">
        <w:t xml:space="preserve"> T, Yanagida S, Zimmermann MB, Carpenter LJ, Luther GW 3rd, Lu Z, Jonsson M, Kloo L. Commemorating two centuries of iodine research: an interdisciplinary overview of current research. </w:t>
      </w:r>
      <w:proofErr w:type="spellStart"/>
      <w:r w:rsidRPr="001503B2">
        <w:t>Angewandte</w:t>
      </w:r>
      <w:proofErr w:type="spellEnd"/>
      <w:r w:rsidRPr="001503B2">
        <w:t xml:space="preserve"> </w:t>
      </w:r>
      <w:proofErr w:type="spellStart"/>
      <w:r w:rsidRPr="001503B2">
        <w:t>Chemie</w:t>
      </w:r>
      <w:proofErr w:type="spellEnd"/>
      <w:r w:rsidRPr="001503B2">
        <w:t xml:space="preserve"> (Internation ed. In English) 2011;50(49):11598-11620.</w:t>
      </w:r>
    </w:p>
    <w:p w14:paraId="36E80A25" w14:textId="77777777" w:rsidR="004F3F99" w:rsidRPr="001503B2" w:rsidRDefault="004F3F99" w:rsidP="004F3F99">
      <w:r w:rsidRPr="001503B2">
        <w:t>Laaksonen MA, MacInnis RJ, </w:t>
      </w:r>
      <w:proofErr w:type="spellStart"/>
      <w:r w:rsidRPr="001503B2">
        <w:t>Canfell</w:t>
      </w:r>
      <w:proofErr w:type="spellEnd"/>
      <w:r w:rsidRPr="001503B2">
        <w:t> K, et al. Thyroid cancers potentially preventable by reducing overweight and obesity in Australia: A pooled cohort study. </w:t>
      </w:r>
      <w:r w:rsidRPr="001503B2">
        <w:rPr>
          <w:i/>
          <w:iCs/>
        </w:rPr>
        <w:t>Int. J. Cancer</w:t>
      </w:r>
      <w:r w:rsidRPr="001503B2">
        <w:t>. 2022; 150(8): 1281-1290. doi:</w:t>
      </w:r>
      <w:hyperlink r:id="rId48" w:history="1">
        <w:r w:rsidRPr="001503B2">
          <w:rPr>
            <w:rStyle w:val="Hyperlink"/>
          </w:rPr>
          <w:t>10.1002/ijc.33889</w:t>
        </w:r>
      </w:hyperlink>
      <w:r w:rsidRPr="001503B2">
        <w:t xml:space="preserve"> </w:t>
      </w:r>
    </w:p>
    <w:p w14:paraId="7ED9FCF0" w14:textId="77777777" w:rsidR="004F3F99" w:rsidRPr="001503B2" w:rsidRDefault="004F3F99" w:rsidP="004F3F99">
      <w:r w:rsidRPr="001503B2">
        <w:t>Lee JH, Hwang Y, Song RY, Yi JW, Yu HW, Kim SJ, et al. Relationship between iodine levels and papillary thyroid carcinoma: a systematic review and meta-analysis. Head Neck 2017; 39(8): 1711</w:t>
      </w:r>
      <w:r>
        <w:t>-</w:t>
      </w:r>
      <w:r w:rsidRPr="001503B2">
        <w:t xml:space="preserve">18. </w:t>
      </w:r>
      <w:proofErr w:type="spellStart"/>
      <w:r w:rsidRPr="001503B2">
        <w:t>doi</w:t>
      </w:r>
      <w:proofErr w:type="spellEnd"/>
      <w:r w:rsidRPr="001503B2">
        <w:t xml:space="preserve">: 10.1002/hed.24797 </w:t>
      </w:r>
    </w:p>
    <w:p w14:paraId="0BC978AE" w14:textId="77777777" w:rsidR="004F3F99" w:rsidRPr="001503B2" w:rsidRDefault="004F3F99" w:rsidP="004F3F99">
      <w:pPr>
        <w:spacing w:after="40" w:line="180" w:lineRule="atLeast"/>
      </w:pPr>
      <w:r w:rsidRPr="001503B2">
        <w:t>Leung AM. What’s the best measure of population iodine status? It’s not a simple answer,</w:t>
      </w:r>
    </w:p>
    <w:p w14:paraId="4B27577E" w14:textId="77777777" w:rsidR="004F3F99" w:rsidRPr="001503B2" w:rsidRDefault="004F3F99" w:rsidP="004F3F99">
      <w:r w:rsidRPr="001503B2">
        <w:t xml:space="preserve">The American Journal of Clinical Nutrition, Volume 110, Issue 4,2019, pp. 797-798, </w:t>
      </w:r>
      <w:proofErr w:type="spellStart"/>
      <w:r w:rsidRPr="001503B2">
        <w:t>doi</w:t>
      </w:r>
      <w:proofErr w:type="spellEnd"/>
      <w:r w:rsidRPr="001503B2">
        <w:t>: 10.1093/</w:t>
      </w:r>
      <w:proofErr w:type="spellStart"/>
      <w:r w:rsidRPr="001503B2">
        <w:t>ajcn</w:t>
      </w:r>
      <w:proofErr w:type="spellEnd"/>
      <w:r w:rsidRPr="001503B2">
        <w:t xml:space="preserve">/nqz185.Ma ZF, </w:t>
      </w:r>
    </w:p>
    <w:p w14:paraId="3F546406" w14:textId="77777777" w:rsidR="004F3F99" w:rsidRPr="001503B2" w:rsidRDefault="004F3F99" w:rsidP="004F3F99">
      <w:r w:rsidRPr="001503B2">
        <w:t>Li M, and Eastman C J. Neonatal TSH screening: is it a sensitive and reliable tool for monitoring iodine status in populations? Best Practice &amp; Research Clinical Endocrinology and Metabolism, 2010. Vol 24, pp. 63-75.</w:t>
      </w:r>
    </w:p>
    <w:p w14:paraId="238E1F8F" w14:textId="77777777" w:rsidR="004F3F99" w:rsidRPr="001503B2" w:rsidRDefault="004F3F99" w:rsidP="004F3F99">
      <w:r w:rsidRPr="001503B2">
        <w:t>Li, F., Wan, S., Zhang, L. et al. A Meta-Analysis of the Effect of Iodine Excess on the Intellectual Development of Children in Areas with High Iodine Levels in their Drinking Water. Biol Trace Elem Res 200, 1580</w:t>
      </w:r>
      <w:r>
        <w:t>-</w:t>
      </w:r>
      <w:r w:rsidRPr="001503B2">
        <w:t>1590 (2022). https://doi.org/10.1007/s12011-021-02801-3</w:t>
      </w:r>
    </w:p>
    <w:p w14:paraId="1E5D8193" w14:textId="77777777" w:rsidR="004F3F99" w:rsidRPr="001503B2" w:rsidRDefault="004F3F99" w:rsidP="004F3F99">
      <w:r w:rsidRPr="001503B2">
        <w:t xml:space="preserve">Lisco G, De Tullio A, </w:t>
      </w:r>
      <w:proofErr w:type="spellStart"/>
      <w:r w:rsidRPr="001503B2">
        <w:t>Giagulli</w:t>
      </w:r>
      <w:proofErr w:type="spellEnd"/>
      <w:r w:rsidRPr="001503B2">
        <w:t xml:space="preserve"> VA, De Pergola G, </w:t>
      </w:r>
      <w:proofErr w:type="spellStart"/>
      <w:r w:rsidRPr="001503B2">
        <w:t>Triggiani</w:t>
      </w:r>
      <w:proofErr w:type="spellEnd"/>
      <w:r w:rsidRPr="001503B2">
        <w:t xml:space="preserve"> V. 2020. Interference on Iodine Uptake and Human Thyroid Function by Perchlorate-Contaminated Water and Food. Nutrients. Jun 4;12(6):1669. </w:t>
      </w:r>
      <w:proofErr w:type="spellStart"/>
      <w:r w:rsidRPr="001503B2">
        <w:t>doi</w:t>
      </w:r>
      <w:proofErr w:type="spellEnd"/>
      <w:r w:rsidRPr="001503B2">
        <w:t>: 10.3390/nu</w:t>
      </w:r>
      <w:proofErr w:type="gramStart"/>
      <w:r w:rsidRPr="001503B2">
        <w:t>12061669..</w:t>
      </w:r>
      <w:proofErr w:type="gramEnd"/>
      <w:r w:rsidRPr="001503B2">
        <w:t xml:space="preserve"> PMID: 32512711 </w:t>
      </w:r>
    </w:p>
    <w:p w14:paraId="0440A8F7" w14:textId="77777777" w:rsidR="004F3F99" w:rsidRPr="001503B2" w:rsidRDefault="004F3F99" w:rsidP="004F3F99">
      <w:r w:rsidRPr="001503B2">
        <w:t xml:space="preserve">Liu S, Sharp A, Villanueva E, Ma ZF. Breast Milk Iodine Concentration (BMIC) as a Biomarker of Iodine Status in Lactating Women and Children &lt;2 Years of Age: A Systematic Review. Nutrients. 2022 Apr 19;14(9):1691. </w:t>
      </w:r>
      <w:proofErr w:type="spellStart"/>
      <w:r w:rsidRPr="001503B2">
        <w:t>doi</w:t>
      </w:r>
      <w:proofErr w:type="spellEnd"/>
      <w:r w:rsidRPr="001503B2">
        <w:t>: 10.3390/nu14091691. PMID: 35565659; PMCID: PMC9104537.</w:t>
      </w:r>
    </w:p>
    <w:p w14:paraId="3F9EC6ED" w14:textId="77777777" w:rsidR="004F3F99" w:rsidRPr="001503B2" w:rsidRDefault="004F3F99" w:rsidP="004F3F99">
      <w:r w:rsidRPr="001503B2">
        <w:t xml:space="preserve">Lucas CJ, Charlton KE, Brown L, Brock E and Cummins L. Antenatal shared care: Are pregnant women being adequately informed about iodine and nutritional </w:t>
      </w:r>
      <w:proofErr w:type="gramStart"/>
      <w:r w:rsidRPr="001503B2">
        <w:t>supplementation?.</w:t>
      </w:r>
      <w:proofErr w:type="gramEnd"/>
      <w:r w:rsidRPr="001503B2">
        <w:t xml:space="preserve"> Aust N Z J </w:t>
      </w:r>
      <w:proofErr w:type="spellStart"/>
      <w:r w:rsidRPr="001503B2">
        <w:t>Obstet</w:t>
      </w:r>
      <w:proofErr w:type="spellEnd"/>
      <w:r w:rsidRPr="001503B2">
        <w:t xml:space="preserve"> </w:t>
      </w:r>
      <w:proofErr w:type="spellStart"/>
      <w:r w:rsidRPr="001503B2">
        <w:t>Gynaecol</w:t>
      </w:r>
      <w:proofErr w:type="spellEnd"/>
      <w:r w:rsidRPr="001503B2">
        <w:t xml:space="preserve">, </w:t>
      </w:r>
      <w:proofErr w:type="gramStart"/>
      <w:r w:rsidRPr="001503B2">
        <w:t>2014,  54</w:t>
      </w:r>
      <w:proofErr w:type="gramEnd"/>
      <w:r w:rsidRPr="001503B2">
        <w:t>: 515-521. </w:t>
      </w:r>
      <w:hyperlink r:id="rId49" w:history="1">
        <w:r w:rsidRPr="001503B2">
          <w:t>https://doi.org/10.1111/ajo.12239</w:t>
        </w:r>
      </w:hyperlink>
    </w:p>
    <w:p w14:paraId="4942389B" w14:textId="77777777" w:rsidR="004F3F99" w:rsidRPr="001503B2" w:rsidRDefault="004F3F99" w:rsidP="004F3F99">
      <w:r w:rsidRPr="001503B2">
        <w:lastRenderedPageBreak/>
        <w:t xml:space="preserve">Lundquist H, Hess J, Comeau M. Slavin J. 2024. Cow milk is an important source of iodine for prenatal health, and switching to plant-based milk can lead to iodine </w:t>
      </w:r>
      <w:proofErr w:type="spellStart"/>
      <w:proofErr w:type="gramStart"/>
      <w:r w:rsidRPr="001503B2">
        <w:t>insufficiencies,</w:t>
      </w:r>
      <w:r w:rsidRPr="001503B2">
        <w:rPr>
          <w:i/>
          <w:iCs/>
        </w:rPr>
        <w:t>JDS</w:t>
      </w:r>
      <w:proofErr w:type="spellEnd"/>
      <w:proofErr w:type="gramEnd"/>
      <w:r w:rsidRPr="001503B2">
        <w:rPr>
          <w:i/>
          <w:iCs/>
        </w:rPr>
        <w:t xml:space="preserve"> Communications, 5 (3), </w:t>
      </w:r>
      <w:r w:rsidRPr="001503B2">
        <w:t>pp. 181-184.</w:t>
      </w:r>
    </w:p>
    <w:p w14:paraId="0C82693B" w14:textId="77777777" w:rsidR="004F3F99" w:rsidRPr="001503B2" w:rsidRDefault="004F3F99" w:rsidP="004F3F99">
      <w:r w:rsidRPr="001503B2">
        <w:t xml:space="preserve">Ma ZF, Venn BJ, Manning PJ, Cameron CM, </w:t>
      </w:r>
      <w:proofErr w:type="spellStart"/>
      <w:r w:rsidRPr="001503B2">
        <w:t>Skeaff</w:t>
      </w:r>
      <w:proofErr w:type="spellEnd"/>
      <w:r w:rsidRPr="001503B2">
        <w:t xml:space="preserve"> SA. The sensitivity and specificity of thyroglobulin concentration using repeated measures of urinary iodine excretion. </w:t>
      </w:r>
      <w:proofErr w:type="spellStart"/>
      <w:r w:rsidRPr="001503B2">
        <w:t>Eur</w:t>
      </w:r>
      <w:proofErr w:type="spellEnd"/>
      <w:r w:rsidRPr="001503B2">
        <w:t xml:space="preserve"> J </w:t>
      </w:r>
      <w:proofErr w:type="spellStart"/>
      <w:r w:rsidRPr="001503B2">
        <w:t>Nutr</w:t>
      </w:r>
      <w:proofErr w:type="spellEnd"/>
      <w:r w:rsidRPr="001503B2">
        <w:t xml:space="preserve"> 2018; 57(4): 1313</w:t>
      </w:r>
      <w:r>
        <w:t>-</w:t>
      </w:r>
      <w:r w:rsidRPr="001503B2">
        <w:t xml:space="preserve">20. </w:t>
      </w:r>
      <w:proofErr w:type="spellStart"/>
      <w:r w:rsidRPr="001503B2">
        <w:t>doi</w:t>
      </w:r>
      <w:proofErr w:type="spellEnd"/>
      <w:r w:rsidRPr="001503B2">
        <w:t>: 10.1007/s00394-017-1410-6</w:t>
      </w:r>
    </w:p>
    <w:p w14:paraId="020BA486" w14:textId="77777777" w:rsidR="004F3F99" w:rsidRPr="001503B2" w:rsidRDefault="004F3F99" w:rsidP="004F3F99">
      <w:proofErr w:type="spellStart"/>
      <w:r w:rsidRPr="001503B2">
        <w:t>Machamba</w:t>
      </w:r>
      <w:proofErr w:type="spellEnd"/>
      <w:r w:rsidRPr="001503B2">
        <w:t xml:space="preserve"> AAL, Azevedo FM, </w:t>
      </w:r>
      <w:proofErr w:type="spellStart"/>
      <w:r w:rsidRPr="001503B2">
        <w:t>Fracalossi</w:t>
      </w:r>
      <w:proofErr w:type="spellEnd"/>
      <w:r w:rsidRPr="001503B2">
        <w:t xml:space="preserve"> KO, do C </w:t>
      </w:r>
      <w:proofErr w:type="spellStart"/>
      <w:r w:rsidRPr="001503B2">
        <w:t>C</w:t>
      </w:r>
      <w:proofErr w:type="spellEnd"/>
      <w:r w:rsidRPr="001503B2">
        <w:t xml:space="preserve"> Franceschini S. Effect of iodine supplementation in pregnancy on neurocognitive development on offspring in iodine deficiency areas: a systematic review. Arch Endocrinol </w:t>
      </w:r>
      <w:proofErr w:type="spellStart"/>
      <w:r w:rsidRPr="001503B2">
        <w:t>Metab</w:t>
      </w:r>
      <w:proofErr w:type="spellEnd"/>
      <w:r w:rsidRPr="001503B2">
        <w:t xml:space="preserve">. 2021 Jun 29;65(3):352-367. </w:t>
      </w:r>
      <w:proofErr w:type="spellStart"/>
      <w:r w:rsidRPr="001503B2">
        <w:t>doi</w:t>
      </w:r>
      <w:proofErr w:type="spellEnd"/>
      <w:r w:rsidRPr="001503B2">
        <w:t>: 10.20945/2359-3997000000376. PMID: 34191411; PMCID: PMC10065350.</w:t>
      </w:r>
    </w:p>
    <w:p w14:paraId="13B362FA" w14:textId="77777777" w:rsidR="004F3F99" w:rsidRPr="001503B2" w:rsidRDefault="004F3F99" w:rsidP="004F3F99">
      <w:r w:rsidRPr="001503B2">
        <w:t xml:space="preserve">Mackerras DE, Singh GR, Eastman CJ. Iodine status of Aboriginal teenagers in the Darwin region before mandatory iodine fortification of bread. Med J Aust. 2011 Feb 7;194(3):126-30. </w:t>
      </w:r>
      <w:proofErr w:type="spellStart"/>
      <w:r w:rsidRPr="001503B2">
        <w:t>doi</w:t>
      </w:r>
      <w:proofErr w:type="spellEnd"/>
      <w:r w:rsidRPr="001503B2">
        <w:t>: 10.5694/j.1326-</w:t>
      </w:r>
      <w:proofErr w:type="gramStart"/>
      <w:r w:rsidRPr="001503B2">
        <w:t>5377.2011.tb04194.x.</w:t>
      </w:r>
      <w:proofErr w:type="gramEnd"/>
      <w:r w:rsidRPr="001503B2">
        <w:t xml:space="preserve"> PMID: 21299486.</w:t>
      </w:r>
    </w:p>
    <w:p w14:paraId="63E8D06F" w14:textId="77777777" w:rsidR="004F3F99" w:rsidRPr="001503B2" w:rsidRDefault="004F3F99" w:rsidP="004F3F99">
      <w:r w:rsidRPr="001503B2">
        <w:t xml:space="preserve">Magri F, Zerbini F, Gaiti M, Capelli V, Croce L, Bini S, Rigamonti AE, Fiorini G, Cella SG, </w:t>
      </w:r>
      <w:proofErr w:type="spellStart"/>
      <w:r w:rsidRPr="001503B2">
        <w:t>Chiovato</w:t>
      </w:r>
      <w:proofErr w:type="spellEnd"/>
      <w:r w:rsidRPr="001503B2">
        <w:t xml:space="preserve"> L. Poverty and immigration as a barrier to iodine intake and maternal adherence to iodine supplementation. J Endocrinol Invest. 2019 Apr;42(4):435-442</w:t>
      </w:r>
    </w:p>
    <w:p w14:paraId="75912B55" w14:textId="77777777" w:rsidR="004F3F99" w:rsidRPr="001503B2" w:rsidRDefault="004F3F99" w:rsidP="004F3F99">
      <w:r w:rsidRPr="001503B2">
        <w:t xml:space="preserve">Malek L, Umberger W, Makrides M, Zhou SJ. Poor adherence to folic acid and iodine supplement recommendations in preconception and pregnancy: a cross-sectional analysis. Aust N Z J Public Health. 2016 Oct;40(5):424-429. </w:t>
      </w:r>
      <w:proofErr w:type="spellStart"/>
      <w:r w:rsidRPr="001503B2">
        <w:t>doi</w:t>
      </w:r>
      <w:proofErr w:type="spellEnd"/>
      <w:r w:rsidRPr="001503B2">
        <w:t xml:space="preserve">: 10.1111/1753-6405.12552. </w:t>
      </w:r>
      <w:proofErr w:type="spellStart"/>
      <w:r w:rsidRPr="001503B2">
        <w:t>Epub</w:t>
      </w:r>
      <w:proofErr w:type="spellEnd"/>
      <w:r w:rsidRPr="001503B2">
        <w:t xml:space="preserve"> 2016 Aug 14. PMID: 27523027.</w:t>
      </w:r>
    </w:p>
    <w:p w14:paraId="5D384321" w14:textId="77777777" w:rsidR="004F3F99" w:rsidRPr="001503B2" w:rsidRDefault="004F3F99" w:rsidP="004F3F99">
      <w:proofErr w:type="spellStart"/>
      <w:r w:rsidRPr="001503B2">
        <w:t>Malvaux</w:t>
      </w:r>
      <w:proofErr w:type="spellEnd"/>
      <w:r w:rsidRPr="001503B2">
        <w:t xml:space="preserve"> P, Beckers C, de Visscher M. 1969. Iodine balance studies in </w:t>
      </w:r>
      <w:proofErr w:type="spellStart"/>
      <w:r w:rsidRPr="001503B2">
        <w:t>nongoitrous</w:t>
      </w:r>
      <w:proofErr w:type="spellEnd"/>
      <w:r w:rsidRPr="001503B2">
        <w:t xml:space="preserve"> children and in adolescents on low iodine intake. J Clin Endocrinol </w:t>
      </w:r>
      <w:proofErr w:type="spellStart"/>
      <w:r w:rsidRPr="001503B2">
        <w:t>Metab</w:t>
      </w:r>
      <w:proofErr w:type="spellEnd"/>
      <w:r w:rsidRPr="001503B2">
        <w:t> 29:79</w:t>
      </w:r>
      <w:r>
        <w:t>-</w:t>
      </w:r>
      <w:r w:rsidRPr="001503B2">
        <w:t>84.</w:t>
      </w:r>
    </w:p>
    <w:p w14:paraId="52742E84" w14:textId="77777777" w:rsidR="004F3F99" w:rsidRPr="001503B2" w:rsidRDefault="004F3F99" w:rsidP="004F3F99">
      <w:r w:rsidRPr="001503B2">
        <w:t xml:space="preserve">Mammen JSR, Cappola AR. 2021 Autoimmune Thyroid Disease in Women. </w:t>
      </w:r>
      <w:r w:rsidRPr="001503B2">
        <w:rPr>
          <w:i/>
          <w:iCs/>
        </w:rPr>
        <w:t>JAMA</w:t>
      </w:r>
      <w:r w:rsidRPr="001503B2">
        <w:t xml:space="preserve">. 325(23):2392-2393. </w:t>
      </w:r>
      <w:proofErr w:type="spellStart"/>
      <w:r w:rsidRPr="001503B2">
        <w:t>doi</w:t>
      </w:r>
      <w:proofErr w:type="spellEnd"/>
      <w:r w:rsidRPr="001503B2">
        <w:t>: 10.1001/jama.2020.22196. PMID: 33938930; PMCID: PMC10071442.</w:t>
      </w:r>
    </w:p>
    <w:p w14:paraId="4E295C83" w14:textId="77777777" w:rsidR="004F3F99" w:rsidRPr="001503B2" w:rsidRDefault="004F3F99" w:rsidP="004F3F99">
      <w:r w:rsidRPr="001503B2">
        <w:t xml:space="preserve">Mandel SJ, Larsen PR, Seely EW and Brent GA, 1990. Increased need for thyroxine during pregnancy in women with primary hypothyroidism. New England Journal of Medicine, 323, 91-96. </w:t>
      </w:r>
    </w:p>
    <w:p w14:paraId="23CEF046" w14:textId="77777777" w:rsidR="004F3F99" w:rsidRPr="001503B2" w:rsidRDefault="004F3F99" w:rsidP="004F3F99">
      <w:r w:rsidRPr="001503B2">
        <w:t xml:space="preserve">Martin JC, </w:t>
      </w:r>
      <w:proofErr w:type="spellStart"/>
      <w:r w:rsidRPr="001503B2">
        <w:t>Savige</w:t>
      </w:r>
      <w:proofErr w:type="spellEnd"/>
      <w:r w:rsidRPr="001503B2">
        <w:t xml:space="preserve"> GS and Mitchell EKL. Health knowledge and iodine intake in pregnancy. </w:t>
      </w:r>
      <w:r w:rsidRPr="001503B2">
        <w:rPr>
          <w:i/>
          <w:iCs/>
        </w:rPr>
        <w:t xml:space="preserve">Aust N Z J </w:t>
      </w:r>
      <w:proofErr w:type="spellStart"/>
      <w:r w:rsidRPr="001503B2">
        <w:rPr>
          <w:i/>
          <w:iCs/>
        </w:rPr>
        <w:t>Obstet</w:t>
      </w:r>
      <w:proofErr w:type="spellEnd"/>
      <w:r w:rsidRPr="001503B2">
        <w:rPr>
          <w:i/>
          <w:iCs/>
        </w:rPr>
        <w:t xml:space="preserve"> </w:t>
      </w:r>
      <w:proofErr w:type="spellStart"/>
      <w:r w:rsidRPr="001503B2">
        <w:rPr>
          <w:i/>
          <w:iCs/>
        </w:rPr>
        <w:t>Gynaecol</w:t>
      </w:r>
      <w:proofErr w:type="spellEnd"/>
      <w:r w:rsidRPr="001503B2">
        <w:rPr>
          <w:i/>
          <w:iCs/>
        </w:rPr>
        <w:t xml:space="preserve">, </w:t>
      </w:r>
      <w:r w:rsidRPr="001503B2">
        <w:t>2014. 54: 312-316. </w:t>
      </w:r>
      <w:hyperlink r:id="rId50" w:history="1">
        <w:r w:rsidRPr="001503B2">
          <w:rPr>
            <w:rStyle w:val="Hyperlink"/>
          </w:rPr>
          <w:t>https://doi.org/10.1111/ajo.12201</w:t>
        </w:r>
      </w:hyperlink>
    </w:p>
    <w:p w14:paraId="54E4695F" w14:textId="77777777" w:rsidR="004F3F99" w:rsidRPr="001503B2" w:rsidRDefault="004F3F99" w:rsidP="004F3F99">
      <w:r w:rsidRPr="001503B2">
        <w:t xml:space="preserve">McDonnell CM, Harris M and </w:t>
      </w:r>
      <w:proofErr w:type="spellStart"/>
      <w:r w:rsidRPr="001503B2">
        <w:t>Zacharin</w:t>
      </w:r>
      <w:proofErr w:type="spellEnd"/>
      <w:r w:rsidRPr="001503B2">
        <w:t xml:space="preserve"> MR. 2003. Iodine deficiency and goitre in schoolchildren in Melbourne, 2001. </w:t>
      </w:r>
      <w:r w:rsidRPr="001503B2">
        <w:rPr>
          <w:i/>
          <w:iCs/>
        </w:rPr>
        <w:t>Med J Aust</w:t>
      </w:r>
      <w:r w:rsidRPr="001503B2">
        <w:t xml:space="preserve"> 178 (4): 159-162. </w:t>
      </w:r>
    </w:p>
    <w:p w14:paraId="59AB4757" w14:textId="77777777" w:rsidR="004F3F99" w:rsidRPr="001503B2" w:rsidRDefault="004F3F99" w:rsidP="004F3F99">
      <w:r w:rsidRPr="001503B2">
        <w:t xml:space="preserve">Meredith I, Sarfati D, Atkinson J, Blakely T. 2014. Thyroid cancer in Pacific women in New Zealand. NZMJ 6 June 2014, Vol 127 No 1395; ISSN 1175 8716 </w:t>
      </w:r>
    </w:p>
    <w:p w14:paraId="1ADCA8AD" w14:textId="77777777" w:rsidR="004F3F99" w:rsidRPr="001503B2" w:rsidRDefault="004F3F99" w:rsidP="004F3F99">
      <w:r w:rsidRPr="001503B2">
        <w:t xml:space="preserve">Milakovic M, Berg G, Eggertsen R, Nystrom E, Olsson A, Larsson A and Hansson M, 2006. Determination of intrathyroidal iodine by X-ray fluorescence analysis in 60- to </w:t>
      </w:r>
      <w:proofErr w:type="gramStart"/>
      <w:r w:rsidRPr="001503B2">
        <w:t>65-year olds</w:t>
      </w:r>
      <w:proofErr w:type="gramEnd"/>
      <w:r w:rsidRPr="001503B2">
        <w:t xml:space="preserve"> living in an iodine-sufficient area. Journal of Internal Medicine, 260, 69-75. </w:t>
      </w:r>
    </w:p>
    <w:p w14:paraId="1E3FC70C" w14:textId="77777777" w:rsidR="004F3F99" w:rsidRPr="001503B2" w:rsidRDefault="004F3F99" w:rsidP="004F3F99">
      <w:r w:rsidRPr="001503B2">
        <w:t xml:space="preserve">Miller, J. C., </w:t>
      </w:r>
      <w:proofErr w:type="spellStart"/>
      <w:r w:rsidRPr="001503B2">
        <w:t>MacDonell</w:t>
      </w:r>
      <w:proofErr w:type="spellEnd"/>
      <w:r w:rsidRPr="001503B2">
        <w:t>, S. O., Gray, A. R., Reid, M. R., Barr, D. J., Thomson, C. D., &amp; Houghton, L. A. (2016). Iodine Status of New Zealand Elderly Residents in Long-Term Residential Care. </w:t>
      </w:r>
      <w:r w:rsidRPr="001503B2">
        <w:rPr>
          <w:i/>
          <w:iCs/>
        </w:rPr>
        <w:t>Nutrients</w:t>
      </w:r>
      <w:r w:rsidRPr="001503B2">
        <w:t>, </w:t>
      </w:r>
      <w:r w:rsidRPr="001503B2">
        <w:rPr>
          <w:i/>
          <w:iCs/>
        </w:rPr>
        <w:t>8</w:t>
      </w:r>
      <w:r w:rsidRPr="001503B2">
        <w:t xml:space="preserve">(8), 445. https://doi.org/10.3390/nu8080445 </w:t>
      </w:r>
    </w:p>
    <w:p w14:paraId="0FC3D4CE" w14:textId="77777777" w:rsidR="004F3F99" w:rsidRPr="001503B2" w:rsidRDefault="004F3F99" w:rsidP="004F3F99">
      <w:r w:rsidRPr="001503B2">
        <w:lastRenderedPageBreak/>
        <w:t xml:space="preserve">Miyai K, </w:t>
      </w:r>
      <w:proofErr w:type="spellStart"/>
      <w:r w:rsidRPr="001503B2">
        <w:t>Tokushige</w:t>
      </w:r>
      <w:proofErr w:type="spellEnd"/>
      <w:r w:rsidRPr="001503B2">
        <w:t xml:space="preserve"> T, Kondo M. 2008. Suppression of thyroid function during ingestion of seaweed "Kombu" (Laminaria </w:t>
      </w:r>
      <w:proofErr w:type="spellStart"/>
      <w:r w:rsidRPr="001503B2">
        <w:t>japonoca</w:t>
      </w:r>
      <w:proofErr w:type="spellEnd"/>
      <w:r w:rsidRPr="001503B2">
        <w:t xml:space="preserve">) in normal Japanese adults. </w:t>
      </w:r>
      <w:r w:rsidRPr="001503B2">
        <w:rPr>
          <w:i/>
          <w:iCs/>
        </w:rPr>
        <w:t xml:space="preserve">Endocrine Journal, </w:t>
      </w:r>
      <w:r w:rsidRPr="001503B2">
        <w:t xml:space="preserve">55(6):1103-1108. </w:t>
      </w:r>
    </w:p>
    <w:p w14:paraId="66C79436" w14:textId="77777777" w:rsidR="004F3F99" w:rsidRPr="001503B2" w:rsidRDefault="004F3F99" w:rsidP="004F3F99">
      <w:proofErr w:type="spellStart"/>
      <w:r w:rsidRPr="001503B2">
        <w:t>Moleti</w:t>
      </w:r>
      <w:proofErr w:type="spellEnd"/>
      <w:r w:rsidRPr="001503B2">
        <w:t xml:space="preserve"> M, Di Bella B, Giorgianni G, Mancuso A, De Vivo A, Alibrandi A, Trimarchi F, Vermiglio F. 2011. Maternal thyroid function in different conditions of iodine nutrition in pregnant women exposed to mild-moderate iodine deficiency: an observational study. Clin Endocrinol (</w:t>
      </w:r>
      <w:proofErr w:type="spellStart"/>
      <w:r w:rsidRPr="001503B2">
        <w:t>Oxf</w:t>
      </w:r>
      <w:proofErr w:type="spellEnd"/>
      <w:r w:rsidRPr="001503B2">
        <w:t>). 74(6):762-8.</w:t>
      </w:r>
    </w:p>
    <w:p w14:paraId="118DD05C" w14:textId="77777777" w:rsidR="004F3F99" w:rsidRPr="001503B2" w:rsidRDefault="004F3F99" w:rsidP="004F3F99">
      <w:r w:rsidRPr="001503B2">
        <w:t xml:space="preserve">Monaghan AM, Mulhern MS, McSorley EM, Strain JJ, Dyer M, van Wijngaarden E, Yeates AJ. Associations between maternal urinary iodine assessment, dietary iodine intakes and neurodevelopmental outcomes in the child: a systematic review. Thyroid Res. 2021 Jun 7;14(1):14. </w:t>
      </w:r>
      <w:proofErr w:type="spellStart"/>
      <w:r w:rsidRPr="001503B2">
        <w:t>doi</w:t>
      </w:r>
      <w:proofErr w:type="spellEnd"/>
      <w:r w:rsidRPr="001503B2">
        <w:t>: 10.1186/s13044-021-00105-1. PMID: 34099006; PMCID: PMC8182912.</w:t>
      </w:r>
    </w:p>
    <w:p w14:paraId="087F0CC0" w14:textId="77777777" w:rsidR="004F3F99" w:rsidRPr="001503B2" w:rsidRDefault="004F3F99" w:rsidP="004F3F99">
      <w:r w:rsidRPr="001503B2">
        <w:t xml:space="preserve">Moreno-Reyes R, Carpentier YA, Macours P, Gulbis B, Corvilain B, Glinoer D, Goldman S. 2011.  Seasons but not ethnicity influence urinary iodine concentrations in Belgian adults. </w:t>
      </w:r>
      <w:proofErr w:type="spellStart"/>
      <w:r w:rsidRPr="001503B2">
        <w:rPr>
          <w:i/>
          <w:iCs/>
        </w:rPr>
        <w:t>Eur</w:t>
      </w:r>
      <w:proofErr w:type="spellEnd"/>
      <w:r w:rsidRPr="001503B2">
        <w:rPr>
          <w:i/>
          <w:iCs/>
        </w:rPr>
        <w:t xml:space="preserve"> J Nutr.,</w:t>
      </w:r>
      <w:r w:rsidRPr="001503B2">
        <w:t> 50, pp. 285-290</w:t>
      </w:r>
    </w:p>
    <w:p w14:paraId="0D18E57D" w14:textId="77777777" w:rsidR="004F3F99" w:rsidRPr="001503B2" w:rsidRDefault="004F3F99" w:rsidP="004F3F99">
      <w:proofErr w:type="spellStart"/>
      <w:r w:rsidRPr="001503B2">
        <w:t>Mridha</w:t>
      </w:r>
      <w:proofErr w:type="spellEnd"/>
      <w:r w:rsidRPr="001503B2">
        <w:t xml:space="preserve"> MK, Matias SL, Paul RR, Hussain S, Khan MSA, Siddiqui Z, Ullah B, Sarker M, Hossain M, Young RT, Arnold CD, Dewey KG. 2017 Daily consumption of lipid-based nutrient supplements containing 250 mug iodine does not increase urinary iodine concentrations in pregnant and postpartum women in Bangladesh. </w:t>
      </w:r>
      <w:r w:rsidRPr="001503B2">
        <w:rPr>
          <w:i/>
          <w:iCs/>
        </w:rPr>
        <w:t>J Nutr</w:t>
      </w:r>
      <w:r w:rsidRPr="001503B2">
        <w:t> 147:1586</w:t>
      </w:r>
      <w:r>
        <w:t>-</w:t>
      </w:r>
      <w:r w:rsidRPr="001503B2">
        <w:t>1592.</w:t>
      </w:r>
    </w:p>
    <w:p w14:paraId="0F28A7AF" w14:textId="77777777" w:rsidR="004F3F99" w:rsidRPr="001503B2" w:rsidRDefault="004F3F99" w:rsidP="004F3F99">
      <w:proofErr w:type="spellStart"/>
      <w:r w:rsidRPr="001503B2">
        <w:t>Nagataki</w:t>
      </w:r>
      <w:proofErr w:type="spellEnd"/>
      <w:r w:rsidRPr="001503B2">
        <w:t xml:space="preserve"> S, </w:t>
      </w:r>
      <w:proofErr w:type="spellStart"/>
      <w:r w:rsidRPr="001503B2">
        <w:t>Shizume</w:t>
      </w:r>
      <w:proofErr w:type="spellEnd"/>
      <w:r w:rsidRPr="001503B2">
        <w:t xml:space="preserve"> K, Nakao K. 1967. Thyroid function in chronic excess iodide ingestion: comparison of thyroidal absolute iodine uptake and degradation of thyroxine in euthyroid Japanese subjects. </w:t>
      </w:r>
      <w:r w:rsidRPr="001503B2">
        <w:rPr>
          <w:i/>
          <w:iCs/>
        </w:rPr>
        <w:t xml:space="preserve">Journal of Clinical and Endocrinology and Metabolism, </w:t>
      </w:r>
      <w:r w:rsidRPr="001503B2">
        <w:t xml:space="preserve">27(5):638-647. </w:t>
      </w:r>
    </w:p>
    <w:p w14:paraId="25B58BB0" w14:textId="77777777" w:rsidR="004F3F99" w:rsidRPr="001503B2" w:rsidRDefault="004F3F99" w:rsidP="004F3F99">
      <w:r w:rsidRPr="001503B2">
        <w:t xml:space="preserve">National Health and Medical Research Council (NHMRC), 2006. Nutrient Reference Values for Australia and New Zealand Including Recommended Dietary Intakes. Available from: </w:t>
      </w:r>
      <w:hyperlink r:id="rId51" w:history="1">
        <w:r w:rsidRPr="001503B2">
          <w:rPr>
            <w:rStyle w:val="Hyperlink"/>
          </w:rPr>
          <w:t>https://www.nhmrc.gov.au/about-us/publications/nutrient-reference-values-australia-and-new-zealand-including-recommended-dietary-intakes</w:t>
        </w:r>
      </w:hyperlink>
      <w:r w:rsidRPr="001503B2">
        <w:t xml:space="preserve"> </w:t>
      </w:r>
    </w:p>
    <w:p w14:paraId="40BCB1BC" w14:textId="77777777" w:rsidR="004F3F99" w:rsidRPr="001503B2" w:rsidRDefault="004F3F99" w:rsidP="004F3F99">
      <w:r w:rsidRPr="001503B2">
        <w:t xml:space="preserve">National Health and Medical Research Council (NHMRC), 2010. Public Statement: Iodine supplementation for Pregnant and Breastfeeding Women, available from: </w:t>
      </w:r>
      <w:hyperlink r:id="rId52" w:history="1">
        <w:r w:rsidRPr="001503B2">
          <w:rPr>
            <w:rStyle w:val="Hyperlink"/>
          </w:rPr>
          <w:t>https://www.nhmrc.gov.au/about-us/publications/iodine-supplementation-pregnant-and-breastfeeding-women</w:t>
        </w:r>
      </w:hyperlink>
      <w:r w:rsidRPr="001503B2">
        <w:t xml:space="preserve"> (accessed: 30 July 2024)</w:t>
      </w:r>
    </w:p>
    <w:p w14:paraId="21FB4820" w14:textId="77777777" w:rsidR="004F3F99" w:rsidRPr="001503B2" w:rsidRDefault="004F3F99" w:rsidP="004F3F99">
      <w:r w:rsidRPr="001503B2">
        <w:t xml:space="preserve">National Health and Medical Research Council (NHMRC). 2011 [Report prepared by Byron A, </w:t>
      </w:r>
      <w:proofErr w:type="spellStart"/>
      <w:r w:rsidRPr="001503B2">
        <w:t>Baghurst</w:t>
      </w:r>
      <w:proofErr w:type="spellEnd"/>
      <w:r w:rsidRPr="001503B2">
        <w:t xml:space="preserve"> K, </w:t>
      </w:r>
      <w:proofErr w:type="spellStart"/>
      <w:r w:rsidRPr="001503B2">
        <w:t>Cobiac</w:t>
      </w:r>
      <w:proofErr w:type="spellEnd"/>
      <w:r w:rsidRPr="001503B2">
        <w:t xml:space="preserve"> L, </w:t>
      </w:r>
      <w:proofErr w:type="spellStart"/>
      <w:r w:rsidRPr="001503B2">
        <w:t>Baghurst</w:t>
      </w:r>
      <w:proofErr w:type="spellEnd"/>
      <w:r w:rsidRPr="001503B2">
        <w:t xml:space="preserve"> P, Magarey A on behalf of Dietitians Association of Australia]. 2008. A modelling system to inform the revision of the Australian Guide to Healthy Eating. Available from: </w:t>
      </w:r>
      <w:hyperlink r:id="rId53" w:history="1">
        <w:r w:rsidRPr="001503B2">
          <w:rPr>
            <w:rStyle w:val="Hyperlink"/>
          </w:rPr>
          <w:t>https://www.eatforhealth.gov.au/sites/default/files/files/the_guidelines/n55c_dietary_guidelines_food_modelling.pdf</w:t>
        </w:r>
      </w:hyperlink>
      <w:r w:rsidRPr="001503B2">
        <w:t xml:space="preserve"> [Accessed 2 June 2025]</w:t>
      </w:r>
    </w:p>
    <w:p w14:paraId="400AAA66" w14:textId="77777777" w:rsidR="004F3F99" w:rsidRPr="001503B2" w:rsidRDefault="004F3F99" w:rsidP="004F3F99">
      <w:r w:rsidRPr="001503B2">
        <w:t>National Health and Medical Research Council (NHMRC). 2025 [in publication]. Methodological Framework for the Review of Nutrient Reference Values (Version 3.5, October 2025). NHMRC, Canberra ACT.</w:t>
      </w:r>
    </w:p>
    <w:p w14:paraId="7437DC6D" w14:textId="77777777" w:rsidR="004F3F99" w:rsidRPr="001503B2" w:rsidRDefault="004F3F99" w:rsidP="004F3F99">
      <w:proofErr w:type="spellStart"/>
      <w:r w:rsidRPr="001503B2">
        <w:t>Nazarpour</w:t>
      </w:r>
      <w:proofErr w:type="spellEnd"/>
      <w:r w:rsidRPr="001503B2">
        <w:t xml:space="preserve"> S, Ramezani Tehrani F, </w:t>
      </w:r>
      <w:proofErr w:type="spellStart"/>
      <w:r w:rsidRPr="001503B2">
        <w:t>Behboudi-Gandevani</w:t>
      </w:r>
      <w:proofErr w:type="spellEnd"/>
      <w:r w:rsidRPr="001503B2">
        <w:t xml:space="preserve"> S, Bidhendi </w:t>
      </w:r>
      <w:proofErr w:type="spellStart"/>
      <w:r w:rsidRPr="001503B2">
        <w:t>Yarandi</w:t>
      </w:r>
      <w:proofErr w:type="spellEnd"/>
      <w:r w:rsidRPr="001503B2">
        <w:t xml:space="preserve"> R, Azizi F. 2020. Maternal Urinary Iodine Concentration and Pregnancy Outcomes in Euthyroid Pregnant Women: </w:t>
      </w:r>
      <w:proofErr w:type="gramStart"/>
      <w:r w:rsidRPr="001503B2">
        <w:t>a</w:t>
      </w:r>
      <w:proofErr w:type="gramEnd"/>
      <w:r w:rsidRPr="001503B2">
        <w:t xml:space="preserve"> Systematic Review and Meta-analysis. Biol Trace Elem Res. 197(2):411-420. </w:t>
      </w:r>
    </w:p>
    <w:p w14:paraId="1E10257B" w14:textId="77777777" w:rsidR="004F3F99" w:rsidRPr="001503B2" w:rsidRDefault="004F3F99" w:rsidP="004F3F99">
      <w:r w:rsidRPr="001503B2">
        <w:lastRenderedPageBreak/>
        <w:t xml:space="preserve">Nazeri P, Shab-Bidar S, Pearce EN, Shariat M. 2020a. Thyroglobulin Concentration and Maternal Iodine Status During Pregnancy: A Systematic Review and Meta-Analysis. </w:t>
      </w:r>
      <w:r w:rsidRPr="001503B2">
        <w:rPr>
          <w:i/>
          <w:iCs/>
        </w:rPr>
        <w:t>Thyroid.</w:t>
      </w:r>
      <w:r w:rsidRPr="001503B2">
        <w:t xml:space="preserve"> May;30(5):767-779. </w:t>
      </w:r>
      <w:proofErr w:type="spellStart"/>
      <w:r w:rsidRPr="001503B2">
        <w:t>doi</w:t>
      </w:r>
      <w:proofErr w:type="spellEnd"/>
      <w:r w:rsidRPr="001503B2">
        <w:t>: 10.1089/thy.2019.0712.</w:t>
      </w:r>
    </w:p>
    <w:p w14:paraId="6C7A981A" w14:textId="77777777" w:rsidR="004F3F99" w:rsidRPr="001503B2" w:rsidRDefault="004F3F99" w:rsidP="004F3F99">
      <w:r w:rsidRPr="001503B2">
        <w:t xml:space="preserve">Nazeri P, Shab-Bidar S, Pearce EN, Shariat M. 2020b Do maternal urinary iodine concentration or thyroid hormones within the normal range during pregnancy affect growth parameters at birth? A systematic review and meta-analysis. </w:t>
      </w:r>
      <w:proofErr w:type="spellStart"/>
      <w:r w:rsidRPr="001503B2">
        <w:rPr>
          <w:i/>
          <w:iCs/>
        </w:rPr>
        <w:t>Nutr</w:t>
      </w:r>
      <w:proofErr w:type="spellEnd"/>
      <w:r w:rsidRPr="001503B2">
        <w:rPr>
          <w:i/>
          <w:iCs/>
        </w:rPr>
        <w:t xml:space="preserve"> Rev</w:t>
      </w:r>
      <w:r w:rsidRPr="001503B2">
        <w:t xml:space="preserve">. Sep 1;78(9):747-763. </w:t>
      </w:r>
      <w:proofErr w:type="spellStart"/>
      <w:r w:rsidRPr="001503B2">
        <w:t>doi</w:t>
      </w:r>
      <w:proofErr w:type="spellEnd"/>
      <w:r w:rsidRPr="001503B2">
        <w:t>: 10.1093/</w:t>
      </w:r>
      <w:proofErr w:type="spellStart"/>
      <w:r w:rsidRPr="001503B2">
        <w:t>nutrit</w:t>
      </w:r>
      <w:proofErr w:type="spellEnd"/>
      <w:r w:rsidRPr="001503B2">
        <w:t>/nuz105. PMID: 31923312.</w:t>
      </w:r>
    </w:p>
    <w:p w14:paraId="362A1508" w14:textId="77777777" w:rsidR="004F3F99" w:rsidRPr="001503B2" w:rsidRDefault="004F3F99" w:rsidP="004F3F99">
      <w:r w:rsidRPr="001503B2">
        <w:t xml:space="preserve">Nazeri P, Shariat M, Azizi F. 2021. Effects of iodine supplementation during pregnancy on pregnant women and their offspring: a systematic review and meta-analysis of trials over the past 3 decades. </w:t>
      </w:r>
      <w:proofErr w:type="spellStart"/>
      <w:r w:rsidRPr="001503B2">
        <w:t>Eur</w:t>
      </w:r>
      <w:proofErr w:type="spellEnd"/>
      <w:r w:rsidRPr="001503B2">
        <w:t xml:space="preserve"> J Endocrinol. 184(1):91-106. </w:t>
      </w:r>
    </w:p>
    <w:p w14:paraId="0775A9DA" w14:textId="77777777" w:rsidR="004F3F99" w:rsidRPr="001503B2" w:rsidRDefault="004F3F99" w:rsidP="004F3F99">
      <w:r w:rsidRPr="001503B2">
        <w:t xml:space="preserve">Nazeri P, Pearce EN, Farrokhzad N, </w:t>
      </w:r>
      <w:proofErr w:type="spellStart"/>
      <w:r w:rsidRPr="001503B2">
        <w:t>Baghalha</w:t>
      </w:r>
      <w:proofErr w:type="spellEnd"/>
      <w:r w:rsidRPr="001503B2">
        <w:t xml:space="preserve"> F, Shariat M, Azizi F. 2024. Do Postpartum Maternal Iodine Status or Supplementation Affect Thyroid Function After Delivery? A Systematic Review and Meta-Analysis. Biol Trace Elem Res. 202(8):3425-3441. </w:t>
      </w:r>
    </w:p>
    <w:p w14:paraId="4801D0C9" w14:textId="77777777" w:rsidR="004F3F99" w:rsidRPr="001503B2" w:rsidRDefault="004F3F99" w:rsidP="004F3F99">
      <w:r w:rsidRPr="001503B2">
        <w:t xml:space="preserve">New Zealand Ministry of Health (NZ MoH), 2020. Biomedical Data Explorer 2014/15: New Zealand Health Survey - Iodine data files, available from: </w:t>
      </w:r>
      <w:hyperlink r:id="rId54" w:history="1">
        <w:r w:rsidRPr="001503B2">
          <w:rPr>
            <w:rStyle w:val="Hyperlink"/>
          </w:rPr>
          <w:t>minhealthnz.shinyapps.io/nz-health-survey-2014-15-biomedical/</w:t>
        </w:r>
      </w:hyperlink>
      <w:r w:rsidRPr="001503B2">
        <w:t xml:space="preserve"> (accessed 30 July 2024)</w:t>
      </w:r>
    </w:p>
    <w:p w14:paraId="08B37887" w14:textId="77777777" w:rsidR="004F3F99" w:rsidRPr="001503B2" w:rsidRDefault="004F3F99" w:rsidP="004F3F99">
      <w:r w:rsidRPr="001503B2">
        <w:t xml:space="preserve">New Zealand Ministry of Primary Industries (NZ MPI), 2014. Update report on the dietary iodine intake of New Zealand children following fortification of bread with iodine. MPI Technical Paper No. 2014/21. Available from: </w:t>
      </w:r>
      <w:hyperlink r:id="rId55" w:history="1">
        <w:r w:rsidRPr="001503B2">
          <w:rPr>
            <w:rStyle w:val="Hyperlink"/>
          </w:rPr>
          <w:t>https://www.mpi.govt.nz/dmsdocument/4596-Update-report-on-the-dietary-iodine-intake-of-New-Zealand-children-following-fortification-of-bread-with-iodine-Ministry-for-Primary-Industries-July-2014</w:t>
        </w:r>
      </w:hyperlink>
      <w:r w:rsidRPr="001503B2">
        <w:t xml:space="preserve"> (accessed 30 July 2024)</w:t>
      </w:r>
    </w:p>
    <w:p w14:paraId="68238DC9" w14:textId="77777777" w:rsidR="004F3F99" w:rsidRPr="001503B2" w:rsidRDefault="004F3F99" w:rsidP="004F3F99">
      <w:r w:rsidRPr="001503B2">
        <w:t xml:space="preserve">Noble KA, Chan HK, Kavanagh ON. Meta-analysis guided development of a standard artificial urine. </w:t>
      </w:r>
      <w:r w:rsidRPr="001503B2">
        <w:rPr>
          <w:i/>
          <w:iCs/>
        </w:rPr>
        <w:t xml:space="preserve">European Journal of Pharmaceutics and Biopharmaceutics, </w:t>
      </w:r>
      <w:r w:rsidRPr="001503B2">
        <w:t>2024 May Volume 198</w:t>
      </w:r>
    </w:p>
    <w:p w14:paraId="37034172" w14:textId="77777777" w:rsidR="004F3F99" w:rsidRPr="001503B2" w:rsidRDefault="004F3F99" w:rsidP="004F3F99">
      <w:r w:rsidRPr="001503B2">
        <w:t xml:space="preserve">Nolan, M; Gorsuch, C; Graham, A; Hynes, Kristen; Reardon, M. 2022. Barriers and enablers to maternal iodine supplement use in Tasmania. University Of Tasmania. Report. </w:t>
      </w:r>
      <w:hyperlink r:id="rId56" w:history="1">
        <w:r w:rsidRPr="001503B2">
          <w:rPr>
            <w:rStyle w:val="Hyperlink"/>
          </w:rPr>
          <w:t>https://figshare.utas.edu.au/articles/report/Barriers_and_enablers_to_maternal_iodine_supplement_use_in_Tasm</w:t>
        </w:r>
      </w:hyperlink>
      <w:r w:rsidRPr="001503B2">
        <w:t xml:space="preserve"> (accessed 12 August 2025)</w:t>
      </w:r>
    </w:p>
    <w:p w14:paraId="12F27BB2" w14:textId="77777777" w:rsidR="004F3F99" w:rsidRPr="001503B2" w:rsidRDefault="004F3F99" w:rsidP="004F3F99">
      <w:r w:rsidRPr="001503B2">
        <w:t>Oblak, A., Hribar, M., Hristov, H. et. al. 2024 Interpreting urinary iodine concentration: effects of urine dilution and collection timing. </w:t>
      </w:r>
      <w:proofErr w:type="spellStart"/>
      <w:r w:rsidRPr="001503B2">
        <w:rPr>
          <w:i/>
          <w:iCs/>
        </w:rPr>
        <w:t>Eur</w:t>
      </w:r>
      <w:proofErr w:type="spellEnd"/>
      <w:r w:rsidRPr="001503B2">
        <w:rPr>
          <w:i/>
          <w:iCs/>
        </w:rPr>
        <w:t xml:space="preserve"> J Clin Nutr</w:t>
      </w:r>
      <w:r w:rsidRPr="001503B2">
        <w:t> 78, 1105</w:t>
      </w:r>
      <w:r>
        <w:t>-</w:t>
      </w:r>
      <w:r w:rsidRPr="001503B2">
        <w:t xml:space="preserve">1110 </w:t>
      </w:r>
    </w:p>
    <w:p w14:paraId="7B8027DD" w14:textId="77777777" w:rsidR="004F3F99" w:rsidRPr="001503B2" w:rsidRDefault="004F3F99" w:rsidP="004F3F99">
      <w:r w:rsidRPr="001503B2">
        <w:t xml:space="preserve">O'Leary PC, Feddema PH, </w:t>
      </w:r>
      <w:proofErr w:type="spellStart"/>
      <w:r w:rsidRPr="001503B2">
        <w:t>Michelangeli</w:t>
      </w:r>
      <w:proofErr w:type="spellEnd"/>
      <w:r w:rsidRPr="001503B2">
        <w:t xml:space="preserve"> VP, </w:t>
      </w:r>
      <w:proofErr w:type="spellStart"/>
      <w:r w:rsidRPr="001503B2">
        <w:t>Leedman</w:t>
      </w:r>
      <w:proofErr w:type="spellEnd"/>
      <w:r w:rsidRPr="001503B2">
        <w:t xml:space="preserve"> PJ, Chew GT, </w:t>
      </w:r>
      <w:proofErr w:type="spellStart"/>
      <w:r w:rsidRPr="001503B2">
        <w:t>Knuiman</w:t>
      </w:r>
      <w:proofErr w:type="spellEnd"/>
      <w:r w:rsidRPr="001503B2">
        <w:t xml:space="preserve"> M, Kaye J, Walsh JP. Investigations of thyroid hormones and antibodies based on a community health survey: the Busselton thyroid study. Clin Endocrinol (</w:t>
      </w:r>
      <w:proofErr w:type="spellStart"/>
      <w:r w:rsidRPr="001503B2">
        <w:t>Oxf</w:t>
      </w:r>
      <w:proofErr w:type="spellEnd"/>
      <w:r w:rsidRPr="001503B2">
        <w:t xml:space="preserve">). 2006 Jan;64(1):97-104. </w:t>
      </w:r>
      <w:proofErr w:type="spellStart"/>
      <w:r w:rsidRPr="001503B2">
        <w:t>doi</w:t>
      </w:r>
      <w:proofErr w:type="spellEnd"/>
      <w:r w:rsidRPr="001503B2">
        <w:t>: 10.1111/j.1365-2265.2005.</w:t>
      </w:r>
      <w:proofErr w:type="gramStart"/>
      <w:r w:rsidRPr="001503B2">
        <w:t>02424.x.</w:t>
      </w:r>
      <w:proofErr w:type="gramEnd"/>
      <w:r w:rsidRPr="001503B2">
        <w:t xml:space="preserve"> PMID: 16402936.</w:t>
      </w:r>
    </w:p>
    <w:p w14:paraId="7E863F12" w14:textId="77777777" w:rsidR="004F3F99" w:rsidRPr="001503B2" w:rsidRDefault="004F3F99" w:rsidP="004F3F99">
      <w:r w:rsidRPr="001503B2">
        <w:t xml:space="preserve">O'Kane SM, Mulhern MS, </w:t>
      </w:r>
      <w:proofErr w:type="spellStart"/>
      <w:r w:rsidRPr="001503B2">
        <w:t>Pourshahidi</w:t>
      </w:r>
      <w:proofErr w:type="spellEnd"/>
      <w:r w:rsidRPr="001503B2">
        <w:t xml:space="preserve"> LK, Strain JJ, Yeates AJ. Micronutrients, iodine status and concentrations of thyroid hormones: a systematic review. </w:t>
      </w:r>
      <w:proofErr w:type="spellStart"/>
      <w:r w:rsidRPr="001503B2">
        <w:t>Nutr</w:t>
      </w:r>
      <w:proofErr w:type="spellEnd"/>
      <w:r w:rsidRPr="001503B2">
        <w:t xml:space="preserve"> Rev. 2018 Jun 1;76(6):418-431. </w:t>
      </w:r>
      <w:proofErr w:type="spellStart"/>
      <w:r w:rsidRPr="001503B2">
        <w:t>doi</w:t>
      </w:r>
      <w:proofErr w:type="spellEnd"/>
      <w:r w:rsidRPr="001503B2">
        <w:t>: 10.1093/</w:t>
      </w:r>
      <w:proofErr w:type="spellStart"/>
      <w:r w:rsidRPr="001503B2">
        <w:t>nutrit</w:t>
      </w:r>
      <w:proofErr w:type="spellEnd"/>
      <w:r w:rsidRPr="001503B2">
        <w:t>/nuy008. PMID: 29596650.</w:t>
      </w:r>
    </w:p>
    <w:p w14:paraId="7F2E840E" w14:textId="77777777" w:rsidR="004F3F99" w:rsidRPr="001503B2" w:rsidRDefault="004F3F99" w:rsidP="004F3F99">
      <w:r w:rsidRPr="001503B2">
        <w:t>Pedersen KM, Laurberg P, Iversen E, Knudsen PR, Gregersen HE, Rasmussen OS, Larsen KR, Eriksen GM, Johannesen PL. 1993. Amelioration of some pregnancy-associated variations in thyroid function by iodine supplementation. </w:t>
      </w:r>
      <w:r w:rsidRPr="001503B2">
        <w:rPr>
          <w:i/>
          <w:iCs/>
        </w:rPr>
        <w:t xml:space="preserve">J Clin Endocrinol </w:t>
      </w:r>
      <w:proofErr w:type="spellStart"/>
      <w:r w:rsidRPr="001503B2">
        <w:rPr>
          <w:i/>
          <w:iCs/>
        </w:rPr>
        <w:t>Metab</w:t>
      </w:r>
      <w:proofErr w:type="spellEnd"/>
      <w:r w:rsidRPr="001503B2">
        <w:t> 77:1078</w:t>
      </w:r>
      <w:r>
        <w:t>-</w:t>
      </w:r>
      <w:r w:rsidRPr="001503B2">
        <w:t>1083. </w:t>
      </w:r>
    </w:p>
    <w:p w14:paraId="368D0A4B" w14:textId="77777777" w:rsidR="004F3F99" w:rsidRPr="001503B2" w:rsidRDefault="004F3F99" w:rsidP="004F3F99">
      <w:r w:rsidRPr="001503B2">
        <w:lastRenderedPageBreak/>
        <w:t>Pandeya, N., McLeod, D.S., Balasubramaniam, K., Baade, P.D., Youl, P.H., Bain, C.J., Allison, R. and Jordan, S.J. (2016), Increasing thyroid cancer incidence in Queensland, Australia 1982</w:t>
      </w:r>
      <w:r>
        <w:t>-</w:t>
      </w:r>
      <w:r w:rsidRPr="001503B2">
        <w:t xml:space="preserve">2008 </w:t>
      </w:r>
      <w:r>
        <w:t>-</w:t>
      </w:r>
      <w:r w:rsidRPr="001503B2">
        <w:t xml:space="preserve"> true increase or </w:t>
      </w:r>
      <w:proofErr w:type="gramStart"/>
      <w:r w:rsidRPr="001503B2">
        <w:t>overdiagnosis?.</w:t>
      </w:r>
      <w:proofErr w:type="gramEnd"/>
      <w:r w:rsidRPr="001503B2">
        <w:t xml:space="preserve"> Clin Endocrinol, 84: 257-264. </w:t>
      </w:r>
      <w:hyperlink r:id="rId57" w:history="1">
        <w:r w:rsidRPr="001503B2">
          <w:rPr>
            <w:rStyle w:val="Hyperlink"/>
          </w:rPr>
          <w:t>https://doi.org/10.1111/cen.12724</w:t>
        </w:r>
      </w:hyperlink>
      <w:r w:rsidRPr="001503B2">
        <w:t xml:space="preserve"> </w:t>
      </w:r>
    </w:p>
    <w:p w14:paraId="5BD0A6CD" w14:textId="77777777" w:rsidR="004F3F99" w:rsidRPr="001503B2" w:rsidRDefault="004F3F99" w:rsidP="004F3F99">
      <w:r w:rsidRPr="001503B2">
        <w:t xml:space="preserve">Paul T, Meyers B, </w:t>
      </w:r>
      <w:proofErr w:type="spellStart"/>
      <w:r w:rsidRPr="001503B2">
        <w:t>Witorsch</w:t>
      </w:r>
      <w:proofErr w:type="spellEnd"/>
      <w:r w:rsidRPr="001503B2">
        <w:t xml:space="preserve"> RJ, Pino S, Chipkin S, </w:t>
      </w:r>
      <w:proofErr w:type="spellStart"/>
      <w:r w:rsidRPr="001503B2">
        <w:t>Ingbar</w:t>
      </w:r>
      <w:proofErr w:type="spellEnd"/>
      <w:r w:rsidRPr="001503B2">
        <w:t xml:space="preserve"> SH, Braverman LE. 1988. The effect of small increases in dietary iodine on thyroid function in euthyroid subjects. </w:t>
      </w:r>
      <w:r w:rsidRPr="001503B2">
        <w:rPr>
          <w:i/>
          <w:iCs/>
        </w:rPr>
        <w:t>Metabolism</w:t>
      </w:r>
      <w:r w:rsidRPr="001503B2">
        <w:t>. 37(2):121-4</w:t>
      </w:r>
    </w:p>
    <w:p w14:paraId="6E9BF238" w14:textId="77777777" w:rsidR="004F3F99" w:rsidRPr="001503B2" w:rsidRDefault="004F3F99" w:rsidP="004F3F99">
      <w:proofErr w:type="spellStart"/>
      <w:r w:rsidRPr="001503B2">
        <w:t>Peniamina</w:t>
      </w:r>
      <w:proofErr w:type="spellEnd"/>
      <w:r w:rsidRPr="001503B2">
        <w:t xml:space="preserve"> R, </w:t>
      </w:r>
      <w:proofErr w:type="spellStart"/>
      <w:r w:rsidRPr="001503B2">
        <w:t>Skeaff</w:t>
      </w:r>
      <w:proofErr w:type="spellEnd"/>
      <w:r w:rsidRPr="001503B2">
        <w:t xml:space="preserve"> S, Haszard JJ, McLean R. Comparison of 24-h Diet Records, 24-h Urine, and Duplicate Diets for Estimating Dietary Intakes of Potassium, Sodium, and Iodine in Children. </w:t>
      </w:r>
      <w:r w:rsidRPr="001503B2">
        <w:rPr>
          <w:i/>
          <w:iCs/>
        </w:rPr>
        <w:t>Nutrients</w:t>
      </w:r>
      <w:r w:rsidRPr="001503B2">
        <w:t xml:space="preserve">. 2019; 11(12):2927. </w:t>
      </w:r>
      <w:proofErr w:type="gramStart"/>
      <w:r w:rsidRPr="001503B2">
        <w:t>https://doi.org/10.3390/nu11122927 .</w:t>
      </w:r>
      <w:proofErr w:type="gramEnd"/>
    </w:p>
    <w:p w14:paraId="6FA82FD3" w14:textId="77777777" w:rsidR="004F3F99" w:rsidRPr="001503B2" w:rsidRDefault="004F3F99" w:rsidP="004F3F99">
      <w:r w:rsidRPr="001503B2">
        <w:t xml:space="preserve">Penrose B, Magor E, Wilson M, Wong H, Cresswell T, Sánchez-Palacios JT, </w:t>
      </w:r>
      <w:proofErr w:type="spellStart"/>
      <w:r w:rsidRPr="001503B2">
        <w:t>Kaestli</w:t>
      </w:r>
      <w:proofErr w:type="spellEnd"/>
      <w:r w:rsidRPr="001503B2">
        <w:t xml:space="preserve"> M, Bell R. Investigating environmental and geographical factors affecting iodine concentrations in Australian wheat (Triticum aestivum L.) grain. Science of The Total Environment, Volume 956, 2024, 177160, ISSN 0048-9697, </w:t>
      </w:r>
      <w:hyperlink r:id="rId58" w:history="1">
        <w:r w:rsidRPr="001503B2">
          <w:rPr>
            <w:rStyle w:val="Hyperlink"/>
          </w:rPr>
          <w:t>https://doi.org/10.1016/j.scitotenv.2024.177160</w:t>
        </w:r>
      </w:hyperlink>
      <w:r w:rsidRPr="001503B2">
        <w:t>.</w:t>
      </w:r>
    </w:p>
    <w:p w14:paraId="223F97A2" w14:textId="77777777" w:rsidR="004F3F99" w:rsidRPr="001503B2" w:rsidRDefault="004F3F99" w:rsidP="004F3F99">
      <w:r w:rsidRPr="001503B2">
        <w:t xml:space="preserve">Rapata M, Cunningham W, Harwood M, Niederer R. </w:t>
      </w:r>
      <w:proofErr w:type="spellStart"/>
      <w:r w:rsidRPr="001503B2">
        <w:t>Te</w:t>
      </w:r>
      <w:proofErr w:type="spellEnd"/>
      <w:r w:rsidRPr="001503B2">
        <w:t xml:space="preserve"> </w:t>
      </w:r>
      <w:proofErr w:type="spellStart"/>
      <w:r w:rsidRPr="001503B2">
        <w:t>hauora</w:t>
      </w:r>
      <w:proofErr w:type="spellEnd"/>
      <w:r w:rsidRPr="001503B2">
        <w:t xml:space="preserve"> </w:t>
      </w:r>
      <w:proofErr w:type="spellStart"/>
      <w:r w:rsidRPr="001503B2">
        <w:t>karu</w:t>
      </w:r>
      <w:proofErr w:type="spellEnd"/>
      <w:r w:rsidRPr="001503B2">
        <w:t xml:space="preserve"> o </w:t>
      </w:r>
      <w:proofErr w:type="spellStart"/>
      <w:r w:rsidRPr="001503B2">
        <w:t>te</w:t>
      </w:r>
      <w:proofErr w:type="spellEnd"/>
      <w:r w:rsidRPr="001503B2">
        <w:t xml:space="preserve"> iwi Māori: A comprehensive review of Māori eye health in Aotearoa/New Zealand. Clin Exp </w:t>
      </w:r>
      <w:proofErr w:type="spellStart"/>
      <w:r w:rsidRPr="001503B2">
        <w:t>Ophthalmol</w:t>
      </w:r>
      <w:proofErr w:type="spellEnd"/>
      <w:r w:rsidRPr="001503B2">
        <w:t>. 2023;51(7):714</w:t>
      </w:r>
      <w:r w:rsidRPr="001503B2">
        <w:rPr>
          <w:rFonts w:ascii="Cambria Math" w:hAnsi="Cambria Math" w:cs="Cambria Math"/>
        </w:rPr>
        <w:t>‐</w:t>
      </w:r>
      <w:r w:rsidRPr="001503B2">
        <w:t>727.</w:t>
      </w:r>
    </w:p>
    <w:p w14:paraId="7CA8DD91" w14:textId="77777777" w:rsidR="004F3F99" w:rsidRPr="001503B2" w:rsidRDefault="004F3F99" w:rsidP="004F3F99">
      <w:r w:rsidRPr="001503B2">
        <w:t xml:space="preserve">Rasmussen LB, Ovesen L, Christiansen E 1999. Day-to-day and within-day variation in urinary iodine </w:t>
      </w:r>
      <w:proofErr w:type="spellStart"/>
      <w:proofErr w:type="gramStart"/>
      <w:r w:rsidRPr="001503B2">
        <w:t>excretion.</w:t>
      </w:r>
      <w:r w:rsidRPr="001503B2">
        <w:rPr>
          <w:i/>
          <w:iCs/>
        </w:rPr>
        <w:t>Eur</w:t>
      </w:r>
      <w:proofErr w:type="spellEnd"/>
      <w:proofErr w:type="gramEnd"/>
      <w:r w:rsidRPr="001503B2">
        <w:rPr>
          <w:i/>
          <w:iCs/>
        </w:rPr>
        <w:t xml:space="preserve"> J Clin Nutr.</w:t>
      </w:r>
      <w:r w:rsidRPr="001503B2">
        <w:t>, </w:t>
      </w:r>
      <w:proofErr w:type="gramStart"/>
      <w:r w:rsidRPr="001503B2">
        <w:t>53 ,</w:t>
      </w:r>
      <w:proofErr w:type="gramEnd"/>
      <w:r w:rsidRPr="001503B2">
        <w:t>pp. 401-407</w:t>
      </w:r>
    </w:p>
    <w:p w14:paraId="7548FAF5" w14:textId="77777777" w:rsidR="004F3F99" w:rsidRPr="001503B2" w:rsidRDefault="004F3F99" w:rsidP="004F3F99">
      <w:pPr>
        <w:rPr>
          <w:color w:val="000000"/>
        </w:rPr>
      </w:pPr>
      <w:r w:rsidRPr="001503B2">
        <w:rPr>
          <w:color w:val="000000"/>
        </w:rPr>
        <w:t>Razvi S, Weaver JU, Vanderpump MP, Pearce SH. The incidence of ischemic heart disease and mortality in people with subclinical hypothyroidism: reanalysis of the Whickham Survey cohort.</w:t>
      </w:r>
      <w:r w:rsidRPr="001503B2">
        <w:rPr>
          <w:rStyle w:val="apple-converted-space"/>
          <w:color w:val="000000"/>
        </w:rPr>
        <w:t> </w:t>
      </w:r>
      <w:r w:rsidRPr="001503B2">
        <w:rPr>
          <w:rStyle w:val="ref-journal"/>
          <w:color w:val="000000"/>
        </w:rPr>
        <w:t xml:space="preserve">J Clin Endocrinol </w:t>
      </w:r>
      <w:proofErr w:type="spellStart"/>
      <w:r w:rsidRPr="001503B2">
        <w:rPr>
          <w:rStyle w:val="ref-journal"/>
          <w:color w:val="000000"/>
        </w:rPr>
        <w:t>Metab</w:t>
      </w:r>
      <w:proofErr w:type="spellEnd"/>
      <w:r w:rsidRPr="001503B2">
        <w:rPr>
          <w:rStyle w:val="ref-journal"/>
          <w:color w:val="000000"/>
        </w:rPr>
        <w:t>.</w:t>
      </w:r>
      <w:r w:rsidRPr="001503B2">
        <w:rPr>
          <w:rStyle w:val="apple-converted-space"/>
          <w:color w:val="000000"/>
        </w:rPr>
        <w:t> </w:t>
      </w:r>
      <w:r w:rsidRPr="001503B2">
        <w:rPr>
          <w:color w:val="000000"/>
        </w:rPr>
        <w:t>2010 Apr;</w:t>
      </w:r>
      <w:r w:rsidRPr="001503B2">
        <w:rPr>
          <w:rStyle w:val="ref-vol"/>
          <w:color w:val="000000"/>
        </w:rPr>
        <w:t>95</w:t>
      </w:r>
      <w:r w:rsidRPr="001503B2">
        <w:rPr>
          <w:color w:val="000000"/>
        </w:rPr>
        <w:t>(4):1734-40</w:t>
      </w:r>
    </w:p>
    <w:p w14:paraId="0BD08FCE" w14:textId="77777777" w:rsidR="004F3F99" w:rsidRPr="001503B2" w:rsidRDefault="004F3F99" w:rsidP="004F3F99">
      <w:r w:rsidRPr="001503B2">
        <w:t xml:space="preserve">Reynolds A and </w:t>
      </w:r>
      <w:proofErr w:type="spellStart"/>
      <w:r w:rsidRPr="001503B2">
        <w:t>Skeaff</w:t>
      </w:r>
      <w:proofErr w:type="spellEnd"/>
      <w:r w:rsidRPr="001503B2">
        <w:t xml:space="preserve"> SA. Maternal adherence with recommendations for folic acid and iodine supplements: A cross-sectional survey. </w:t>
      </w:r>
      <w:r w:rsidRPr="001503B2">
        <w:rPr>
          <w:i/>
          <w:iCs/>
        </w:rPr>
        <w:t xml:space="preserve">Aust N Z </w:t>
      </w:r>
      <w:proofErr w:type="spellStart"/>
      <w:r w:rsidRPr="001503B2">
        <w:rPr>
          <w:i/>
          <w:iCs/>
        </w:rPr>
        <w:t>Obstet</w:t>
      </w:r>
      <w:proofErr w:type="spellEnd"/>
      <w:r w:rsidRPr="001503B2">
        <w:rPr>
          <w:i/>
          <w:iCs/>
        </w:rPr>
        <w:t xml:space="preserve"> </w:t>
      </w:r>
      <w:proofErr w:type="spellStart"/>
      <w:r w:rsidRPr="001503B2">
        <w:rPr>
          <w:i/>
          <w:iCs/>
        </w:rPr>
        <w:t>Gynaecol</w:t>
      </w:r>
      <w:proofErr w:type="spellEnd"/>
      <w:r w:rsidRPr="001503B2">
        <w:rPr>
          <w:i/>
          <w:iCs/>
        </w:rPr>
        <w:t xml:space="preserve">, </w:t>
      </w:r>
      <w:r w:rsidRPr="001503B2">
        <w:t>2018. Vol 58, pp. 125-127.</w:t>
      </w:r>
    </w:p>
    <w:p w14:paraId="5B297C9E" w14:textId="77777777" w:rsidR="004F3F99" w:rsidRPr="001503B2" w:rsidRDefault="004F3F99" w:rsidP="004F3F99">
      <w:r w:rsidRPr="001503B2">
        <w:t xml:space="preserve">Ristić-Medić D, </w:t>
      </w:r>
      <w:proofErr w:type="spellStart"/>
      <w:r w:rsidRPr="001503B2">
        <w:t>Piskackova</w:t>
      </w:r>
      <w:proofErr w:type="spellEnd"/>
      <w:r w:rsidRPr="001503B2">
        <w:t xml:space="preserve"> Z, Hooper L, Ruprich J, </w:t>
      </w:r>
      <w:proofErr w:type="spellStart"/>
      <w:r w:rsidRPr="001503B2">
        <w:t>Casgrain</w:t>
      </w:r>
      <w:proofErr w:type="spellEnd"/>
      <w:r w:rsidRPr="001503B2">
        <w:t xml:space="preserve"> A, Ashton K, Pavlovic M, </w:t>
      </w:r>
      <w:proofErr w:type="spellStart"/>
      <w:r w:rsidRPr="001503B2">
        <w:t>Glibetic</w:t>
      </w:r>
      <w:proofErr w:type="spellEnd"/>
      <w:r w:rsidRPr="001503B2">
        <w:t xml:space="preserve"> M. 2009. Methods of assessment of iodine status in humans: a systematic review. </w:t>
      </w:r>
      <w:r w:rsidRPr="001503B2">
        <w:rPr>
          <w:i/>
          <w:iCs/>
        </w:rPr>
        <w:t>American Journal of Clinical Nutrition,</w:t>
      </w:r>
      <w:r w:rsidRPr="001503B2">
        <w:t xml:space="preserve"> 89:2052S</w:t>
      </w:r>
      <w:r>
        <w:t>-</w:t>
      </w:r>
      <w:r w:rsidRPr="001503B2">
        <w:t xml:space="preserve">2069S. </w:t>
      </w:r>
    </w:p>
    <w:p w14:paraId="619EAEBC" w14:textId="77777777" w:rsidR="004F3F99" w:rsidRPr="001503B2" w:rsidRDefault="004F3F99" w:rsidP="004F3F99">
      <w:r w:rsidRPr="001503B2">
        <w:t xml:space="preserve">Ristić-Medić D, Novaković R, </w:t>
      </w:r>
      <w:proofErr w:type="spellStart"/>
      <w:r w:rsidRPr="001503B2">
        <w:t>Glibetić</w:t>
      </w:r>
      <w:proofErr w:type="spellEnd"/>
      <w:r w:rsidRPr="001503B2">
        <w:t xml:space="preserve"> M, </w:t>
      </w:r>
      <w:proofErr w:type="spellStart"/>
      <w:r w:rsidRPr="001503B2">
        <w:t>Gurinović</w:t>
      </w:r>
      <w:proofErr w:type="spellEnd"/>
      <w:r w:rsidRPr="001503B2">
        <w:t xml:space="preserve"> M. 2013. EURRECA—Estimating Iodine Requirements for Deriving Dietary Reference Values, </w:t>
      </w:r>
      <w:r w:rsidRPr="001503B2">
        <w:rPr>
          <w:i/>
          <w:iCs/>
        </w:rPr>
        <w:t>Critical Reviews in Food Science and Nutrition,</w:t>
      </w:r>
      <w:r w:rsidRPr="001503B2">
        <w:t xml:space="preserve"> 53:10, 1051-1063, </w:t>
      </w:r>
    </w:p>
    <w:p w14:paraId="1FA24D5F" w14:textId="77777777" w:rsidR="004F3F99" w:rsidRPr="001503B2" w:rsidRDefault="004F3F99" w:rsidP="004F3F99">
      <w:r w:rsidRPr="001503B2">
        <w:t>Sang Z, Wang PP, Yao Z, Shen J, Halfyard B, Tan L, Zhao N, Wu Y, Gao S, Tan J, Liu J, Chen Z, Zhang W. Exploration of the safe upper level of iodine intake in euthyroid Chinese adults: a randomized double-blind trial. Am J Clin Nutr. 2012 Feb;95(2):367-73.</w:t>
      </w:r>
    </w:p>
    <w:p w14:paraId="307EFEA5" w14:textId="77777777" w:rsidR="004F3F99" w:rsidRPr="001503B2" w:rsidRDefault="004F3F99" w:rsidP="004F3F99">
      <w:r w:rsidRPr="001503B2">
        <w:t xml:space="preserve">Semba RD, Delange F. Iodine in human milk: perspectives for infant health. </w:t>
      </w:r>
      <w:proofErr w:type="spellStart"/>
      <w:r w:rsidRPr="001503B2">
        <w:t>Nutr</w:t>
      </w:r>
      <w:proofErr w:type="spellEnd"/>
      <w:r w:rsidRPr="001503B2">
        <w:t xml:space="preserve"> Rev 2001; 59(8 Pt 1): 269</w:t>
      </w:r>
      <w:r>
        <w:t>-</w:t>
      </w:r>
      <w:r w:rsidRPr="001503B2">
        <w:t xml:space="preserve">78. </w:t>
      </w:r>
    </w:p>
    <w:p w14:paraId="12FBBE36" w14:textId="77777777" w:rsidR="004F3F99" w:rsidRPr="001503B2" w:rsidRDefault="004F3F99" w:rsidP="004F3F99">
      <w:r w:rsidRPr="001503B2">
        <w:t xml:space="preserve">Shields B, Hill A, Bilous M, Knight B, Hattersley AT, Bilous RW, Vaidya B. Cigarette smoking during pregnancy is associated with alterations in maternal and </w:t>
      </w:r>
      <w:proofErr w:type="spellStart"/>
      <w:r w:rsidRPr="001503B2">
        <w:t>fetal</w:t>
      </w:r>
      <w:proofErr w:type="spellEnd"/>
      <w:r w:rsidRPr="001503B2">
        <w:t xml:space="preserve"> thyroid function. J Clin Endocrinol </w:t>
      </w:r>
      <w:proofErr w:type="spellStart"/>
      <w:r w:rsidRPr="001503B2">
        <w:t>Metab</w:t>
      </w:r>
      <w:proofErr w:type="spellEnd"/>
      <w:r w:rsidRPr="001503B2">
        <w:t xml:space="preserve">. 2009 Feb;94(2):570-4. </w:t>
      </w:r>
      <w:proofErr w:type="spellStart"/>
      <w:r w:rsidRPr="001503B2">
        <w:t>doi</w:t>
      </w:r>
      <w:proofErr w:type="spellEnd"/>
      <w:r w:rsidRPr="001503B2">
        <w:t xml:space="preserve">: 10.1210/jc.2008-0380. </w:t>
      </w:r>
      <w:proofErr w:type="spellStart"/>
      <w:r w:rsidRPr="001503B2">
        <w:t>Epub</w:t>
      </w:r>
      <w:proofErr w:type="spellEnd"/>
      <w:r w:rsidRPr="001503B2">
        <w:t xml:space="preserve"> 2008 Nov 18. PMID: 19017761. </w:t>
      </w:r>
    </w:p>
    <w:p w14:paraId="5EBCCEEB" w14:textId="77777777" w:rsidR="004F3F99" w:rsidRPr="001503B2" w:rsidRDefault="004F3F99" w:rsidP="004F3F99">
      <w:r w:rsidRPr="001503B2">
        <w:lastRenderedPageBreak/>
        <w:t xml:space="preserve">Singh, G.R., Davison, B., Ma, G.Y., Eastman, C.J., Mackerras D.E. 2019. Iodine status of Indigenous and non-Indigenous young adults in the Top End, before and after mandatory </w:t>
      </w:r>
      <w:proofErr w:type="spellStart"/>
      <w:r w:rsidRPr="001503B2">
        <w:t>forticiation</w:t>
      </w:r>
      <w:proofErr w:type="spellEnd"/>
      <w:r w:rsidRPr="001503B2">
        <w:t>. MJA.  Med J Aust 2019; 210 (3): 121-125. || </w:t>
      </w:r>
      <w:proofErr w:type="spellStart"/>
      <w:r w:rsidRPr="001503B2">
        <w:t>doi</w:t>
      </w:r>
      <w:proofErr w:type="spellEnd"/>
      <w:r w:rsidRPr="001503B2">
        <w:t>: 10.5694/mja2.12031</w:t>
      </w:r>
    </w:p>
    <w:p w14:paraId="0C5AFB25" w14:textId="77777777" w:rsidR="004F3F99" w:rsidRPr="001503B2" w:rsidRDefault="004F3F99" w:rsidP="004F3F99">
      <w:proofErr w:type="spellStart"/>
      <w:r w:rsidRPr="001503B2">
        <w:t>Skeaff</w:t>
      </w:r>
      <w:proofErr w:type="spellEnd"/>
      <w:r w:rsidRPr="001503B2">
        <w:t xml:space="preserve"> SA, Thomson CD, Wilson N, Parnell WR. 2012. A comprehensive assessment of urinary iodine concentration and thyroid hormones in New Zealand schoolchildren: a cross-sectional study. </w:t>
      </w:r>
      <w:proofErr w:type="spellStart"/>
      <w:r w:rsidRPr="001503B2">
        <w:rPr>
          <w:i/>
          <w:iCs/>
        </w:rPr>
        <w:t>Nutr</w:t>
      </w:r>
      <w:proofErr w:type="spellEnd"/>
      <w:r w:rsidRPr="001503B2">
        <w:rPr>
          <w:i/>
          <w:iCs/>
        </w:rPr>
        <w:t xml:space="preserve"> J.</w:t>
      </w:r>
      <w:r w:rsidRPr="001503B2">
        <w:t xml:space="preserve"> 11:31. </w:t>
      </w:r>
      <w:proofErr w:type="spellStart"/>
      <w:r w:rsidRPr="001503B2">
        <w:t>doi</w:t>
      </w:r>
      <w:proofErr w:type="spellEnd"/>
      <w:r w:rsidRPr="001503B2">
        <w:t>: 10.1186/1475-2891-11-31. </w:t>
      </w:r>
    </w:p>
    <w:p w14:paraId="196171E4" w14:textId="77777777" w:rsidR="004F3F99" w:rsidRPr="001503B2" w:rsidRDefault="004F3F99" w:rsidP="004F3F99">
      <w:proofErr w:type="spellStart"/>
      <w:r w:rsidRPr="001503B2">
        <w:t>Skeaff</w:t>
      </w:r>
      <w:proofErr w:type="spellEnd"/>
      <w:r w:rsidRPr="001503B2">
        <w:t xml:space="preserve"> SA, Lonsdale-Cooper E. Mandatory fortification of bread with iodised salt modestly improves iodine status in schoolchildren. Br J Nutr. 2013 Mar 28;109(6):1109-13. </w:t>
      </w:r>
      <w:proofErr w:type="spellStart"/>
      <w:r w:rsidRPr="001503B2">
        <w:t>doi</w:t>
      </w:r>
      <w:proofErr w:type="spellEnd"/>
      <w:r w:rsidRPr="001503B2">
        <w:t xml:space="preserve">: 10.1017/S0007114512003236. </w:t>
      </w:r>
      <w:proofErr w:type="spellStart"/>
      <w:r w:rsidRPr="001503B2">
        <w:t>Epub</w:t>
      </w:r>
      <w:proofErr w:type="spellEnd"/>
      <w:r w:rsidRPr="001503B2">
        <w:t xml:space="preserve"> 2012 Jul 31. PMID: 22849786.</w:t>
      </w:r>
    </w:p>
    <w:p w14:paraId="4A5AFB30" w14:textId="77777777" w:rsidR="004F3F99" w:rsidRPr="001503B2" w:rsidRDefault="004F3F99" w:rsidP="004F3F99">
      <w:r w:rsidRPr="001503B2">
        <w:t xml:space="preserve">Sohn SY, Inoue K, Rhee CM, Leung AM. Risks of Iodine Excess. </w:t>
      </w:r>
      <w:proofErr w:type="spellStart"/>
      <w:r w:rsidRPr="001503B2">
        <w:t>Endocr</w:t>
      </w:r>
      <w:proofErr w:type="spellEnd"/>
      <w:r w:rsidRPr="001503B2">
        <w:t xml:space="preserve"> Rev. 2024 Nov 22;45(6):858-879. </w:t>
      </w:r>
      <w:proofErr w:type="spellStart"/>
      <w:r w:rsidRPr="001503B2">
        <w:t>doi</w:t>
      </w:r>
      <w:proofErr w:type="spellEnd"/>
      <w:r w:rsidRPr="001503B2">
        <w:t>: 10.1210/</w:t>
      </w:r>
      <w:proofErr w:type="spellStart"/>
      <w:r w:rsidRPr="001503B2">
        <w:t>endrev</w:t>
      </w:r>
      <w:proofErr w:type="spellEnd"/>
      <w:r w:rsidRPr="001503B2">
        <w:t>/bnae019. PMID: 38870258.</w:t>
      </w:r>
    </w:p>
    <w:p w14:paraId="1F634598" w14:textId="77777777" w:rsidR="004F3F99" w:rsidRPr="001503B2" w:rsidRDefault="004F3F99" w:rsidP="004F3F99">
      <w:r w:rsidRPr="001503B2">
        <w:t>Stilwell G, Reynolds PJ, Parameswaran V, Blizzard L, Greenaway TM, Burgess JR. 2008 The Influence of Gestational Stage on Urinary Iodine Excretion in Pregnancy, </w:t>
      </w:r>
      <w:r w:rsidRPr="001503B2">
        <w:rPr>
          <w:i/>
          <w:iCs/>
        </w:rPr>
        <w:t>The Journal of Clinical Endocrinology &amp; Metabolism</w:t>
      </w:r>
      <w:r w:rsidRPr="001503B2">
        <w:t>, Vol 93 (5), pp. 1737</w:t>
      </w:r>
      <w:r>
        <w:t>-</w:t>
      </w:r>
      <w:r w:rsidRPr="001503B2">
        <w:t>1742, </w:t>
      </w:r>
    </w:p>
    <w:p w14:paraId="3E7193F0" w14:textId="77777777" w:rsidR="004F3F99" w:rsidRPr="001503B2" w:rsidRDefault="004F3F99" w:rsidP="004F3F99">
      <w:r w:rsidRPr="001503B2">
        <w:t xml:space="preserve">Stricker R, </w:t>
      </w:r>
      <w:proofErr w:type="spellStart"/>
      <w:r w:rsidRPr="001503B2">
        <w:t>Echenard</w:t>
      </w:r>
      <w:proofErr w:type="spellEnd"/>
      <w:r w:rsidRPr="001503B2">
        <w:t xml:space="preserve"> M, Eberhart R, et al. Evaluation of maternal thyroid function during pregnancy: the importance of using gestational age-specific reference intervals. </w:t>
      </w:r>
      <w:proofErr w:type="spellStart"/>
      <w:r w:rsidRPr="001503B2">
        <w:t>Eur</w:t>
      </w:r>
      <w:proofErr w:type="spellEnd"/>
      <w:r w:rsidRPr="001503B2">
        <w:t xml:space="preserve"> J Endocrinol </w:t>
      </w:r>
      <w:proofErr w:type="gramStart"/>
      <w:r w:rsidRPr="001503B2">
        <w:t>2007;157:509</w:t>
      </w:r>
      <w:proofErr w:type="gramEnd"/>
      <w:r>
        <w:t>-</w:t>
      </w:r>
      <w:r w:rsidRPr="001503B2">
        <w:t>14.</w:t>
      </w:r>
    </w:p>
    <w:p w14:paraId="26452F1D" w14:textId="77777777" w:rsidR="004F3F99" w:rsidRPr="001503B2" w:rsidRDefault="004F3F99" w:rsidP="004F3F99">
      <w:r w:rsidRPr="001503B2">
        <w:t xml:space="preserve">Sullivan TR, Best KP, Gould J, Zhou SJ, Makrides M, Green TJ. 2024. Too Much Too Little: Clarifying the Relationship Between Maternal Iodine Intake and Neurodevelopmental Outcomes, </w:t>
      </w:r>
      <w:r w:rsidRPr="001503B2">
        <w:rPr>
          <w:i/>
          <w:iCs/>
        </w:rPr>
        <w:t xml:space="preserve">The Journal of Nutrition, </w:t>
      </w:r>
      <w:r w:rsidRPr="001503B2">
        <w:t>154 (1): 185-190</w:t>
      </w:r>
    </w:p>
    <w:p w14:paraId="472D259B" w14:textId="77777777" w:rsidR="004F3F99" w:rsidRPr="001503B2" w:rsidRDefault="004F3F99" w:rsidP="004F3F99">
      <w:hyperlink r:id="rId59" w:history="1">
        <w:r w:rsidRPr="001503B2">
          <w:rPr>
            <w:rStyle w:val="Hyperlink"/>
          </w:rPr>
          <w:t>https://doi.org/10.1210/jc.2007-1715</w:t>
        </w:r>
      </w:hyperlink>
      <w:r w:rsidRPr="001503B2">
        <w:t xml:space="preserve">Tamatea, J.A., Reid, P., </w:t>
      </w:r>
      <w:proofErr w:type="spellStart"/>
      <w:r w:rsidRPr="001503B2">
        <w:t>Conaglen</w:t>
      </w:r>
      <w:proofErr w:type="spellEnd"/>
      <w:r w:rsidRPr="001503B2">
        <w:t xml:space="preserve">, J.V., Elston, M.S. 2020. Thyrotoxicosis in an Indigenous New Zealand Population </w:t>
      </w:r>
      <w:r>
        <w:t>-</w:t>
      </w:r>
      <w:r w:rsidRPr="001503B2">
        <w:t xml:space="preserve"> a Prospective Observational Study, </w:t>
      </w:r>
      <w:r w:rsidRPr="001503B2">
        <w:rPr>
          <w:i/>
          <w:iCs/>
        </w:rPr>
        <w:t>Journal of the Endocrine Society</w:t>
      </w:r>
      <w:r w:rsidRPr="001503B2">
        <w:t>, Volume 4, Issue 3, March 2020, bvaa002, </w:t>
      </w:r>
      <w:hyperlink r:id="rId60" w:history="1">
        <w:r w:rsidRPr="001503B2">
          <w:rPr>
            <w:rStyle w:val="Hyperlink"/>
          </w:rPr>
          <w:t>https://doi.org/10.1210/jendso/bvaa002</w:t>
        </w:r>
      </w:hyperlink>
      <w:r w:rsidRPr="001503B2">
        <w:t xml:space="preserve"> </w:t>
      </w:r>
    </w:p>
    <w:p w14:paraId="2A087C62" w14:textId="77777777" w:rsidR="004F3F99" w:rsidRPr="001503B2" w:rsidRDefault="004F3F99" w:rsidP="004F3F99">
      <w:r w:rsidRPr="001503B2">
        <w:t xml:space="preserve">Tan L, Tian X, Wang W, Guo X, Sang Z, Li X, Zhang P, Sun Y, Tang C, Xu Z, Shen J, Zhang W. Exploration of the appropriate recommended nutrient intake of iodine in healthy Chinese women: an iodine balance experiment. Br J Nutr. 2019 Mar 14;121(5):519-528. </w:t>
      </w:r>
    </w:p>
    <w:p w14:paraId="2298839C" w14:textId="77777777" w:rsidR="004F3F99" w:rsidRPr="001503B2" w:rsidRDefault="004F3F99" w:rsidP="004F3F99">
      <w:proofErr w:type="spellStart"/>
      <w:r w:rsidRPr="001503B2">
        <w:t>Te</w:t>
      </w:r>
      <w:proofErr w:type="spellEnd"/>
      <w:r w:rsidRPr="001503B2">
        <w:t xml:space="preserve"> Aho o </w:t>
      </w:r>
      <w:proofErr w:type="spellStart"/>
      <w:r w:rsidRPr="001503B2">
        <w:t>Te</w:t>
      </w:r>
      <w:proofErr w:type="spellEnd"/>
      <w:r w:rsidRPr="001503B2">
        <w:t xml:space="preserve"> Kahu, Cancer Control Agency [Internet]. Cancer Types </w:t>
      </w:r>
      <w:r>
        <w:t>-</w:t>
      </w:r>
      <w:r w:rsidRPr="001503B2">
        <w:t xml:space="preserve"> Thyroid Cancer. Available from: </w:t>
      </w:r>
      <w:hyperlink r:id="rId61" w:history="1">
        <w:r w:rsidRPr="001503B2">
          <w:rPr>
            <w:rStyle w:val="Hyperlink"/>
          </w:rPr>
          <w:t>https://teaho.govt.nz/cancer/types/thyroid</w:t>
        </w:r>
      </w:hyperlink>
      <w:r w:rsidRPr="001503B2">
        <w:t xml:space="preserve"> (Accessed 20 January 2025)</w:t>
      </w:r>
    </w:p>
    <w:p w14:paraId="4FFDC080" w14:textId="77777777" w:rsidR="004F3F99" w:rsidRPr="001503B2" w:rsidRDefault="004F3F99" w:rsidP="004F3F99">
      <w:r w:rsidRPr="001503B2">
        <w:t xml:space="preserve">Teng W, Shan Z, Teng X, Guan H, Li Y, Teng D, Jin Y, Yu X, Fan C, Chong W, Yang F, Dai H, Yu Y, Li J, Chen Y, Zhao D, Shi X, Hu F, Mao J, Gu X, Yang R, Tong Y, Wang W, Gao T, Li C. Effect of iodine intake on thyroid diseases in China. N Engl J Med. 2006 Jun 29;354(26):2783-93. </w:t>
      </w:r>
      <w:proofErr w:type="spellStart"/>
      <w:r w:rsidRPr="001503B2">
        <w:t>doi</w:t>
      </w:r>
      <w:proofErr w:type="spellEnd"/>
      <w:r w:rsidRPr="001503B2">
        <w:t>: 10.1056/NEJMoa054022. PMID: 16807415.</w:t>
      </w:r>
    </w:p>
    <w:p w14:paraId="54CEDD9E" w14:textId="77777777" w:rsidR="004F3F99" w:rsidRPr="001503B2" w:rsidRDefault="004F3F99" w:rsidP="004F3F99">
      <w:r w:rsidRPr="001503B2">
        <w:t xml:space="preserve">Teng X, Shan Z, Chen Y, Lai Y, Yu J, Shan L, Bai X, Li Y, Li N, Li Z, Wang S, Xing Q, Xue H, Zhu L, Hou X, Fan, Teng W. More than adequate iodine intake may increase subclinical hypothyroidism and autoimmune thyroiditis: a cross-sectional study based on two Chinese communities with different iodine intake levels. European Journal of Endocrinology </w:t>
      </w:r>
      <w:proofErr w:type="gramStart"/>
      <w:r w:rsidRPr="001503B2">
        <w:t>2011;164:943</w:t>
      </w:r>
      <w:proofErr w:type="gramEnd"/>
      <w:r w:rsidRPr="001503B2">
        <w:t>-950.</w:t>
      </w:r>
    </w:p>
    <w:p w14:paraId="1F18DE8D" w14:textId="77777777" w:rsidR="004F3F99" w:rsidRPr="001503B2" w:rsidRDefault="004F3F99" w:rsidP="004F3F99">
      <w:r w:rsidRPr="001503B2">
        <w:t xml:space="preserve">Thomson CD, Smith TE, Butler KA, Packer MA. 1996. An evaluation of urinary measures of iodine and selenium status. J Trace Elem Med Biol. 10(4):214-22. </w:t>
      </w:r>
      <w:proofErr w:type="spellStart"/>
      <w:r w:rsidRPr="001503B2">
        <w:t>doi</w:t>
      </w:r>
      <w:proofErr w:type="spellEnd"/>
      <w:r w:rsidRPr="001503B2">
        <w:t>: 10.1016/S0946-672</w:t>
      </w:r>
      <w:proofErr w:type="gramStart"/>
      <w:r w:rsidRPr="001503B2">
        <w:t>X(</w:t>
      </w:r>
      <w:proofErr w:type="gramEnd"/>
      <w:r w:rsidRPr="001503B2">
        <w:t>96)80038-1. PMID: 9021672.)</w:t>
      </w:r>
    </w:p>
    <w:p w14:paraId="181E8D22" w14:textId="77777777" w:rsidR="004F3F99" w:rsidRPr="001503B2" w:rsidRDefault="004F3F99" w:rsidP="004F3F99">
      <w:r w:rsidRPr="001503B2">
        <w:lastRenderedPageBreak/>
        <w:t xml:space="preserve">Thomson CD. Selenium and iodine intakes and status in New Zealand and Australia. 2004. Br J Nutr. 91(5):661-72. </w:t>
      </w:r>
      <w:proofErr w:type="spellStart"/>
      <w:r w:rsidRPr="001503B2">
        <w:t>doi</w:t>
      </w:r>
      <w:proofErr w:type="spellEnd"/>
      <w:r w:rsidRPr="001503B2">
        <w:t xml:space="preserve">: 10.1079/BJN20041110. PMID: 15137917. </w:t>
      </w:r>
    </w:p>
    <w:p w14:paraId="671916E2" w14:textId="77777777" w:rsidR="004F3F99" w:rsidRPr="001503B2" w:rsidRDefault="004F3F99" w:rsidP="004F3F99">
      <w:r w:rsidRPr="001503B2">
        <w:t xml:space="preserve">Thomson, C., </w:t>
      </w:r>
      <w:proofErr w:type="spellStart"/>
      <w:r w:rsidRPr="001503B2">
        <w:t>Woodruffe</w:t>
      </w:r>
      <w:proofErr w:type="spellEnd"/>
      <w:r w:rsidRPr="001503B2">
        <w:t>, S., Colls, A. </w:t>
      </w:r>
      <w:r w:rsidRPr="001503B2">
        <w:rPr>
          <w:i/>
          <w:iCs/>
        </w:rPr>
        <w:t>et al.</w:t>
      </w:r>
      <w:r w:rsidRPr="001503B2">
        <w:t> 2001. Urinary iodine and thyroid status of New Zealand residents. </w:t>
      </w:r>
      <w:proofErr w:type="spellStart"/>
      <w:r w:rsidRPr="001503B2">
        <w:t>Eur</w:t>
      </w:r>
      <w:proofErr w:type="spellEnd"/>
      <w:r w:rsidRPr="001503B2">
        <w:t xml:space="preserve"> J Clin Nutr 55, 387</w:t>
      </w:r>
      <w:r>
        <w:t>-</w:t>
      </w:r>
      <w:r w:rsidRPr="001503B2">
        <w:t>392 https://doi.org/10.1038/sj.ejcn.1601170</w:t>
      </w:r>
    </w:p>
    <w:p w14:paraId="488FCB85" w14:textId="77777777" w:rsidR="004F3F99" w:rsidRPr="001503B2" w:rsidRDefault="004F3F99" w:rsidP="004F3F99">
      <w:r w:rsidRPr="001503B2">
        <w:t xml:space="preserve">Tovar E, </w:t>
      </w:r>
      <w:proofErr w:type="spellStart"/>
      <w:r w:rsidRPr="001503B2">
        <w:t>Maisterrena</w:t>
      </w:r>
      <w:proofErr w:type="spellEnd"/>
      <w:r w:rsidRPr="001503B2">
        <w:t xml:space="preserve"> JA and Chavez A, 1969. Iodine nutrition levels of school children in rural Mexico. In: Endemic Goitre. PAHO Scientific Publication, No 193. Ed Stanbury JB. Pan American Health Organization (PAHO), Washington D. C., USA, 411-415. </w:t>
      </w:r>
    </w:p>
    <w:p w14:paraId="4F7F8AFA" w14:textId="77777777" w:rsidR="004F3F99" w:rsidRPr="001503B2" w:rsidRDefault="004F3F99" w:rsidP="004F3F99">
      <w:proofErr w:type="spellStart"/>
      <w:r w:rsidRPr="001503B2">
        <w:t>Ubom</w:t>
      </w:r>
      <w:proofErr w:type="spellEnd"/>
      <w:r w:rsidRPr="001503B2">
        <w:t xml:space="preserve"> GA, 1991. The goitre-soil-water-diet relationship: case study in Plateau State, Nigeria. Science of the Total Environment, 107, 1-11.</w:t>
      </w:r>
    </w:p>
    <w:p w14:paraId="6B03749B" w14:textId="77777777" w:rsidR="004F3F99" w:rsidRPr="001503B2" w:rsidRDefault="004F3F99" w:rsidP="004F3F99">
      <w:r w:rsidRPr="001503B2">
        <w:t xml:space="preserve">United Kingdom Scientific Advisory Committee on Nutrition (UK SACN), 2014. SACN Statement on Iodine and Health. </w:t>
      </w:r>
      <w:hyperlink r:id="rId62" w:history="1">
        <w:r w:rsidRPr="001503B2">
          <w:rPr>
            <w:rStyle w:val="Hyperlink"/>
          </w:rPr>
          <w:t>https://assets.publishing.service.gov.uk/media/5a7e469ced915d74e62253f3/SACN_Iodine_and_Health_2014.pdf</w:t>
        </w:r>
      </w:hyperlink>
      <w:r w:rsidRPr="001503B2">
        <w:t xml:space="preserve"> (accessed 22 July 2024).</w:t>
      </w:r>
    </w:p>
    <w:p w14:paraId="7E9D4BB3" w14:textId="77777777" w:rsidR="004F3F99" w:rsidRPr="001503B2" w:rsidRDefault="004F3F99" w:rsidP="004F3F99">
      <w:r w:rsidRPr="001503B2">
        <w:t xml:space="preserve">United Kingdom Food Standards Agency (FSA) Committee on Toxicity (COT), 2022. Statement on the potential effects that excess iodine intake may have during preconception, pregnancy and lactation. Available from: </w:t>
      </w:r>
      <w:hyperlink r:id="rId63" w:anchor="introduction" w:history="1">
        <w:r w:rsidRPr="001503B2">
          <w:rPr>
            <w:rStyle w:val="Hyperlink"/>
          </w:rPr>
          <w:t>https://cot.food.gov.uk/Statement%20on%20the%20potential%20effects%20that%20excess%20iodine%20intake%20may%20have%20during%20preconception%2C%20pregnancy%20and%20lactation#introduction</w:t>
        </w:r>
      </w:hyperlink>
      <w:r w:rsidRPr="001503B2">
        <w:t xml:space="preserve"> (accessed 10 June 2025).</w:t>
      </w:r>
    </w:p>
    <w:p w14:paraId="736E19B8" w14:textId="77777777" w:rsidR="004F3F99" w:rsidRPr="001503B2" w:rsidRDefault="004F3F99" w:rsidP="004F3F99">
      <w:r w:rsidRPr="001503B2">
        <w:t>United States Institute of Medicine (US IoM), 2001. Dietary Reference Intakes for vitamin A, vitamin K, arsenic, boron, chromium, copper, iodine, iron, manganese, molybdenum, nickel, silicon, vanadium, and zinc. National Academies Press, Washington DC, USA, 797 pp.</w:t>
      </w:r>
    </w:p>
    <w:p w14:paraId="61DDA63F" w14:textId="77777777" w:rsidR="004F3F99" w:rsidRPr="001503B2" w:rsidRDefault="004F3F99" w:rsidP="004F3F99">
      <w:r w:rsidRPr="001503B2">
        <w:t xml:space="preserve">Vanderpas, 2003. Thyroid Hormones in </w:t>
      </w:r>
      <w:r w:rsidRPr="001503B2">
        <w:rPr>
          <w:i/>
          <w:iCs/>
        </w:rPr>
        <w:t>Encyclopedia of Food Sciences and Nutrition (Second Edition)</w:t>
      </w:r>
      <w:r w:rsidRPr="001503B2">
        <w:t xml:space="preserve">, (Ed. Benjamin Caballero), Academic Press. Pp 3140-3145. </w:t>
      </w:r>
      <w:hyperlink r:id="rId64" w:history="1">
        <w:r w:rsidRPr="001503B2">
          <w:rPr>
            <w:rStyle w:val="Hyperlink"/>
          </w:rPr>
          <w:t>https://doi.org/10.1016/B0-12-227055-X/00602-7</w:t>
        </w:r>
      </w:hyperlink>
      <w:r w:rsidRPr="001503B2">
        <w:t xml:space="preserve"> </w:t>
      </w:r>
    </w:p>
    <w:p w14:paraId="0F3FA937" w14:textId="77777777" w:rsidR="004F3F99" w:rsidRPr="001503B2" w:rsidRDefault="004F3F99" w:rsidP="004F3F99">
      <w:r w:rsidRPr="001503B2">
        <w:t xml:space="preserve">Vejbjerg P, Knudsen N, Perrild H, Laurberg P, </w:t>
      </w:r>
      <w:proofErr w:type="spellStart"/>
      <w:r w:rsidRPr="001503B2">
        <w:t>Carlé</w:t>
      </w:r>
      <w:proofErr w:type="spellEnd"/>
      <w:r w:rsidRPr="001503B2">
        <w:t xml:space="preserve"> A, Pedersen IB, Rasmussen LB, Ovesen L, Jørgensen T </w:t>
      </w:r>
      <w:proofErr w:type="gramStart"/>
      <w:r w:rsidRPr="001503B2">
        <w:t>2009..</w:t>
      </w:r>
      <w:proofErr w:type="gramEnd"/>
      <w:r w:rsidRPr="001503B2">
        <w:t xml:space="preserve"> Thyroglobulin as a marker of iodine nutrition status in the general population. European Journal of Endocrinology, 161(3):475-481. </w:t>
      </w:r>
    </w:p>
    <w:p w14:paraId="184B4CCB" w14:textId="77777777" w:rsidR="004F3F99" w:rsidRPr="001503B2" w:rsidRDefault="004F3F99" w:rsidP="004F3F99">
      <w:r w:rsidRPr="001503B2">
        <w:t xml:space="preserve">VKM. Henjum S. </w:t>
      </w:r>
      <w:proofErr w:type="spellStart"/>
      <w:r w:rsidRPr="001503B2">
        <w:t>Brantsæter</w:t>
      </w:r>
      <w:proofErr w:type="spellEnd"/>
      <w:r w:rsidRPr="001503B2">
        <w:t xml:space="preserve"> AL, Holvik K, Lillegaard ITL, </w:t>
      </w:r>
      <w:proofErr w:type="spellStart"/>
      <w:r w:rsidRPr="001503B2">
        <w:t>Mangschou</w:t>
      </w:r>
      <w:proofErr w:type="spellEnd"/>
      <w:r w:rsidRPr="001503B2">
        <w:t xml:space="preserve"> B, Parr CL, </w:t>
      </w:r>
      <w:proofErr w:type="spellStart"/>
      <w:r w:rsidRPr="001503B2">
        <w:t>Starrfelt</w:t>
      </w:r>
      <w:proofErr w:type="spellEnd"/>
      <w:r w:rsidRPr="001503B2">
        <w:t xml:space="preserve"> J, Stea TH, et al. 2020. Benefit and risk assessment of iodization of household salt and salt used in bread and bakery products. Scientific opinion of the Panel on Nutrition, Dietetic Products, Novel Food and Allergy of the Norwegian Scientific Committee for Food and Environment. VKM report 2020:05, ISBN: 978-82-978-82-8259-343-4, ISSN: 2535-4019. Norwegian Scientific Committee for Food and Environment (VKM), Oslo, Norway </w:t>
      </w:r>
    </w:p>
    <w:p w14:paraId="1BCDC8DC" w14:textId="77777777" w:rsidR="004F3F99" w:rsidRPr="001503B2" w:rsidRDefault="004F3F99" w:rsidP="004F3F99">
      <w:r w:rsidRPr="001503B2">
        <w:t>Wang B, He W, Li W, Jia X, Yao Q, Song R, Qin Q, Zhang J, U-shaped relationship between iodine status and thyroid autoimmunity risk in adults, </w:t>
      </w:r>
      <w:r w:rsidRPr="001503B2">
        <w:rPr>
          <w:i/>
          <w:iCs/>
        </w:rPr>
        <w:t>European Journal of Endocrinology</w:t>
      </w:r>
      <w:r w:rsidRPr="001503B2">
        <w:t>, Volume 181, Issue 3, Sep 2019, Pages 255</w:t>
      </w:r>
      <w:r>
        <w:t>-</w:t>
      </w:r>
      <w:r w:rsidRPr="001503B2">
        <w:t>266, </w:t>
      </w:r>
      <w:hyperlink r:id="rId65" w:history="1">
        <w:r w:rsidRPr="001503B2">
          <w:rPr>
            <w:rStyle w:val="Hyperlink"/>
            <w:rFonts w:eastAsiaTheme="majorEastAsia"/>
          </w:rPr>
          <w:t>https://doi.org/10.1530/EJE-19-0212</w:t>
        </w:r>
      </w:hyperlink>
    </w:p>
    <w:p w14:paraId="409F73D8" w14:textId="77777777" w:rsidR="004F3F99" w:rsidRPr="001503B2" w:rsidRDefault="004F3F99" w:rsidP="004F3F99">
      <w:proofErr w:type="spellStart"/>
      <w:r w:rsidRPr="001503B2">
        <w:t>Wassie</w:t>
      </w:r>
      <w:proofErr w:type="spellEnd"/>
      <w:r w:rsidRPr="001503B2">
        <w:t xml:space="preserve"> MM, Middleton P, Zhou SJ. 2019. Agreement between markers of population iodine status in classifying iodine status of populations: a systematic review, </w:t>
      </w:r>
      <w:r w:rsidRPr="001503B2">
        <w:rPr>
          <w:i/>
          <w:iCs/>
        </w:rPr>
        <w:t>Am J Clin Nutr.</w:t>
      </w:r>
      <w:r w:rsidRPr="001503B2">
        <w:t xml:space="preserve"> 110 (4): 949-9558. </w:t>
      </w:r>
      <w:proofErr w:type="spellStart"/>
      <w:r w:rsidRPr="001503B2">
        <w:t>doi</w:t>
      </w:r>
      <w:proofErr w:type="spellEnd"/>
      <w:r w:rsidRPr="001503B2">
        <w:t>: 10.1093/</w:t>
      </w:r>
      <w:proofErr w:type="spellStart"/>
      <w:r w:rsidRPr="001503B2">
        <w:t>ajcn</w:t>
      </w:r>
      <w:proofErr w:type="spellEnd"/>
      <w:r w:rsidRPr="001503B2">
        <w:t>/nqz118</w:t>
      </w:r>
    </w:p>
    <w:p w14:paraId="402BE9BB" w14:textId="77777777" w:rsidR="004F3F99" w:rsidRPr="001503B2" w:rsidRDefault="004F3F99" w:rsidP="004F3F99">
      <w:r w:rsidRPr="001503B2">
        <w:lastRenderedPageBreak/>
        <w:t xml:space="preserve">Whitbread JS, Murphy KJ, Clifton PM, Keogh JB. Iodine Excretion and Intake in Women of Reproductive Age in South Australia Eating Plant-Based and Omnivore Diets: A Pilot Study. Int J Environ Res Public Health. 2021 Mar 29;18(7):3547. </w:t>
      </w:r>
      <w:proofErr w:type="spellStart"/>
      <w:r w:rsidRPr="001503B2">
        <w:t>doi</w:t>
      </w:r>
      <w:proofErr w:type="spellEnd"/>
      <w:r w:rsidRPr="001503B2">
        <w:t>: 10.3390/ijerph18073547. PMID: 33805502; PMCID: PMC8037805.</w:t>
      </w:r>
    </w:p>
    <w:p w14:paraId="6FB2709D" w14:textId="77777777" w:rsidR="004F3F99" w:rsidRPr="001503B2" w:rsidRDefault="004F3F99" w:rsidP="004F3F99">
      <w:r w:rsidRPr="001503B2">
        <w:t>Wiltshire JJ, Drake TM, Uttley L, Balasubramanian SP. Systematic review of trends in the incidence rates of thyroid cancer. Thyroid 2016; 26(11): 1541</w:t>
      </w:r>
      <w:r>
        <w:t>-</w:t>
      </w:r>
      <w:r w:rsidRPr="001503B2">
        <w:t xml:space="preserve">52. </w:t>
      </w:r>
      <w:proofErr w:type="spellStart"/>
      <w:r w:rsidRPr="001503B2">
        <w:t>doi</w:t>
      </w:r>
      <w:proofErr w:type="spellEnd"/>
      <w:r w:rsidRPr="001503B2">
        <w:t>: 10.1089/thy.2016.0100</w:t>
      </w:r>
    </w:p>
    <w:p w14:paraId="2B973464" w14:textId="77777777" w:rsidR="004F3F99" w:rsidRPr="001503B2" w:rsidRDefault="004F3F99" w:rsidP="004F3F99">
      <w:pPr>
        <w:rPr>
          <w:noProof/>
        </w:rPr>
      </w:pPr>
      <w:r w:rsidRPr="001503B2">
        <w:rPr>
          <w:noProof/>
        </w:rPr>
        <w:t xml:space="preserve">World Cancer Research Fund; American Institute for Cancer Research, 2018. Continuous update project expert report 2018 - Judging the evidence [Internet]. Available from: </w:t>
      </w:r>
      <w:hyperlink r:id="rId66" w:history="1">
        <w:r w:rsidRPr="001503B2">
          <w:rPr>
            <w:rStyle w:val="Hyperlink"/>
            <w:noProof/>
          </w:rPr>
          <w:t>https://www.wcrf.org/wp-content/uploads/2024/11/judging-the-evidence.pdf</w:t>
        </w:r>
      </w:hyperlink>
    </w:p>
    <w:p w14:paraId="62C1B5D2" w14:textId="77777777" w:rsidR="004F3F99" w:rsidRPr="001503B2" w:rsidRDefault="004F3F99" w:rsidP="004F3F99">
      <w:r w:rsidRPr="001503B2">
        <w:rPr>
          <w:noProof/>
        </w:rPr>
        <w:t>World Health Organization (WHO) and Food and Agriculture Organization (FAO) of the United Nations (UN), 2004. Vitamin and mineral requirements in human nutrition. Second edition. Joint FAO/WHO Expert Consultation Report. Geneva: World Health Organisation.</w:t>
      </w:r>
    </w:p>
    <w:p w14:paraId="3C691CCB" w14:textId="77777777" w:rsidR="004F3F99" w:rsidRPr="001503B2" w:rsidRDefault="004F3F99" w:rsidP="004F3F99">
      <w:r w:rsidRPr="001503B2">
        <w:t xml:space="preserve">World Health Organization (WHO). </w:t>
      </w:r>
      <w:r w:rsidRPr="001503B2">
        <w:rPr>
          <w:rFonts w:cs="Courier New"/>
        </w:rPr>
        <w:t>‎</w:t>
      </w:r>
      <w:r w:rsidRPr="001503B2">
        <w:t>2007</w:t>
      </w:r>
      <w:r w:rsidRPr="001503B2">
        <w:rPr>
          <w:rFonts w:cs="Courier New"/>
        </w:rPr>
        <w:t>‎</w:t>
      </w:r>
      <w:r w:rsidRPr="001503B2">
        <w:t>.</w:t>
      </w:r>
      <w:r w:rsidRPr="001503B2">
        <w:rPr>
          <w:rFonts w:cs="Gotham Book"/>
        </w:rPr>
        <w:t> </w:t>
      </w:r>
      <w:r w:rsidRPr="001503B2">
        <w:t xml:space="preserve">Assessment of iodine deficiency disorders and monitoring their </w:t>
      </w:r>
      <w:proofErr w:type="gramStart"/>
      <w:r w:rsidRPr="001503B2">
        <w:t>elimination :</w:t>
      </w:r>
      <w:proofErr w:type="gramEnd"/>
      <w:r w:rsidRPr="001503B2">
        <w:t xml:space="preserve"> a guide for programme managers, 3rd ed. World Health Organization. </w:t>
      </w:r>
      <w:hyperlink r:id="rId67" w:history="1">
        <w:r w:rsidRPr="001503B2">
          <w:rPr>
            <w:rStyle w:val="Hyperlink"/>
          </w:rPr>
          <w:t>https://iris.who.int/handle/10665/43781</w:t>
        </w:r>
      </w:hyperlink>
      <w:r w:rsidRPr="001503B2">
        <w:t xml:space="preserve"> (Accessed 30 July 2024)</w:t>
      </w:r>
    </w:p>
    <w:p w14:paraId="278279FB" w14:textId="77777777" w:rsidR="004F3F99" w:rsidRPr="001503B2" w:rsidRDefault="004F3F99" w:rsidP="004F3F99">
      <w:r w:rsidRPr="001503B2">
        <w:t xml:space="preserve">World Health Organization (WHO). 2013. Urinary iodine concentrations for determining iodine status in populations, Vitamin and Mineral Nutrition Information System. Geneva: </w:t>
      </w:r>
      <w:r w:rsidRPr="001503B2">
        <w:rPr>
          <w:i/>
          <w:iCs/>
        </w:rPr>
        <w:t>World Health Organization</w:t>
      </w:r>
      <w:r w:rsidRPr="001503B2">
        <w:t xml:space="preserve"> </w:t>
      </w:r>
      <w:hyperlink r:id="rId68" w:history="1">
        <w:r w:rsidRPr="001503B2">
          <w:rPr>
            <w:rStyle w:val="Hyperlink"/>
          </w:rPr>
          <w:t>https://www.who.int/publications/i/item/WHO-NMH-NHD-EPG-13.1</w:t>
        </w:r>
      </w:hyperlink>
      <w:r w:rsidRPr="001503B2">
        <w:t xml:space="preserve"> (Accessed 31 July 2024)</w:t>
      </w:r>
    </w:p>
    <w:p w14:paraId="538E4AAE" w14:textId="77777777" w:rsidR="004F3F99" w:rsidRPr="001503B2" w:rsidRDefault="004F3F99" w:rsidP="004F3F99">
      <w:r w:rsidRPr="001503B2">
        <w:t>World Health Organization (WHO). </w:t>
      </w:r>
      <w:r w:rsidRPr="001503B2">
        <w:rPr>
          <w:rFonts w:cs="Courier New"/>
        </w:rPr>
        <w:t>‎</w:t>
      </w:r>
      <w:r w:rsidRPr="001503B2">
        <w:t xml:space="preserve">2014. Goitre as a determinant of the prevalence and severity of iodine deficiency disorders in populations. World Health Organization, Vitamin and Mineral Nutrition Information System. WHO/NMH/NHD/EPG/14.5. </w:t>
      </w:r>
      <w:hyperlink r:id="rId69" w:history="1">
        <w:r w:rsidRPr="001503B2">
          <w:rPr>
            <w:rStyle w:val="Hyperlink"/>
          </w:rPr>
          <w:t>https://iris.who.int/bitstream/handle/10665/133706/WHO_NMH_NHD_EPG_14.5_eng.pdf</w:t>
        </w:r>
      </w:hyperlink>
      <w:r w:rsidRPr="001503B2">
        <w:t xml:space="preserve">. Accessed 6 December 2024. </w:t>
      </w:r>
    </w:p>
    <w:p w14:paraId="14D3CD68" w14:textId="77777777" w:rsidR="004F3F99" w:rsidRPr="001503B2" w:rsidRDefault="004F3F99" w:rsidP="004F3F99">
      <w:r w:rsidRPr="001503B2">
        <w:t xml:space="preserve">Yang, F. Y., Tang, B. D., Niu, C. L., et al. (1997). A study for endemic </w:t>
      </w:r>
      <w:proofErr w:type="spellStart"/>
      <w:r w:rsidRPr="001503B2">
        <w:t>goiter</w:t>
      </w:r>
      <w:proofErr w:type="spellEnd"/>
      <w:r w:rsidRPr="001503B2">
        <w:t xml:space="preserve"> control with combined iodine and selenium supplementation. </w:t>
      </w:r>
      <w:r w:rsidRPr="001503B2">
        <w:rPr>
          <w:i/>
          <w:iCs/>
        </w:rPr>
        <w:t>Chin. J. Contr. End. Dis</w:t>
      </w:r>
      <w:r w:rsidRPr="001503B2">
        <w:t>. 16:214</w:t>
      </w:r>
      <w:r>
        <w:t>-</w:t>
      </w:r>
      <w:r w:rsidRPr="001503B2">
        <w:t>218.</w:t>
      </w:r>
    </w:p>
    <w:p w14:paraId="1C7BBA3E" w14:textId="77777777" w:rsidR="004F3F99" w:rsidRPr="001503B2" w:rsidRDefault="004F3F99" w:rsidP="004F3F99">
      <w:r w:rsidRPr="001503B2">
        <w:t xml:space="preserve">Yassa L, </w:t>
      </w:r>
      <w:proofErr w:type="spellStart"/>
      <w:r w:rsidRPr="001503B2">
        <w:t>Marqusee</w:t>
      </w:r>
      <w:proofErr w:type="spellEnd"/>
      <w:r w:rsidRPr="001503B2">
        <w:t xml:space="preserve"> E, Fawcett R and Alexander EK, 2010. Thyroid hormone early adjustment in pregnancy (the THERAPY) trial. Journal of Clinical Endocrinology and Metabolism, 95, 3234-3241. </w:t>
      </w:r>
    </w:p>
    <w:p w14:paraId="51A49D7C" w14:textId="77777777" w:rsidR="004F3F99" w:rsidRPr="001503B2" w:rsidRDefault="004F3F99" w:rsidP="004F3F99">
      <w:r w:rsidRPr="001503B2">
        <w:t xml:space="preserve">Zhang X, Zhang F, Li Q, </w:t>
      </w:r>
      <w:proofErr w:type="spellStart"/>
      <w:r w:rsidRPr="001503B2">
        <w:t>Aihaiti</w:t>
      </w:r>
      <w:proofErr w:type="spellEnd"/>
      <w:r w:rsidRPr="001503B2">
        <w:t xml:space="preserve"> R, Feng C, Chen D, Zhao X, Teng W. The relationship between urinary iodine concentration and papillary thyroid cancer: A systematic review and meta-analysis. Front Endocrinol (Lausanne). 2022 Oct </w:t>
      </w:r>
      <w:proofErr w:type="gramStart"/>
      <w:r w:rsidRPr="001503B2">
        <w:t>31;13:1049423</w:t>
      </w:r>
      <w:proofErr w:type="gramEnd"/>
      <w:r w:rsidRPr="001503B2">
        <w:t xml:space="preserve">. </w:t>
      </w:r>
      <w:proofErr w:type="spellStart"/>
      <w:r w:rsidRPr="001503B2">
        <w:t>doi</w:t>
      </w:r>
      <w:proofErr w:type="spellEnd"/>
      <w:r w:rsidRPr="001503B2">
        <w:t>: 10.3389/fendo.2022.1049423. PMID: 36387866; PMCID: PMC9659619.</w:t>
      </w:r>
    </w:p>
    <w:p w14:paraId="333A8A65" w14:textId="77777777" w:rsidR="004F3F99" w:rsidRPr="001503B2" w:rsidRDefault="004F3F99" w:rsidP="004F3F99">
      <w:r w:rsidRPr="001503B2">
        <w:t xml:space="preserve">Zhou SJ, Condo D, Ryan P, </w:t>
      </w:r>
      <w:proofErr w:type="spellStart"/>
      <w:r w:rsidRPr="001503B2">
        <w:t>Skeaff</w:t>
      </w:r>
      <w:proofErr w:type="spellEnd"/>
      <w:r w:rsidRPr="001503B2">
        <w:t xml:space="preserve"> SA, Howell S, Anderson PJ, McPhee AJ, Makrides M. 2019. Association Between Maternal Iodine Intake in Pregnancy and Childhood Neurodevelopment at Age 18 Months, </w:t>
      </w:r>
      <w:r w:rsidRPr="001503B2">
        <w:rPr>
          <w:i/>
          <w:iCs/>
        </w:rPr>
        <w:t>American Journal of Epidemiology</w:t>
      </w:r>
      <w:r w:rsidRPr="001503B2">
        <w:t>, Volume 188, Issue 2, pp. 332</w:t>
      </w:r>
      <w:r>
        <w:t>-</w:t>
      </w:r>
      <w:r w:rsidRPr="001503B2">
        <w:t>338.</w:t>
      </w:r>
    </w:p>
    <w:p w14:paraId="67DC1131" w14:textId="77777777" w:rsidR="004F3F99" w:rsidRPr="001503B2" w:rsidRDefault="004F3F99" w:rsidP="004F3F99">
      <w:r w:rsidRPr="001503B2">
        <w:t xml:space="preserve">Zimmermann, M., Adou, P., </w:t>
      </w:r>
      <w:proofErr w:type="spellStart"/>
      <w:r w:rsidRPr="001503B2">
        <w:t>Torresani</w:t>
      </w:r>
      <w:proofErr w:type="spellEnd"/>
      <w:r w:rsidRPr="001503B2">
        <w:t xml:space="preserve">, T., Zeder, C. and Hurrell, R. (2000). Persistence of </w:t>
      </w:r>
      <w:proofErr w:type="spellStart"/>
      <w:r w:rsidRPr="001503B2">
        <w:t>goiter</w:t>
      </w:r>
      <w:proofErr w:type="spellEnd"/>
      <w:r w:rsidRPr="001503B2">
        <w:t xml:space="preserve"> despite oral iodine supplementation in goitrous children with iron deficiency </w:t>
      </w:r>
      <w:proofErr w:type="spellStart"/>
      <w:r w:rsidRPr="001503B2">
        <w:t>anemia</w:t>
      </w:r>
      <w:proofErr w:type="spellEnd"/>
      <w:r w:rsidRPr="001503B2">
        <w:t xml:space="preserve"> in Cote d’Ivoire. </w:t>
      </w:r>
      <w:r w:rsidRPr="001503B2">
        <w:rPr>
          <w:i/>
          <w:iCs/>
        </w:rPr>
        <w:t xml:space="preserve">Am. J. Clin. </w:t>
      </w:r>
      <w:proofErr w:type="spellStart"/>
      <w:r w:rsidRPr="001503B2">
        <w:rPr>
          <w:i/>
          <w:iCs/>
        </w:rPr>
        <w:t>Nutr</w:t>
      </w:r>
      <w:proofErr w:type="spellEnd"/>
      <w:r w:rsidRPr="001503B2">
        <w:t>. 71: 88</w:t>
      </w:r>
      <w:r>
        <w:t>-</w:t>
      </w:r>
      <w:r w:rsidRPr="001503B2">
        <w:t>93.</w:t>
      </w:r>
    </w:p>
    <w:p w14:paraId="008C701A" w14:textId="77777777" w:rsidR="004F3F99" w:rsidRPr="001503B2" w:rsidRDefault="004F3F99" w:rsidP="004F3F99">
      <w:r w:rsidRPr="001503B2">
        <w:lastRenderedPageBreak/>
        <w:t xml:space="preserve">Zimmermann MB, Jooste PL, Pandav CS. Iodine-deficiency disorders. Lancet 2008; 372(9645): 1251-62. </w:t>
      </w:r>
    </w:p>
    <w:p w14:paraId="26B54D1E" w14:textId="77777777" w:rsidR="004F3F99" w:rsidRPr="001503B2" w:rsidRDefault="004F3F99" w:rsidP="004F3F99">
      <w:r w:rsidRPr="001503B2">
        <w:t>Zimmermann MB. Iodine and iodine deficiency disorders. In: Erdman JW, Macdonald LA, Zeisel SH, eds. Present Knowledge in Nutrition 10th Edition. Oxford: Wiley-Blackwell, 2012:554-567.</w:t>
      </w:r>
    </w:p>
    <w:p w14:paraId="145C502B" w14:textId="77777777" w:rsidR="004F3F99" w:rsidRPr="001503B2" w:rsidRDefault="004F3F99" w:rsidP="004F3F99">
      <w:r w:rsidRPr="001503B2">
        <w:t xml:space="preserve">Zimmermann MB, Galetti V. Iodine intake as a risk factor for thyroid cancer: a comprehensive review of animal and human studies. Thyroid Res 2015; 8: 8. </w:t>
      </w:r>
      <w:proofErr w:type="spellStart"/>
      <w:r w:rsidRPr="001503B2">
        <w:t>doi</w:t>
      </w:r>
      <w:proofErr w:type="spellEnd"/>
      <w:r w:rsidRPr="001503B2">
        <w:t xml:space="preserve">: 10.1186/s13044-015-0020-8 </w:t>
      </w:r>
    </w:p>
    <w:p w14:paraId="347C3F8D" w14:textId="77777777" w:rsidR="004F3F99" w:rsidRPr="001503B2" w:rsidRDefault="004F3F99" w:rsidP="004F3F99">
      <w:pPr>
        <w:sectPr w:rsidR="004F3F99" w:rsidRPr="001503B2" w:rsidSect="00564593">
          <w:headerReference w:type="even" r:id="rId70"/>
          <w:headerReference w:type="default" r:id="rId71"/>
          <w:footerReference w:type="default" r:id="rId72"/>
          <w:headerReference w:type="first" r:id="rId73"/>
          <w:footnotePr>
            <w:pos w:val="beneathText"/>
          </w:footnotePr>
          <w:pgSz w:w="11906" w:h="16838"/>
          <w:pgMar w:top="1440" w:right="1440" w:bottom="1440" w:left="1440" w:header="510" w:footer="510" w:gutter="0"/>
          <w:cols w:space="708"/>
          <w:docGrid w:linePitch="360"/>
        </w:sectPr>
      </w:pPr>
    </w:p>
    <w:p w14:paraId="1D9ECFB7" w14:textId="77777777" w:rsidR="004F3F99" w:rsidRPr="001503B2" w:rsidRDefault="004F3F99" w:rsidP="004F3F99">
      <w:pPr>
        <w:sectPr w:rsidR="004F3F99" w:rsidRPr="001503B2" w:rsidSect="004F3F99">
          <w:footnotePr>
            <w:pos w:val="beneathText"/>
          </w:footnotePr>
          <w:type w:val="continuous"/>
          <w:pgSz w:w="11906" w:h="16838"/>
          <w:pgMar w:top="1440" w:right="1440" w:bottom="1440" w:left="1440" w:header="708" w:footer="708" w:gutter="0"/>
          <w:cols w:space="708"/>
          <w:docGrid w:linePitch="360"/>
        </w:sectPr>
      </w:pPr>
    </w:p>
    <w:p w14:paraId="7B546FC5" w14:textId="77777777" w:rsidR="00E315C1" w:rsidRDefault="00E315C1" w:rsidP="00E315C1">
      <w:pPr>
        <w:pStyle w:val="Heading2"/>
      </w:pPr>
      <w:bookmarkStart w:id="161" w:name="_Ref208829478"/>
      <w:bookmarkStart w:id="162" w:name="_Toc210406404"/>
      <w:bookmarkStart w:id="163" w:name="_Toc212567903"/>
      <w:r>
        <w:lastRenderedPageBreak/>
        <w:t>Appendix A - Methods for identifying evidence</w:t>
      </w:r>
      <w:bookmarkEnd w:id="161"/>
      <w:bookmarkEnd w:id="162"/>
      <w:bookmarkEnd w:id="163"/>
    </w:p>
    <w:p w14:paraId="7150E4FB" w14:textId="77777777" w:rsidR="00E315C1" w:rsidRPr="001D5149" w:rsidRDefault="00E315C1" w:rsidP="00E315C1">
      <w:r w:rsidRPr="001D5149">
        <w:t>Consistent with the Methodological Framework (</w:t>
      </w:r>
      <w:r w:rsidRPr="001D5149">
        <w:rPr>
          <w:rFonts w:eastAsia="Times New Roman"/>
          <w:szCs w:val="20"/>
        </w:rPr>
        <w:t>NHMRC 2025)</w:t>
      </w:r>
      <w:r w:rsidRPr="001D5149">
        <w:t xml:space="preserve">, several approaches were adopted to identify relevant evidence for physiological requirements of </w:t>
      </w:r>
      <w:proofErr w:type="gramStart"/>
      <w:r w:rsidRPr="001D5149">
        <w:t>iodine, and</w:t>
      </w:r>
      <w:proofErr w:type="gramEnd"/>
      <w:r w:rsidRPr="001D5149">
        <w:t xml:space="preserve"> explore the relationship between iodine intake/status and health outcomes. This included:</w:t>
      </w:r>
    </w:p>
    <w:p w14:paraId="476D5A4F" w14:textId="77777777" w:rsidR="00E315C1" w:rsidRPr="001D5149" w:rsidRDefault="00E315C1" w:rsidP="00E315C1">
      <w:pPr>
        <w:pStyle w:val="ListParagraph"/>
        <w:numPr>
          <w:ilvl w:val="0"/>
          <w:numId w:val="24"/>
        </w:numPr>
        <w:spacing w:before="0" w:after="160" w:line="259" w:lineRule="auto"/>
        <w:contextualSpacing/>
      </w:pPr>
      <w:r w:rsidRPr="001D5149">
        <w:t>Extracting evidence from international guidance and advice including:</w:t>
      </w:r>
    </w:p>
    <w:p w14:paraId="492E5C8B" w14:textId="77777777" w:rsidR="00E315C1" w:rsidRPr="001D5149" w:rsidRDefault="00E315C1" w:rsidP="00E315C1">
      <w:pPr>
        <w:pStyle w:val="ListParagraph"/>
        <w:numPr>
          <w:ilvl w:val="1"/>
          <w:numId w:val="24"/>
        </w:numPr>
        <w:spacing w:before="0" w:after="160" w:line="259" w:lineRule="auto"/>
        <w:contextualSpacing/>
      </w:pPr>
      <w:r w:rsidRPr="001D5149">
        <w:t>reviews commissioned or conducted by comparable international bodies for the purposes of establishing iodine nutrient reference values</w:t>
      </w:r>
    </w:p>
    <w:p w14:paraId="12A12427" w14:textId="77777777" w:rsidR="00E315C1" w:rsidRPr="001D5149" w:rsidRDefault="00E315C1" w:rsidP="00E315C1">
      <w:pPr>
        <w:pStyle w:val="ListParagraph"/>
        <w:numPr>
          <w:ilvl w:val="1"/>
          <w:numId w:val="24"/>
        </w:numPr>
        <w:spacing w:before="0" w:after="160" w:line="259" w:lineRule="auto"/>
        <w:contextualSpacing/>
      </w:pPr>
      <w:r w:rsidRPr="001D5149">
        <w:t>other reports published by key international bodies (e.g. the WHO) relevant to establishing iodine nutrient reference values</w:t>
      </w:r>
    </w:p>
    <w:p w14:paraId="4AF4B5F9" w14:textId="77777777" w:rsidR="00E315C1" w:rsidRPr="001D5149" w:rsidRDefault="00E315C1" w:rsidP="00E315C1">
      <w:pPr>
        <w:pStyle w:val="ListParagraph"/>
        <w:numPr>
          <w:ilvl w:val="0"/>
          <w:numId w:val="24"/>
        </w:numPr>
        <w:spacing w:before="0" w:after="160" w:line="259" w:lineRule="auto"/>
        <w:contextualSpacing/>
      </w:pPr>
      <w:r w:rsidRPr="001D5149">
        <w:t>Systematic reviews published within the previous 10 years (with an emphasis on high quality, more recent systematic reviews)</w:t>
      </w:r>
    </w:p>
    <w:p w14:paraId="28F5E813" w14:textId="77777777" w:rsidR="00E315C1" w:rsidRPr="001D5149" w:rsidRDefault="00E315C1" w:rsidP="00E315C1">
      <w:pPr>
        <w:pStyle w:val="ListParagraph"/>
        <w:numPr>
          <w:ilvl w:val="0"/>
          <w:numId w:val="24"/>
        </w:numPr>
        <w:spacing w:before="0" w:after="160" w:line="259" w:lineRule="auto"/>
        <w:contextualSpacing/>
      </w:pPr>
      <w:r w:rsidRPr="001D5149">
        <w:t>A commissioned review of primary studies for targeted populations, exposures and outcomes</w:t>
      </w:r>
    </w:p>
    <w:p w14:paraId="7CD4F9D7" w14:textId="77777777" w:rsidR="00E315C1" w:rsidRPr="001D5149" w:rsidRDefault="00E315C1" w:rsidP="00E315C1">
      <w:pPr>
        <w:pStyle w:val="ListParagraph"/>
        <w:numPr>
          <w:ilvl w:val="0"/>
          <w:numId w:val="24"/>
        </w:numPr>
        <w:spacing w:before="0" w:after="160" w:line="259" w:lineRule="auto"/>
        <w:contextualSpacing/>
      </w:pPr>
      <w:r w:rsidRPr="001D5149">
        <w:t>Primary evidence or data relevant to the Australian and New Zealand context</w:t>
      </w:r>
    </w:p>
    <w:p w14:paraId="11819E40" w14:textId="77777777" w:rsidR="00E315C1" w:rsidRPr="001D5149" w:rsidRDefault="00E315C1" w:rsidP="00E315C1">
      <w:pPr>
        <w:pStyle w:val="Heading3"/>
      </w:pPr>
      <w:bookmarkStart w:id="164" w:name="_Toc210406405"/>
      <w:bookmarkStart w:id="165" w:name="_Toc212567904"/>
      <w:r w:rsidRPr="001D5149">
        <w:t>International guidance and advice</w:t>
      </w:r>
      <w:bookmarkEnd w:id="164"/>
      <w:bookmarkEnd w:id="165"/>
    </w:p>
    <w:p w14:paraId="34A0BB84" w14:textId="77777777" w:rsidR="00E315C1" w:rsidRPr="001D5149" w:rsidRDefault="00E315C1" w:rsidP="00E315C1">
      <w:r w:rsidRPr="001D5149">
        <w:t>The following international reports were reviewed, and summarised or relevant evidence extracted in the Evidence Summary Report:</w:t>
      </w:r>
    </w:p>
    <w:p w14:paraId="15468E9F" w14:textId="77777777" w:rsidR="00E315C1" w:rsidRPr="003D66CB" w:rsidRDefault="00E315C1" w:rsidP="00E315C1">
      <w:pPr>
        <w:pStyle w:val="ListParagraph"/>
        <w:numPr>
          <w:ilvl w:val="0"/>
          <w:numId w:val="24"/>
        </w:numPr>
        <w:spacing w:before="0" w:after="160" w:line="259" w:lineRule="auto"/>
        <w:contextualSpacing/>
      </w:pPr>
      <w:r w:rsidRPr="003D66CB">
        <w:t xml:space="preserve">US Institutes of Medicine (US IoM) - Dietary Reference Intakes for vitamin A, vitamin K, arsenic, boron, chromium, copper, iodine, iron, manganese, molybdenum, nickel, silicon, vanadium, and zinc (US IoM 2001) </w:t>
      </w:r>
    </w:p>
    <w:p w14:paraId="4EDA312B" w14:textId="77777777" w:rsidR="00E315C1" w:rsidRPr="003D66CB" w:rsidRDefault="00E315C1" w:rsidP="00E315C1">
      <w:pPr>
        <w:pStyle w:val="ListParagraph"/>
        <w:numPr>
          <w:ilvl w:val="0"/>
          <w:numId w:val="24"/>
        </w:numPr>
        <w:spacing w:before="0" w:after="160" w:line="259" w:lineRule="auto"/>
        <w:contextualSpacing/>
      </w:pPr>
      <w:r w:rsidRPr="003D66CB">
        <w:t>Nordic Nutrition Recommendations</w:t>
      </w:r>
    </w:p>
    <w:p w14:paraId="239D1C6F" w14:textId="77777777" w:rsidR="00E315C1" w:rsidRPr="003D66CB" w:rsidRDefault="00E315C1" w:rsidP="00E315C1">
      <w:pPr>
        <w:pStyle w:val="ListParagraph"/>
        <w:numPr>
          <w:ilvl w:val="1"/>
          <w:numId w:val="24"/>
        </w:numPr>
        <w:spacing w:before="0" w:after="160" w:line="259" w:lineRule="auto"/>
        <w:contextualSpacing/>
      </w:pPr>
      <w:r w:rsidRPr="003D66CB">
        <w:t xml:space="preserve">Iodine: a scoping review for Nordic Nutrition Recommendations 2023 (Gunnarsdóttir and </w:t>
      </w:r>
      <w:proofErr w:type="spellStart"/>
      <w:r w:rsidRPr="003D66CB">
        <w:t>Brantsæter</w:t>
      </w:r>
      <w:proofErr w:type="spellEnd"/>
      <w:r w:rsidRPr="003D66CB">
        <w:t xml:space="preserve"> 2023)</w:t>
      </w:r>
    </w:p>
    <w:p w14:paraId="5D5891AF" w14:textId="77777777" w:rsidR="00E315C1" w:rsidRPr="003D66CB" w:rsidRDefault="00E315C1" w:rsidP="00E315C1">
      <w:pPr>
        <w:pStyle w:val="ListParagraph"/>
        <w:numPr>
          <w:ilvl w:val="1"/>
          <w:numId w:val="24"/>
        </w:numPr>
        <w:spacing w:before="0" w:after="160" w:line="259" w:lineRule="auto"/>
        <w:contextualSpacing/>
      </w:pPr>
      <w:r w:rsidRPr="003D66CB">
        <w:t>Nordic Nutrition Recommendations 2023 (</w:t>
      </w:r>
      <w:proofErr w:type="spellStart"/>
      <w:r w:rsidRPr="003D66CB">
        <w:t>Blomhoff</w:t>
      </w:r>
      <w:proofErr w:type="spellEnd"/>
      <w:r w:rsidRPr="003D66CB">
        <w:t xml:space="preserve"> et al. 2023)</w:t>
      </w:r>
    </w:p>
    <w:p w14:paraId="29D9CBBB" w14:textId="77777777" w:rsidR="00E315C1" w:rsidRPr="003D66CB" w:rsidRDefault="00E315C1" w:rsidP="00E315C1">
      <w:pPr>
        <w:pStyle w:val="ListParagraph"/>
        <w:numPr>
          <w:ilvl w:val="0"/>
          <w:numId w:val="24"/>
        </w:numPr>
        <w:spacing w:before="0" w:after="160" w:line="259" w:lineRule="auto"/>
        <w:contextualSpacing/>
      </w:pPr>
      <w:r w:rsidRPr="003D66CB">
        <w:t xml:space="preserve">European Food Safety Authority </w:t>
      </w:r>
    </w:p>
    <w:p w14:paraId="236980A7" w14:textId="77777777" w:rsidR="00E315C1" w:rsidRPr="003D66CB" w:rsidRDefault="00E315C1" w:rsidP="00E315C1">
      <w:pPr>
        <w:pStyle w:val="ListParagraph"/>
        <w:numPr>
          <w:ilvl w:val="1"/>
          <w:numId w:val="24"/>
        </w:numPr>
        <w:spacing w:before="0" w:after="160" w:line="259" w:lineRule="auto"/>
        <w:contextualSpacing/>
      </w:pPr>
      <w:r w:rsidRPr="003D66CB">
        <w:t>Opinion of the Scientific Committee on Food on the Tolerable Upper Intake Level of Iodine (EFSA 2003)</w:t>
      </w:r>
    </w:p>
    <w:p w14:paraId="21795798" w14:textId="77777777" w:rsidR="00E315C1" w:rsidRPr="003D66CB" w:rsidRDefault="00E315C1" w:rsidP="00E315C1">
      <w:pPr>
        <w:pStyle w:val="ListParagraph"/>
        <w:numPr>
          <w:ilvl w:val="1"/>
          <w:numId w:val="24"/>
        </w:numPr>
        <w:spacing w:before="0" w:after="160" w:line="259" w:lineRule="auto"/>
        <w:contextualSpacing/>
      </w:pPr>
      <w:r w:rsidRPr="003D66CB">
        <w:t>Scientific Opinion on Dietary Reference Values for Iodine (EFSA 2014)</w:t>
      </w:r>
    </w:p>
    <w:p w14:paraId="47221C4A" w14:textId="77777777" w:rsidR="00E315C1" w:rsidRPr="003D66CB" w:rsidRDefault="00E315C1" w:rsidP="00E315C1">
      <w:pPr>
        <w:pStyle w:val="ListParagraph"/>
        <w:numPr>
          <w:ilvl w:val="1"/>
          <w:numId w:val="24"/>
        </w:numPr>
        <w:spacing w:before="0" w:after="160" w:line="259" w:lineRule="auto"/>
        <w:contextualSpacing/>
      </w:pPr>
      <w:r w:rsidRPr="003D66CB">
        <w:t>Scientific Report on the dietary exposure to heavy metals and iodine intake via consumption of seaweeds and halophytes in the European population (EFSA 2023)</w:t>
      </w:r>
    </w:p>
    <w:p w14:paraId="02A413F6" w14:textId="77777777" w:rsidR="00E315C1" w:rsidRPr="003D66CB" w:rsidRDefault="00E315C1" w:rsidP="00E315C1">
      <w:pPr>
        <w:pStyle w:val="ListParagraph"/>
        <w:numPr>
          <w:ilvl w:val="0"/>
          <w:numId w:val="24"/>
        </w:numPr>
        <w:spacing w:before="0" w:after="160" w:line="259" w:lineRule="auto"/>
        <w:contextualSpacing/>
      </w:pPr>
      <w:proofErr w:type="gramStart"/>
      <w:r w:rsidRPr="003D66CB">
        <w:t>EURRECA  -</w:t>
      </w:r>
      <w:proofErr w:type="gramEnd"/>
      <w:r w:rsidRPr="003D66CB">
        <w:t xml:space="preserve"> Estimating Iodine Requirements for Deriving Dietary Reference Values (Ristić-Medić 2013)</w:t>
      </w:r>
    </w:p>
    <w:p w14:paraId="6B9E6602" w14:textId="77777777" w:rsidR="00E315C1" w:rsidRPr="003D66CB" w:rsidRDefault="00E315C1" w:rsidP="00E315C1">
      <w:pPr>
        <w:pStyle w:val="ListParagraph"/>
        <w:numPr>
          <w:ilvl w:val="0"/>
          <w:numId w:val="24"/>
        </w:numPr>
        <w:spacing w:before="0" w:after="160" w:line="259" w:lineRule="auto"/>
        <w:contextualSpacing/>
      </w:pPr>
      <w:r w:rsidRPr="003D66CB">
        <w:t xml:space="preserve">UK SACN </w:t>
      </w:r>
    </w:p>
    <w:p w14:paraId="36BC49EC" w14:textId="77777777" w:rsidR="00E315C1" w:rsidRPr="001D5149" w:rsidRDefault="00E315C1" w:rsidP="00E315C1">
      <w:pPr>
        <w:pStyle w:val="ListParagraph"/>
        <w:numPr>
          <w:ilvl w:val="1"/>
          <w:numId w:val="24"/>
        </w:numPr>
        <w:spacing w:before="0" w:after="160" w:line="259" w:lineRule="auto"/>
        <w:contextualSpacing/>
      </w:pPr>
      <w:r w:rsidRPr="001D5149">
        <w:t>SACN Statement on Iodine and Health (UK SACN 2014)</w:t>
      </w:r>
    </w:p>
    <w:p w14:paraId="706CC291" w14:textId="77777777" w:rsidR="00E315C1" w:rsidRPr="001D5149" w:rsidRDefault="00E315C1" w:rsidP="00E315C1">
      <w:pPr>
        <w:pStyle w:val="ListParagraph"/>
        <w:numPr>
          <w:ilvl w:val="1"/>
          <w:numId w:val="24"/>
        </w:numPr>
        <w:spacing w:before="0" w:after="160" w:line="259" w:lineRule="auto"/>
        <w:contextualSpacing/>
      </w:pPr>
      <w:r w:rsidRPr="001D5149">
        <w:t>Statement on the potential effects that excess iodine intake may have during preconception, pregnancy and lactation (UK SACN UK 2022)</w:t>
      </w:r>
    </w:p>
    <w:p w14:paraId="17711ABB" w14:textId="77777777" w:rsidR="00E315C1" w:rsidRPr="001D5149" w:rsidRDefault="00E315C1" w:rsidP="00E315C1">
      <w:pPr>
        <w:pStyle w:val="ListParagraph"/>
        <w:numPr>
          <w:ilvl w:val="0"/>
          <w:numId w:val="24"/>
        </w:numPr>
        <w:spacing w:before="0" w:after="160" w:line="259" w:lineRule="auto"/>
        <w:contextualSpacing/>
      </w:pPr>
      <w:r w:rsidRPr="001D5149">
        <w:t xml:space="preserve">WHO </w:t>
      </w:r>
    </w:p>
    <w:p w14:paraId="691B3AB1" w14:textId="77777777" w:rsidR="00E315C1" w:rsidRPr="001D5149" w:rsidRDefault="00E315C1" w:rsidP="00E315C1">
      <w:pPr>
        <w:pStyle w:val="ListParagraph"/>
        <w:numPr>
          <w:ilvl w:val="1"/>
          <w:numId w:val="24"/>
        </w:numPr>
        <w:spacing w:before="0" w:after="160" w:line="259" w:lineRule="auto"/>
        <w:contextualSpacing/>
      </w:pPr>
      <w:r w:rsidRPr="001D5149">
        <w:t>Vitamin and mineral requirements in human nutrition (WHO &amp; FAO 2004) -</w:t>
      </w:r>
    </w:p>
    <w:p w14:paraId="54A7926F" w14:textId="77777777" w:rsidR="00E315C1" w:rsidRPr="001D5149" w:rsidRDefault="00E315C1" w:rsidP="00E315C1">
      <w:pPr>
        <w:pStyle w:val="ListParagraph"/>
        <w:numPr>
          <w:ilvl w:val="1"/>
          <w:numId w:val="24"/>
        </w:numPr>
        <w:spacing w:before="0" w:after="160" w:line="259" w:lineRule="auto"/>
        <w:contextualSpacing/>
      </w:pPr>
      <w:r w:rsidRPr="001D5149">
        <w:t>Urinary iodine concentrations for determining iodine status in populations (WHO 2013)</w:t>
      </w:r>
    </w:p>
    <w:p w14:paraId="3BA98903" w14:textId="77777777" w:rsidR="00E315C1" w:rsidRPr="001D5149" w:rsidRDefault="00E315C1" w:rsidP="00E315C1">
      <w:pPr>
        <w:pStyle w:val="ListParagraph"/>
        <w:numPr>
          <w:ilvl w:val="0"/>
          <w:numId w:val="24"/>
        </w:numPr>
        <w:spacing w:before="0" w:after="160" w:line="259" w:lineRule="auto"/>
        <w:contextualSpacing/>
      </w:pPr>
      <w:r w:rsidRPr="001D5149">
        <w:t>Chinese Nutrition Society:</w:t>
      </w:r>
    </w:p>
    <w:p w14:paraId="71FA0603" w14:textId="77777777" w:rsidR="00E315C1" w:rsidRPr="001D5149" w:rsidRDefault="00E315C1" w:rsidP="00E315C1">
      <w:pPr>
        <w:pStyle w:val="ListParagraph"/>
        <w:numPr>
          <w:ilvl w:val="1"/>
          <w:numId w:val="24"/>
        </w:numPr>
        <w:spacing w:before="0" w:after="160" w:line="259" w:lineRule="auto"/>
        <w:contextualSpacing/>
      </w:pPr>
      <w:r w:rsidRPr="001D5149">
        <w:rPr>
          <w:i/>
          <w:iCs/>
        </w:rPr>
        <w:t>Global Perspectives on China's Iodine Dietary Reference Intakes: Revisions, Public Health Implications, and Future Strategies (</w:t>
      </w:r>
      <w:r w:rsidRPr="001D5149">
        <w:t>Guo et al 2025)</w:t>
      </w:r>
    </w:p>
    <w:p w14:paraId="1FC59DB3" w14:textId="77777777" w:rsidR="00E315C1" w:rsidRDefault="00E315C1" w:rsidP="00E315C1">
      <w:pPr>
        <w:pStyle w:val="Heading3"/>
      </w:pPr>
      <w:bookmarkStart w:id="166" w:name="_Toc210406406"/>
      <w:bookmarkStart w:id="167" w:name="_Toc212567905"/>
      <w:r>
        <w:lastRenderedPageBreak/>
        <w:t>Systematic reviews</w:t>
      </w:r>
      <w:bookmarkEnd w:id="166"/>
      <w:bookmarkEnd w:id="167"/>
    </w:p>
    <w:p w14:paraId="7B3F9232" w14:textId="77777777" w:rsidR="00E315C1" w:rsidRDefault="00E315C1" w:rsidP="00E315C1">
      <w:pPr>
        <w:spacing w:after="0"/>
      </w:pPr>
      <w:r>
        <w:t>We sought recent, high quality systematic reviews that examined one or more of the following:</w:t>
      </w:r>
    </w:p>
    <w:p w14:paraId="50D894E1" w14:textId="77777777" w:rsidR="00E315C1" w:rsidRDefault="00E315C1" w:rsidP="00E315C1">
      <w:pPr>
        <w:pStyle w:val="ListParagraph"/>
        <w:numPr>
          <w:ilvl w:val="0"/>
          <w:numId w:val="35"/>
        </w:numPr>
        <w:spacing w:before="0" w:after="160" w:line="259" w:lineRule="auto"/>
        <w:contextualSpacing/>
      </w:pPr>
      <w:r>
        <w:t>iodine requirements to maintain physiological function in humans</w:t>
      </w:r>
    </w:p>
    <w:p w14:paraId="1FD45A60" w14:textId="77777777" w:rsidR="00E315C1" w:rsidRDefault="00E315C1" w:rsidP="00E315C1">
      <w:pPr>
        <w:pStyle w:val="ListParagraph"/>
        <w:numPr>
          <w:ilvl w:val="0"/>
          <w:numId w:val="35"/>
        </w:numPr>
        <w:spacing w:before="0" w:after="160" w:line="259" w:lineRule="auto"/>
        <w:contextualSpacing/>
      </w:pPr>
      <w:r>
        <w:t>the relationship between iodine intake, status and health outcomes</w:t>
      </w:r>
    </w:p>
    <w:p w14:paraId="309BD829" w14:textId="77777777" w:rsidR="00E315C1" w:rsidRDefault="00E315C1" w:rsidP="00E315C1">
      <w:pPr>
        <w:pStyle w:val="ListParagraph"/>
        <w:numPr>
          <w:ilvl w:val="0"/>
          <w:numId w:val="35"/>
        </w:numPr>
        <w:spacing w:before="0" w:after="160" w:line="259" w:lineRule="auto"/>
        <w:contextualSpacing/>
      </w:pPr>
      <w:r>
        <w:t>related characteristics relevant to NRV derivation for the Australian and New Zealand population, such as reviews exploring biomarkers of iodine intake/status, iodine content in food or water, bioavailability or interactions with other nutrients/compounds.</w:t>
      </w:r>
    </w:p>
    <w:p w14:paraId="65C07B14" w14:textId="77777777" w:rsidR="00E315C1" w:rsidRDefault="00E315C1" w:rsidP="00E315C1">
      <w:r>
        <w:t xml:space="preserve">Reviews not generalisable to the Australian and New Zealand context - such as those focused on incomparable, specific regional area/s or severely deficient populations - were excluded. </w:t>
      </w:r>
    </w:p>
    <w:p w14:paraId="243E9478" w14:textId="77777777" w:rsidR="00E315C1" w:rsidRDefault="00E315C1" w:rsidP="00E315C1">
      <w:r>
        <w:t>Eligible systematic reviews were identified by searching databases (</w:t>
      </w:r>
      <w:proofErr w:type="spellStart"/>
      <w:r>
        <w:t>Epistemonios</w:t>
      </w:r>
      <w:proofErr w:type="spellEnd"/>
      <w:r>
        <w:t xml:space="preserve">, PubMed, Cochrane Database of Systematic Reviews) and via reference list searching of key international guidance published since 2015.  Search parameters are documented in </w:t>
      </w:r>
      <w:r>
        <w:fldChar w:fldCharType="begin"/>
      </w:r>
      <w:r>
        <w:instrText xml:space="preserve"> REF _Ref208316589 \h </w:instrText>
      </w:r>
      <w:r>
        <w:fldChar w:fldCharType="separate"/>
      </w:r>
      <w:r>
        <w:t xml:space="preserve">Table </w:t>
      </w:r>
      <w:r>
        <w:rPr>
          <w:noProof/>
        </w:rPr>
        <w:t>18</w:t>
      </w:r>
      <w:r>
        <w:fldChar w:fldCharType="end"/>
      </w:r>
      <w:r>
        <w:t>.</w:t>
      </w:r>
    </w:p>
    <w:p w14:paraId="0FD29025" w14:textId="77777777" w:rsidR="00E315C1" w:rsidRDefault="00E315C1" w:rsidP="00E315C1">
      <w:pPr>
        <w:rPr>
          <w:szCs w:val="20"/>
        </w:rPr>
      </w:pPr>
      <w:r>
        <w:t>The methodological rigour and reporting quality of eligible systematic reviews was evaluated by KSR Evidence using the Risk of Bias in Systematic Reviews (ROBIS) tool (</w:t>
      </w:r>
      <w:r>
        <w:rPr>
          <w:noProof/>
        </w:rPr>
        <w:t>Whiting et al. 2016</w:t>
      </w:r>
      <w:r>
        <w:t xml:space="preserve">). KSR Evidence also extracted key characteristics of reviews.  Extracted data and risk of bias assessments are </w:t>
      </w:r>
      <w:r w:rsidRPr="00A13EED">
        <w:t>presented in Appendix C.</w:t>
      </w:r>
      <w:r>
        <w:t xml:space="preserve"> </w:t>
      </w:r>
    </w:p>
    <w:p w14:paraId="1BF09909" w14:textId="76C1C32C" w:rsidR="00E315C1" w:rsidRDefault="00E315C1" w:rsidP="00E315C1">
      <w:pPr>
        <w:pStyle w:val="TableTitle"/>
      </w:pPr>
      <w:r>
        <w:t>Searches undertaken to identify relevant systematic reviews</w:t>
      </w:r>
    </w:p>
    <w:tbl>
      <w:tblPr>
        <w:tblStyle w:val="DefaultTable1"/>
        <w:tblW w:w="0" w:type="auto"/>
        <w:tblInd w:w="0" w:type="dxa"/>
        <w:tblLook w:val="0620" w:firstRow="1" w:lastRow="0" w:firstColumn="0" w:lastColumn="0" w:noHBand="1" w:noVBand="1"/>
      </w:tblPr>
      <w:tblGrid>
        <w:gridCol w:w="1980"/>
        <w:gridCol w:w="5936"/>
        <w:gridCol w:w="1100"/>
      </w:tblGrid>
      <w:tr w:rsidR="00E315C1" w14:paraId="12EB1C5F" w14:textId="77777777" w:rsidTr="00E315C1">
        <w:trPr>
          <w:cnfStyle w:val="100000000000" w:firstRow="1" w:lastRow="0" w:firstColumn="0" w:lastColumn="0" w:oddVBand="0" w:evenVBand="0" w:oddHBand="0" w:evenHBand="0" w:firstRowFirstColumn="0" w:firstRowLastColumn="0" w:lastRowFirstColumn="0" w:lastRowLastColumn="0"/>
          <w:tblHeader/>
        </w:trPr>
        <w:tc>
          <w:tcPr>
            <w:tcW w:w="1980" w:type="dxa"/>
          </w:tcPr>
          <w:p w14:paraId="782BAD95" w14:textId="77777777" w:rsidR="00E315C1" w:rsidRPr="00F24F51" w:rsidRDefault="00E315C1">
            <w:pPr>
              <w:rPr>
                <w:b w:val="0"/>
                <w:bCs w:val="0"/>
              </w:rPr>
            </w:pPr>
            <w:r w:rsidRPr="00F24F51">
              <w:rPr>
                <w:b w:val="0"/>
                <w:bCs w:val="0"/>
              </w:rPr>
              <w:t>Method</w:t>
            </w:r>
          </w:p>
        </w:tc>
        <w:tc>
          <w:tcPr>
            <w:tcW w:w="5936" w:type="dxa"/>
          </w:tcPr>
          <w:p w14:paraId="3EAF19A0" w14:textId="77777777" w:rsidR="00E315C1" w:rsidRPr="00F24F51" w:rsidRDefault="00E315C1">
            <w:pPr>
              <w:rPr>
                <w:b w:val="0"/>
                <w:bCs w:val="0"/>
              </w:rPr>
            </w:pPr>
            <w:r w:rsidRPr="00F24F51">
              <w:rPr>
                <w:b w:val="0"/>
                <w:bCs w:val="0"/>
              </w:rPr>
              <w:t xml:space="preserve">Search </w:t>
            </w:r>
            <w:r>
              <w:rPr>
                <w:b w:val="0"/>
                <w:bCs w:val="0"/>
              </w:rPr>
              <w:t>parameters</w:t>
            </w:r>
          </w:p>
        </w:tc>
        <w:tc>
          <w:tcPr>
            <w:tcW w:w="1100" w:type="dxa"/>
          </w:tcPr>
          <w:p w14:paraId="5E76E990" w14:textId="77777777" w:rsidR="00E315C1" w:rsidRPr="00475E03" w:rsidRDefault="00E315C1">
            <w:pPr>
              <w:rPr>
                <w:b w:val="0"/>
                <w:bCs w:val="0"/>
              </w:rPr>
            </w:pPr>
            <w:r w:rsidRPr="00475E03">
              <w:rPr>
                <w:b w:val="0"/>
                <w:bCs w:val="0"/>
              </w:rPr>
              <w:t>No. records screened</w:t>
            </w:r>
          </w:p>
        </w:tc>
      </w:tr>
      <w:tr w:rsidR="00E315C1" w14:paraId="2E92EA21" w14:textId="77777777" w:rsidTr="00510FCB">
        <w:tc>
          <w:tcPr>
            <w:tcW w:w="1980" w:type="dxa"/>
            <w:tcBorders>
              <w:right w:val="nil"/>
            </w:tcBorders>
          </w:tcPr>
          <w:p w14:paraId="60AC20EE" w14:textId="77777777" w:rsidR="00E315C1" w:rsidRDefault="00E315C1">
            <w:proofErr w:type="spellStart"/>
            <w:r>
              <w:t>Epistemonikos</w:t>
            </w:r>
            <w:proofErr w:type="spellEnd"/>
            <w:r>
              <w:t xml:space="preserve"> database</w:t>
            </w:r>
          </w:p>
        </w:tc>
        <w:tc>
          <w:tcPr>
            <w:tcW w:w="5936" w:type="dxa"/>
            <w:tcBorders>
              <w:left w:val="nil"/>
              <w:right w:val="nil"/>
            </w:tcBorders>
          </w:tcPr>
          <w:p w14:paraId="4678420C" w14:textId="77777777" w:rsidR="00E315C1" w:rsidRDefault="00E315C1">
            <w:r>
              <w:t>Keyword (Ti/Abs): iodine</w:t>
            </w:r>
          </w:p>
          <w:p w14:paraId="0E8A9C4E" w14:textId="77777777" w:rsidR="00E315C1" w:rsidRDefault="00E315C1">
            <w:r>
              <w:t>Category: systematic reviews</w:t>
            </w:r>
          </w:p>
          <w:p w14:paraId="769B1CEC" w14:textId="77777777" w:rsidR="00E315C1" w:rsidRDefault="00E315C1">
            <w:r>
              <w:t>Date range: 1 Jan 2015 to 9 Sep 2025</w:t>
            </w:r>
          </w:p>
        </w:tc>
        <w:tc>
          <w:tcPr>
            <w:tcW w:w="1100" w:type="dxa"/>
            <w:tcBorders>
              <w:left w:val="nil"/>
            </w:tcBorders>
          </w:tcPr>
          <w:p w14:paraId="37B1799A" w14:textId="77777777" w:rsidR="00E315C1" w:rsidRDefault="00E315C1">
            <w:pPr>
              <w:jc w:val="center"/>
            </w:pPr>
            <w:r>
              <w:t>583</w:t>
            </w:r>
          </w:p>
        </w:tc>
      </w:tr>
      <w:tr w:rsidR="00E315C1" w14:paraId="3EA721EB" w14:textId="77777777" w:rsidTr="00510FCB">
        <w:tc>
          <w:tcPr>
            <w:tcW w:w="1980" w:type="dxa"/>
            <w:tcBorders>
              <w:right w:val="nil"/>
            </w:tcBorders>
          </w:tcPr>
          <w:p w14:paraId="552CBE04" w14:textId="77777777" w:rsidR="00E315C1" w:rsidRDefault="00E315C1">
            <w:r>
              <w:t>PubMed database</w:t>
            </w:r>
          </w:p>
        </w:tc>
        <w:tc>
          <w:tcPr>
            <w:tcW w:w="5936" w:type="dxa"/>
            <w:tcBorders>
              <w:left w:val="nil"/>
              <w:right w:val="nil"/>
            </w:tcBorders>
          </w:tcPr>
          <w:p w14:paraId="30828AFA" w14:textId="77777777" w:rsidR="00E315C1" w:rsidRDefault="00E315C1">
            <w:r>
              <w:t>((</w:t>
            </w:r>
            <w:proofErr w:type="gramStart"/>
            <w:r>
              <w:t>iodine[</w:t>
            </w:r>
            <w:proofErr w:type="gramEnd"/>
            <w:r>
              <w:t>Mesh]) AND ("systematic review"[pt])) NOT (radioiodine[</w:t>
            </w:r>
            <w:proofErr w:type="spellStart"/>
            <w:r>
              <w:t>ti</w:t>
            </w:r>
            <w:proofErr w:type="spellEnd"/>
            <w:r>
              <w:t>] OR chlorhexidine[</w:t>
            </w:r>
            <w:proofErr w:type="spellStart"/>
            <w:r>
              <w:t>ti</w:t>
            </w:r>
            <w:proofErr w:type="spellEnd"/>
            <w:r>
              <w:t>] OR radioactive[</w:t>
            </w:r>
            <w:proofErr w:type="spellStart"/>
            <w:r>
              <w:t>ti</w:t>
            </w:r>
            <w:proofErr w:type="spellEnd"/>
            <w:r>
              <w:t>] OR contrast[</w:t>
            </w:r>
            <w:proofErr w:type="spellStart"/>
            <w:r>
              <w:t>ti</w:t>
            </w:r>
            <w:proofErr w:type="spellEnd"/>
            <w:r>
              <w:t>])</w:t>
            </w:r>
          </w:p>
          <w:p w14:paraId="1B1A6566" w14:textId="77777777" w:rsidR="00E315C1" w:rsidRDefault="00E315C1">
            <w:r>
              <w:t>Date range: 1 Jan 2015 to 4 September 2025</w:t>
            </w:r>
          </w:p>
        </w:tc>
        <w:tc>
          <w:tcPr>
            <w:tcW w:w="1100" w:type="dxa"/>
            <w:tcBorders>
              <w:left w:val="nil"/>
            </w:tcBorders>
          </w:tcPr>
          <w:p w14:paraId="5EB0C5F5" w14:textId="77777777" w:rsidR="00E315C1" w:rsidRDefault="00E315C1">
            <w:pPr>
              <w:jc w:val="center"/>
            </w:pPr>
            <w:r>
              <w:t>140</w:t>
            </w:r>
          </w:p>
        </w:tc>
      </w:tr>
      <w:tr w:rsidR="00E315C1" w14:paraId="45F19692" w14:textId="77777777" w:rsidTr="00510FCB">
        <w:tc>
          <w:tcPr>
            <w:tcW w:w="1980" w:type="dxa"/>
            <w:tcBorders>
              <w:right w:val="nil"/>
            </w:tcBorders>
          </w:tcPr>
          <w:p w14:paraId="2CCD0D03" w14:textId="77777777" w:rsidR="00E315C1" w:rsidRDefault="00E315C1">
            <w:r>
              <w:t>Cochrane Database of Systematic Reviews</w:t>
            </w:r>
          </w:p>
        </w:tc>
        <w:tc>
          <w:tcPr>
            <w:tcW w:w="5936" w:type="dxa"/>
            <w:tcBorders>
              <w:left w:val="nil"/>
              <w:right w:val="nil"/>
            </w:tcBorders>
          </w:tcPr>
          <w:p w14:paraId="5179015C" w14:textId="77777777" w:rsidR="00E315C1" w:rsidRDefault="00E315C1">
            <w:proofErr w:type="spellStart"/>
            <w:r>
              <w:t>MeSH</w:t>
            </w:r>
            <w:proofErr w:type="spellEnd"/>
            <w:r>
              <w:t xml:space="preserve"> descriptor: [Iodine] in all </w:t>
            </w:r>
            <w:proofErr w:type="spellStart"/>
            <w:r>
              <w:t>MeSH</w:t>
            </w:r>
            <w:proofErr w:type="spellEnd"/>
            <w:r>
              <w:t xml:space="preserve"> products</w:t>
            </w:r>
          </w:p>
          <w:p w14:paraId="2A35F506" w14:textId="77777777" w:rsidR="00E315C1" w:rsidRDefault="00E315C1"/>
          <w:p w14:paraId="7305AF68" w14:textId="77777777" w:rsidR="00E315C1" w:rsidRDefault="00E315C1">
            <w:r>
              <w:t>Dates: 01/01/2015 - 09/09/2025</w:t>
            </w:r>
          </w:p>
        </w:tc>
        <w:tc>
          <w:tcPr>
            <w:tcW w:w="1100" w:type="dxa"/>
            <w:tcBorders>
              <w:left w:val="nil"/>
            </w:tcBorders>
          </w:tcPr>
          <w:p w14:paraId="3C272CE1" w14:textId="77777777" w:rsidR="00E315C1" w:rsidRDefault="00E315C1">
            <w:pPr>
              <w:jc w:val="center"/>
            </w:pPr>
            <w:r>
              <w:t>16</w:t>
            </w:r>
          </w:p>
        </w:tc>
      </w:tr>
      <w:tr w:rsidR="00E315C1" w14:paraId="0C5EFC06" w14:textId="77777777" w:rsidTr="00510FCB">
        <w:tc>
          <w:tcPr>
            <w:tcW w:w="1980" w:type="dxa"/>
            <w:tcBorders>
              <w:right w:val="nil"/>
            </w:tcBorders>
          </w:tcPr>
          <w:p w14:paraId="602A28EB" w14:textId="77777777" w:rsidR="00E315C1" w:rsidRDefault="00E315C1">
            <w:r>
              <w:lastRenderedPageBreak/>
              <w:t>Reference list searching</w:t>
            </w:r>
          </w:p>
        </w:tc>
        <w:tc>
          <w:tcPr>
            <w:tcW w:w="5936" w:type="dxa"/>
            <w:tcBorders>
              <w:left w:val="nil"/>
              <w:right w:val="nil"/>
            </w:tcBorders>
          </w:tcPr>
          <w:p w14:paraId="4C709CF5" w14:textId="77777777" w:rsidR="00E315C1" w:rsidRPr="00E413C0" w:rsidRDefault="00E315C1">
            <w:r w:rsidRPr="00E413C0">
              <w:t>Nordic Nutrition Recommendations:</w:t>
            </w:r>
          </w:p>
          <w:p w14:paraId="174237D3" w14:textId="77777777" w:rsidR="00E315C1" w:rsidRPr="00E413C0" w:rsidRDefault="00E315C1" w:rsidP="00E315C1">
            <w:pPr>
              <w:pStyle w:val="ListParagraph"/>
              <w:numPr>
                <w:ilvl w:val="0"/>
                <w:numId w:val="34"/>
              </w:numPr>
              <w:spacing w:before="0" w:after="0" w:line="240" w:lineRule="auto"/>
              <w:contextualSpacing/>
              <w:rPr>
                <w:i/>
                <w:iCs/>
              </w:rPr>
            </w:pPr>
            <w:r w:rsidRPr="00E413C0">
              <w:t xml:space="preserve">Gunnarsdóttir and </w:t>
            </w:r>
            <w:proofErr w:type="spellStart"/>
            <w:r w:rsidRPr="00E413C0">
              <w:t>Brantsæter</w:t>
            </w:r>
            <w:proofErr w:type="spellEnd"/>
            <w:r w:rsidRPr="00E413C0">
              <w:t xml:space="preserve"> 2023 - </w:t>
            </w:r>
            <w:r w:rsidRPr="00E413C0">
              <w:rPr>
                <w:i/>
                <w:iCs/>
              </w:rPr>
              <w:t>Iodine: a scoping review for Nordic Nutrition Recommendations 2023</w:t>
            </w:r>
          </w:p>
          <w:p w14:paraId="626464CE" w14:textId="77777777" w:rsidR="00E315C1" w:rsidRPr="00E413C0" w:rsidRDefault="00E315C1" w:rsidP="00E315C1">
            <w:pPr>
              <w:pStyle w:val="ListParagraph"/>
              <w:numPr>
                <w:ilvl w:val="0"/>
                <w:numId w:val="34"/>
              </w:numPr>
              <w:spacing w:before="0" w:after="160" w:line="240" w:lineRule="auto"/>
              <w:ind w:left="714" w:hanging="357"/>
              <w:rPr>
                <w:i/>
                <w:iCs/>
              </w:rPr>
            </w:pPr>
            <w:proofErr w:type="spellStart"/>
            <w:r w:rsidRPr="00E413C0">
              <w:t>Blomhoff</w:t>
            </w:r>
            <w:proofErr w:type="spellEnd"/>
            <w:r w:rsidRPr="00E413C0">
              <w:t xml:space="preserve"> et al 2023 - </w:t>
            </w:r>
            <w:r w:rsidRPr="00E413C0">
              <w:rPr>
                <w:i/>
                <w:iCs/>
              </w:rPr>
              <w:t>Nordic Nutrition Recommendations 2023</w:t>
            </w:r>
          </w:p>
          <w:p w14:paraId="407C13CB" w14:textId="77777777" w:rsidR="00E315C1" w:rsidRPr="00E413C0" w:rsidRDefault="00E315C1">
            <w:r w:rsidRPr="00E413C0">
              <w:t>UK Food Standards Agency:</w:t>
            </w:r>
          </w:p>
          <w:p w14:paraId="73102E3B" w14:textId="77777777" w:rsidR="00E315C1" w:rsidRPr="00E413C0" w:rsidRDefault="00E315C1" w:rsidP="00E315C1">
            <w:pPr>
              <w:pStyle w:val="ListParagraph"/>
              <w:numPr>
                <w:ilvl w:val="0"/>
                <w:numId w:val="33"/>
              </w:numPr>
              <w:spacing w:before="0" w:after="160" w:line="240" w:lineRule="auto"/>
              <w:ind w:left="714" w:hanging="357"/>
              <w:rPr>
                <w:i/>
                <w:iCs/>
              </w:rPr>
            </w:pPr>
            <w:r w:rsidRPr="00E413C0">
              <w:t xml:space="preserve">Committee on Toxicity (2022) - </w:t>
            </w:r>
            <w:r w:rsidRPr="00E413C0">
              <w:rPr>
                <w:i/>
                <w:iCs/>
              </w:rPr>
              <w:t xml:space="preserve">Statement on the potential effects that excess iodine intake may have during preconception, pregnancy and lactation. </w:t>
            </w:r>
          </w:p>
          <w:p w14:paraId="4ECA8551" w14:textId="77777777" w:rsidR="00E315C1" w:rsidRPr="00E413C0" w:rsidRDefault="00E315C1">
            <w:r w:rsidRPr="00E413C0">
              <w:t>Chinese Nutrition Society:</w:t>
            </w:r>
          </w:p>
          <w:p w14:paraId="4A69663E" w14:textId="77777777" w:rsidR="00E315C1" w:rsidRPr="00E413C0" w:rsidRDefault="00E315C1" w:rsidP="00E315C1">
            <w:pPr>
              <w:pStyle w:val="ListParagraph"/>
              <w:numPr>
                <w:ilvl w:val="0"/>
                <w:numId w:val="33"/>
              </w:numPr>
              <w:spacing w:before="0" w:after="160" w:line="240" w:lineRule="auto"/>
              <w:ind w:left="714" w:hanging="357"/>
            </w:pPr>
            <w:r w:rsidRPr="00E413C0">
              <w:t xml:space="preserve">Guo et al (2025) - </w:t>
            </w:r>
            <w:r w:rsidRPr="00E413C0">
              <w:rPr>
                <w:i/>
                <w:iCs/>
              </w:rPr>
              <w:t>Global Perspectives on China's Iodine Dietary Reference Intakes: Revisions, Public Health Implications, and Future Strategies</w:t>
            </w:r>
          </w:p>
          <w:p w14:paraId="48842EFE" w14:textId="77777777" w:rsidR="00E315C1" w:rsidRPr="00E413C0" w:rsidRDefault="00E315C1">
            <w:r w:rsidRPr="00E413C0">
              <w:t>European Food Safety Authority:</w:t>
            </w:r>
          </w:p>
          <w:p w14:paraId="60D123D0" w14:textId="58D28ED7" w:rsidR="00E315C1" w:rsidRPr="00E315C1" w:rsidRDefault="00E315C1" w:rsidP="00E315C1">
            <w:pPr>
              <w:pStyle w:val="ListParagraph"/>
              <w:numPr>
                <w:ilvl w:val="0"/>
                <w:numId w:val="32"/>
              </w:numPr>
              <w:spacing w:before="0" w:after="0" w:line="240" w:lineRule="auto"/>
              <w:contextualSpacing/>
              <w:rPr>
                <w:i/>
                <w:iCs/>
              </w:rPr>
            </w:pPr>
            <w:r w:rsidRPr="00E413C0">
              <w:t xml:space="preserve">EFSA (2023) - </w:t>
            </w:r>
            <w:r w:rsidRPr="00E413C0">
              <w:rPr>
                <w:i/>
                <w:iCs/>
              </w:rPr>
              <w:t>Scientific Report on the dietary exposure to heavy metals and iodine intake via consumption of seaweeds and halophytes in the European population</w:t>
            </w:r>
          </w:p>
        </w:tc>
        <w:tc>
          <w:tcPr>
            <w:tcW w:w="1100" w:type="dxa"/>
            <w:tcBorders>
              <w:left w:val="nil"/>
            </w:tcBorders>
          </w:tcPr>
          <w:p w14:paraId="5257C64B" w14:textId="77777777" w:rsidR="00E315C1" w:rsidRPr="00E413C0" w:rsidRDefault="00E315C1">
            <w:pPr>
              <w:jc w:val="center"/>
            </w:pPr>
            <w:r>
              <w:t>N/A</w:t>
            </w:r>
          </w:p>
        </w:tc>
      </w:tr>
    </w:tbl>
    <w:p w14:paraId="531D59D9" w14:textId="3CA6640B" w:rsidR="00E315C1" w:rsidRDefault="00E315C1" w:rsidP="004F3F99">
      <w:pPr>
        <w:rPr>
          <w:highlight w:val="yellow"/>
        </w:rPr>
      </w:pPr>
    </w:p>
    <w:p w14:paraId="5658BD95" w14:textId="77777777" w:rsidR="00E315C1" w:rsidRDefault="00E315C1">
      <w:pPr>
        <w:spacing w:line="240" w:lineRule="atLeast"/>
        <w:rPr>
          <w:highlight w:val="yellow"/>
        </w:rPr>
      </w:pPr>
      <w:r>
        <w:rPr>
          <w:highlight w:val="yellow"/>
        </w:rPr>
        <w:br w:type="page"/>
      </w:r>
    </w:p>
    <w:p w14:paraId="338A4696" w14:textId="77777777" w:rsidR="00E315C1" w:rsidRDefault="00E315C1" w:rsidP="004F3F99">
      <w:pPr>
        <w:rPr>
          <w:highlight w:val="yellow"/>
        </w:rPr>
        <w:sectPr w:rsidR="00E315C1" w:rsidSect="004F3F99">
          <w:headerReference w:type="even" r:id="rId74"/>
          <w:headerReference w:type="default" r:id="rId75"/>
          <w:headerReference w:type="first" r:id="rId76"/>
          <w:pgSz w:w="11906" w:h="16838" w:code="9"/>
          <w:pgMar w:top="1814" w:right="1134" w:bottom="1565" w:left="907" w:header="510" w:footer="510" w:gutter="0"/>
          <w:cols w:space="708"/>
          <w:titlePg/>
          <w:docGrid w:linePitch="360"/>
        </w:sectPr>
      </w:pPr>
    </w:p>
    <w:p w14:paraId="5ADCBF5E" w14:textId="77777777" w:rsidR="00E315C1" w:rsidRDefault="00E315C1" w:rsidP="00E315C1">
      <w:pPr>
        <w:pStyle w:val="Heading3"/>
      </w:pPr>
      <w:bookmarkStart w:id="168" w:name="_Toc210406407"/>
      <w:bookmarkStart w:id="169" w:name="_Toc212567906"/>
      <w:r>
        <w:lastRenderedPageBreak/>
        <w:t>Primary studies/data</w:t>
      </w:r>
      <w:bookmarkEnd w:id="168"/>
      <w:bookmarkEnd w:id="169"/>
    </w:p>
    <w:p w14:paraId="61A66B90" w14:textId="77777777" w:rsidR="00E315C1" w:rsidRPr="00495B6C" w:rsidRDefault="00E315C1" w:rsidP="00E315C1">
      <w:pPr>
        <w:pStyle w:val="Heading4"/>
      </w:pPr>
      <w:bookmarkStart w:id="170" w:name="_Toc210406408"/>
      <w:bookmarkStart w:id="171" w:name="_Toc212567907"/>
      <w:r>
        <w:t>Evidence scoping for priority PECO criteria</w:t>
      </w:r>
      <w:bookmarkEnd w:id="170"/>
      <w:bookmarkEnd w:id="171"/>
      <w:r>
        <w:t xml:space="preserve"> </w:t>
      </w:r>
    </w:p>
    <w:p w14:paraId="48795B2A" w14:textId="77777777" w:rsidR="00E315C1" w:rsidRDefault="00E315C1" w:rsidP="00E315C1">
      <w:r>
        <w:t xml:space="preserve">NHMRC commissioned researchers from the Institute for Physical Activity and Nutrition at Deakin University to undertake a review of primary studies to inform decisions about the update of iodine NRVs. The research team comprised Professor Judi Porter, Associate Professors Susan Torres, Ewa Szymlek-Gay, Kristy Bolton, and Katherine Livingstone, Dr </w:t>
      </w:r>
      <w:proofErr w:type="spellStart"/>
      <w:r>
        <w:t>Miaobing</w:t>
      </w:r>
      <w:proofErr w:type="spellEnd"/>
      <w:r>
        <w:t xml:space="preserve"> Zheng, and Dr Gavin Abbott.</w:t>
      </w:r>
    </w:p>
    <w:p w14:paraId="72AB2AA7" w14:textId="77777777" w:rsidR="00E315C1" w:rsidRDefault="00E315C1" w:rsidP="00E315C1">
      <w:r>
        <w:t xml:space="preserve">The evidence </w:t>
      </w:r>
      <w:proofErr w:type="gramStart"/>
      <w:r>
        <w:t>review</w:t>
      </w:r>
      <w:proofErr w:type="gramEnd"/>
      <w:r>
        <w:t xml:space="preserve"> employed systematic searches to identify primary studies on the relationship between iodine intake / status and health for select, priority populations, exposures and outcomes. The inclusion/exclusion criteria for the review are specified in </w:t>
      </w:r>
      <w:r>
        <w:fldChar w:fldCharType="begin"/>
      </w:r>
      <w:r>
        <w:instrText xml:space="preserve"> REF _Ref208317080 \h </w:instrText>
      </w:r>
      <w:r>
        <w:fldChar w:fldCharType="separate"/>
      </w:r>
      <w:r>
        <w:t xml:space="preserve">Table </w:t>
      </w:r>
      <w:r>
        <w:rPr>
          <w:noProof/>
        </w:rPr>
        <w:t>18</w:t>
      </w:r>
      <w:r>
        <w:fldChar w:fldCharType="end"/>
      </w:r>
      <w:r>
        <w:t>.</w:t>
      </w:r>
    </w:p>
    <w:p w14:paraId="2B90450D" w14:textId="77777777" w:rsidR="00E315C1" w:rsidRDefault="00E315C1" w:rsidP="00E315C1">
      <w:pPr>
        <w:spacing w:after="0"/>
      </w:pPr>
      <w:r w:rsidRPr="1D598E36">
        <w:t xml:space="preserve">Balance studies that measured total intake and losses under controlled conditions were also </w:t>
      </w:r>
      <w:r>
        <w:t>sought, where they:</w:t>
      </w:r>
    </w:p>
    <w:p w14:paraId="58B5CB47" w14:textId="77777777" w:rsidR="00E315C1" w:rsidRDefault="00E315C1" w:rsidP="00E315C1">
      <w:pPr>
        <w:pStyle w:val="ListParagraph"/>
        <w:numPr>
          <w:ilvl w:val="0"/>
          <w:numId w:val="27"/>
        </w:numPr>
        <w:spacing w:before="0" w:after="0" w:line="259" w:lineRule="auto"/>
        <w:contextualSpacing/>
      </w:pPr>
      <w:r>
        <w:t>were published since 2000 (to complement evidence from balance studies identified in previous reviews)</w:t>
      </w:r>
    </w:p>
    <w:p w14:paraId="51444E8A" w14:textId="77777777" w:rsidR="00E315C1" w:rsidRDefault="00E315C1" w:rsidP="00E315C1">
      <w:pPr>
        <w:pStyle w:val="ListParagraph"/>
        <w:numPr>
          <w:ilvl w:val="0"/>
          <w:numId w:val="27"/>
        </w:numPr>
        <w:spacing w:before="0" w:after="0" w:line="259" w:lineRule="auto"/>
        <w:contextualSpacing/>
      </w:pPr>
      <w:r>
        <w:t>measured intake from all sources (including dietary, supplements, water and medications)</w:t>
      </w:r>
    </w:p>
    <w:p w14:paraId="4485E59D" w14:textId="77777777" w:rsidR="00E315C1" w:rsidRPr="00D579AD" w:rsidRDefault="00E315C1" w:rsidP="00E315C1">
      <w:pPr>
        <w:pStyle w:val="ListParagraph"/>
        <w:numPr>
          <w:ilvl w:val="0"/>
          <w:numId w:val="27"/>
        </w:numPr>
        <w:spacing w:before="0" w:after="160" w:line="259" w:lineRule="auto"/>
        <w:contextualSpacing/>
      </w:pPr>
      <w:r w:rsidRPr="00D579AD">
        <w:t>measured losses via a minimum of three routes (urinary, faecal, sweat, dermal).</w:t>
      </w:r>
    </w:p>
    <w:p w14:paraId="5FC69DF0" w14:textId="77777777" w:rsidR="00E315C1" w:rsidRDefault="00E315C1" w:rsidP="00E315C1">
      <w:pPr>
        <w:spacing w:after="0"/>
      </w:pPr>
      <w:r>
        <w:t>Key characteristics of eligible studies were extracted and risk of bias assessed using one of the following tools:</w:t>
      </w:r>
    </w:p>
    <w:p w14:paraId="61A5DB39" w14:textId="77777777" w:rsidR="00E315C1" w:rsidRDefault="00E315C1" w:rsidP="00E315C1">
      <w:pPr>
        <w:pStyle w:val="ListParagraph"/>
        <w:numPr>
          <w:ilvl w:val="0"/>
          <w:numId w:val="36"/>
        </w:numPr>
        <w:spacing w:before="0" w:after="160" w:line="259" w:lineRule="auto"/>
        <w:contextualSpacing/>
      </w:pPr>
      <w:r>
        <w:t>RCTs: Cochrane Risk of Bias tool v.2 (ROB-2)</w:t>
      </w:r>
    </w:p>
    <w:p w14:paraId="32D80E26" w14:textId="77777777" w:rsidR="00E315C1" w:rsidRDefault="00E315C1" w:rsidP="00E315C1">
      <w:pPr>
        <w:pStyle w:val="ListParagraph"/>
        <w:numPr>
          <w:ilvl w:val="0"/>
          <w:numId w:val="36"/>
        </w:numPr>
        <w:spacing w:before="0" w:after="160" w:line="259" w:lineRule="auto"/>
        <w:contextualSpacing/>
      </w:pPr>
      <w:r>
        <w:t>NRSIs: Cochrane Risk of Bias in Non-randomised Studies of Interventions tool (ROBINS-I)</w:t>
      </w:r>
    </w:p>
    <w:p w14:paraId="25A3859F" w14:textId="77777777" w:rsidR="00E315C1" w:rsidRPr="009B1086" w:rsidRDefault="00E315C1" w:rsidP="00E315C1">
      <w:pPr>
        <w:pStyle w:val="ListParagraph"/>
        <w:numPr>
          <w:ilvl w:val="0"/>
          <w:numId w:val="36"/>
        </w:numPr>
        <w:spacing w:before="0" w:after="160" w:line="259" w:lineRule="auto"/>
        <w:contextualSpacing/>
      </w:pPr>
      <w:r>
        <w:t xml:space="preserve">Observational studies: Risk of </w:t>
      </w:r>
      <w:proofErr w:type="spellStart"/>
      <w:r>
        <w:t>bIas</w:t>
      </w:r>
      <w:proofErr w:type="spellEnd"/>
      <w:r>
        <w:t xml:space="preserve"> for Nutrition Observational Studies tool, adapted from ROBINS-I by the US Nutrition Evidence Systematic Review team to assess risk of bias in observational studies in nutrition (</w:t>
      </w:r>
      <w:proofErr w:type="spellStart"/>
      <w:r>
        <w:t>RoB-NObs</w:t>
      </w:r>
      <w:proofErr w:type="spellEnd"/>
      <w:r>
        <w:t>).</w:t>
      </w:r>
    </w:p>
    <w:p w14:paraId="0D49F8FC" w14:textId="77777777" w:rsidR="00E315C1" w:rsidRDefault="00E315C1" w:rsidP="00E315C1">
      <w:pPr>
        <w:rPr>
          <w:rFonts w:eastAsiaTheme="majorEastAsia" w:cstheme="majorBidi"/>
          <w:color w:val="379AC4" w:themeColor="accent1" w:themeShade="BF"/>
          <w:sz w:val="24"/>
          <w:szCs w:val="28"/>
        </w:rPr>
      </w:pPr>
      <w:r>
        <w:t>The key characteristics and risk of bias of primary studies are presented in Appendix D, adapted from data provided by the IPAN evidence review contractors.</w:t>
      </w:r>
      <w:r>
        <w:br w:type="page"/>
      </w:r>
    </w:p>
    <w:p w14:paraId="54728371" w14:textId="0B47C886" w:rsidR="00E315C1" w:rsidRDefault="00E315C1" w:rsidP="00E315C1">
      <w:pPr>
        <w:pStyle w:val="TableTitle"/>
      </w:pPr>
      <w:r>
        <w:lastRenderedPageBreak/>
        <w:t>Inclusion criteria (Source: NHMRC commissioned evidence evaluation, conducted by Deakin University IPAN)</w:t>
      </w:r>
    </w:p>
    <w:tbl>
      <w:tblPr>
        <w:tblStyle w:val="DefaultTable1"/>
        <w:tblW w:w="13745" w:type="dxa"/>
        <w:jc w:val="center"/>
        <w:tblInd w:w="0" w:type="dxa"/>
        <w:tblLook w:val="0620" w:firstRow="1" w:lastRow="0" w:firstColumn="0" w:lastColumn="0" w:noHBand="1" w:noVBand="1"/>
      </w:tblPr>
      <w:tblGrid>
        <w:gridCol w:w="1980"/>
        <w:gridCol w:w="6003"/>
        <w:gridCol w:w="5762"/>
      </w:tblGrid>
      <w:tr w:rsidR="00E315C1" w14:paraId="5C65035E" w14:textId="77777777" w:rsidTr="00510FCB">
        <w:trPr>
          <w:cnfStyle w:val="100000000000" w:firstRow="1" w:lastRow="0" w:firstColumn="0" w:lastColumn="0" w:oddVBand="0" w:evenVBand="0" w:oddHBand="0" w:evenHBand="0" w:firstRowFirstColumn="0" w:firstRowLastColumn="0" w:lastRowFirstColumn="0" w:lastRowLastColumn="0"/>
          <w:jc w:val="center"/>
        </w:trPr>
        <w:tc>
          <w:tcPr>
            <w:tcW w:w="1980" w:type="dxa"/>
          </w:tcPr>
          <w:p w14:paraId="482974A5" w14:textId="77777777" w:rsidR="00E315C1" w:rsidRDefault="00E315C1" w:rsidP="00510FCB">
            <w:pPr>
              <w:spacing w:before="0" w:after="20"/>
            </w:pPr>
          </w:p>
        </w:tc>
        <w:tc>
          <w:tcPr>
            <w:tcW w:w="6003" w:type="dxa"/>
          </w:tcPr>
          <w:p w14:paraId="796CBBAC" w14:textId="77777777" w:rsidR="00E315C1" w:rsidRPr="00F16212" w:rsidRDefault="00E315C1" w:rsidP="00510FCB">
            <w:pPr>
              <w:spacing w:before="0" w:after="20"/>
              <w:rPr>
                <w:b w:val="0"/>
                <w:bCs w:val="0"/>
              </w:rPr>
            </w:pPr>
            <w:r w:rsidRPr="00F16212">
              <w:rPr>
                <w:b w:val="0"/>
                <w:bCs w:val="0"/>
              </w:rPr>
              <w:t>Intervention studies</w:t>
            </w:r>
          </w:p>
        </w:tc>
        <w:tc>
          <w:tcPr>
            <w:tcW w:w="5762" w:type="dxa"/>
          </w:tcPr>
          <w:p w14:paraId="5B68BE9A" w14:textId="77777777" w:rsidR="00E315C1" w:rsidRPr="00F16212" w:rsidRDefault="00E315C1" w:rsidP="00510FCB">
            <w:pPr>
              <w:spacing w:before="0" w:after="20"/>
              <w:rPr>
                <w:b w:val="0"/>
                <w:bCs w:val="0"/>
              </w:rPr>
            </w:pPr>
            <w:r w:rsidRPr="00F16212">
              <w:rPr>
                <w:b w:val="0"/>
                <w:bCs w:val="0"/>
              </w:rPr>
              <w:t>Observational studies</w:t>
            </w:r>
          </w:p>
        </w:tc>
      </w:tr>
      <w:tr w:rsidR="00E315C1" w14:paraId="0C0B4701" w14:textId="77777777" w:rsidTr="00510FCB">
        <w:trPr>
          <w:jc w:val="center"/>
        </w:trPr>
        <w:tc>
          <w:tcPr>
            <w:tcW w:w="1980" w:type="dxa"/>
            <w:tcBorders>
              <w:right w:val="nil"/>
            </w:tcBorders>
          </w:tcPr>
          <w:p w14:paraId="2A3F1CCB" w14:textId="77777777" w:rsidR="00E315C1" w:rsidRPr="00F16212" w:rsidRDefault="00E315C1" w:rsidP="00510FCB">
            <w:pPr>
              <w:spacing w:before="0" w:after="20"/>
              <w:rPr>
                <w:b/>
                <w:bCs/>
              </w:rPr>
            </w:pPr>
            <w:r w:rsidRPr="00F16212">
              <w:t>Study designs:</w:t>
            </w:r>
          </w:p>
        </w:tc>
        <w:tc>
          <w:tcPr>
            <w:tcW w:w="6003" w:type="dxa"/>
            <w:tcBorders>
              <w:left w:val="nil"/>
              <w:right w:val="nil"/>
            </w:tcBorders>
          </w:tcPr>
          <w:p w14:paraId="524063F3" w14:textId="77777777" w:rsidR="00E315C1" w:rsidRDefault="00E315C1" w:rsidP="00510FCB">
            <w:pPr>
              <w:pStyle w:val="ListParagraph"/>
              <w:numPr>
                <w:ilvl w:val="0"/>
                <w:numId w:val="27"/>
              </w:numPr>
              <w:spacing w:before="0" w:after="20" w:line="240" w:lineRule="auto"/>
              <w:ind w:left="415"/>
              <w:contextualSpacing/>
            </w:pPr>
            <w:r w:rsidRPr="004446D9">
              <w:t>Randomised controlled trials (RCTs) with parallel, crossover or 2 x 2 factorial design</w:t>
            </w:r>
          </w:p>
          <w:p w14:paraId="0B4730B4" w14:textId="77777777" w:rsidR="00E315C1" w:rsidRDefault="00E315C1" w:rsidP="00510FCB">
            <w:pPr>
              <w:pStyle w:val="ListParagraph"/>
              <w:numPr>
                <w:ilvl w:val="0"/>
                <w:numId w:val="27"/>
              </w:numPr>
              <w:spacing w:before="0" w:after="20" w:line="240" w:lineRule="auto"/>
              <w:ind w:left="415"/>
              <w:contextualSpacing/>
            </w:pPr>
            <w:r>
              <w:t>Q</w:t>
            </w:r>
            <w:r w:rsidRPr="004446D9">
              <w:t>uasi-randomised studies</w:t>
            </w:r>
          </w:p>
        </w:tc>
        <w:tc>
          <w:tcPr>
            <w:tcW w:w="5762" w:type="dxa"/>
            <w:tcBorders>
              <w:left w:val="nil"/>
            </w:tcBorders>
          </w:tcPr>
          <w:p w14:paraId="4524318C" w14:textId="77777777" w:rsidR="00E315C1" w:rsidRDefault="00E315C1" w:rsidP="00510FCB">
            <w:pPr>
              <w:pStyle w:val="ListParagraph"/>
              <w:numPr>
                <w:ilvl w:val="0"/>
                <w:numId w:val="27"/>
              </w:numPr>
              <w:spacing w:before="0" w:after="20" w:line="240" w:lineRule="auto"/>
              <w:contextualSpacing/>
            </w:pPr>
            <w:r w:rsidRPr="004446D9">
              <w:t>Prospective cohort studies</w:t>
            </w:r>
          </w:p>
          <w:p w14:paraId="188D9EA1" w14:textId="77777777" w:rsidR="00E315C1" w:rsidRPr="004446D9" w:rsidRDefault="00E315C1" w:rsidP="00510FCB">
            <w:pPr>
              <w:pStyle w:val="ListParagraph"/>
              <w:numPr>
                <w:ilvl w:val="0"/>
                <w:numId w:val="27"/>
              </w:numPr>
              <w:spacing w:before="0" w:after="20" w:line="240" w:lineRule="auto"/>
              <w:contextualSpacing/>
            </w:pPr>
            <w:r>
              <w:t>C</w:t>
            </w:r>
            <w:r w:rsidRPr="004446D9">
              <w:t>ase-control studies</w:t>
            </w:r>
          </w:p>
        </w:tc>
      </w:tr>
      <w:tr w:rsidR="00E315C1" w14:paraId="14B57C79" w14:textId="77777777" w:rsidTr="00510FCB">
        <w:trPr>
          <w:jc w:val="center"/>
        </w:trPr>
        <w:tc>
          <w:tcPr>
            <w:tcW w:w="1980" w:type="dxa"/>
            <w:tcBorders>
              <w:right w:val="nil"/>
            </w:tcBorders>
          </w:tcPr>
          <w:p w14:paraId="27AFB3E7" w14:textId="77777777" w:rsidR="00E315C1" w:rsidRPr="00F16212" w:rsidRDefault="00E315C1" w:rsidP="00510FCB">
            <w:pPr>
              <w:spacing w:before="0" w:after="20"/>
              <w:rPr>
                <w:b/>
                <w:bCs/>
              </w:rPr>
            </w:pPr>
            <w:r w:rsidRPr="00F16212">
              <w:t xml:space="preserve">Intervention / Exposure and </w:t>
            </w:r>
          </w:p>
        </w:tc>
        <w:tc>
          <w:tcPr>
            <w:tcW w:w="6003" w:type="dxa"/>
            <w:tcBorders>
              <w:left w:val="nil"/>
              <w:right w:val="nil"/>
            </w:tcBorders>
          </w:tcPr>
          <w:p w14:paraId="1A9563C9" w14:textId="77777777" w:rsidR="00E315C1" w:rsidRPr="004446D9" w:rsidRDefault="00E315C1" w:rsidP="00510FCB">
            <w:pPr>
              <w:spacing w:before="0" w:after="20"/>
            </w:pPr>
            <w:r w:rsidRPr="004446D9">
              <w:t>Known iodine dose either through supplementation or iodine enriched food/drink or placebo</w:t>
            </w:r>
          </w:p>
          <w:p w14:paraId="7021D8B4" w14:textId="77777777" w:rsidR="00E315C1" w:rsidRDefault="00E315C1" w:rsidP="00510FCB">
            <w:pPr>
              <w:spacing w:before="0" w:after="20"/>
            </w:pPr>
          </w:p>
        </w:tc>
        <w:tc>
          <w:tcPr>
            <w:tcW w:w="5762" w:type="dxa"/>
            <w:tcBorders>
              <w:left w:val="nil"/>
            </w:tcBorders>
          </w:tcPr>
          <w:p w14:paraId="5D83648E" w14:textId="77777777" w:rsidR="00E315C1" w:rsidRPr="004446D9" w:rsidRDefault="00E315C1" w:rsidP="00510FCB">
            <w:pPr>
              <w:spacing w:before="0" w:after="20"/>
            </w:pPr>
            <w:r w:rsidRPr="004446D9">
              <w:t>Iodine intake from all sources (including dietary, supplements, water and medications), measured as urinary iodine excretion (</w:t>
            </w:r>
            <w:proofErr w:type="spellStart"/>
            <w:r w:rsidRPr="004446D9">
              <w:t>μg</w:t>
            </w:r>
            <w:proofErr w:type="spellEnd"/>
            <w:r w:rsidRPr="004446D9">
              <w:t>/day), concentration (</w:t>
            </w:r>
            <w:proofErr w:type="spellStart"/>
            <w:r w:rsidRPr="004446D9">
              <w:t>μg</w:t>
            </w:r>
            <w:proofErr w:type="spellEnd"/>
            <w:r w:rsidRPr="004446D9">
              <w:t xml:space="preserve">/L), or </w:t>
            </w:r>
            <w:proofErr w:type="spellStart"/>
            <w:r w:rsidRPr="004446D9">
              <w:t>μg</w:t>
            </w:r>
            <w:proofErr w:type="spellEnd"/>
            <w:r w:rsidRPr="004446D9">
              <w:t xml:space="preserve"> iodine/g creatinine ratio</w:t>
            </w:r>
          </w:p>
        </w:tc>
      </w:tr>
      <w:tr w:rsidR="00E315C1" w14:paraId="5E38481E" w14:textId="77777777" w:rsidTr="00510FCB">
        <w:trPr>
          <w:jc w:val="center"/>
        </w:trPr>
        <w:tc>
          <w:tcPr>
            <w:tcW w:w="1980" w:type="dxa"/>
            <w:tcBorders>
              <w:right w:val="nil"/>
            </w:tcBorders>
          </w:tcPr>
          <w:p w14:paraId="1174DC1E" w14:textId="77777777" w:rsidR="00E315C1" w:rsidRPr="00F16212" w:rsidRDefault="00E315C1" w:rsidP="00510FCB">
            <w:pPr>
              <w:spacing w:before="0" w:after="20"/>
              <w:rPr>
                <w:b/>
                <w:bCs/>
              </w:rPr>
            </w:pPr>
            <w:r w:rsidRPr="00F16212">
              <w:t>Comparators:</w:t>
            </w:r>
          </w:p>
        </w:tc>
        <w:tc>
          <w:tcPr>
            <w:tcW w:w="6003" w:type="dxa"/>
            <w:tcBorders>
              <w:left w:val="nil"/>
              <w:right w:val="nil"/>
            </w:tcBorders>
          </w:tcPr>
          <w:p w14:paraId="1C5221CB" w14:textId="0573447F" w:rsidR="00E315C1" w:rsidRDefault="00E315C1" w:rsidP="00510FCB">
            <w:pPr>
              <w:spacing w:before="0" w:after="20"/>
            </w:pPr>
            <w:r w:rsidRPr="004446D9">
              <w:t>One or more comparison arm/s with different intake/s of iodine</w:t>
            </w:r>
          </w:p>
        </w:tc>
        <w:tc>
          <w:tcPr>
            <w:tcW w:w="5762" w:type="dxa"/>
            <w:tcBorders>
              <w:left w:val="nil"/>
            </w:tcBorders>
          </w:tcPr>
          <w:p w14:paraId="15E71C60" w14:textId="77777777" w:rsidR="00E315C1" w:rsidRPr="004446D9" w:rsidRDefault="00E315C1" w:rsidP="00510FCB">
            <w:pPr>
              <w:spacing w:before="0" w:after="20"/>
            </w:pPr>
            <w:r w:rsidRPr="004446D9">
              <w:t xml:space="preserve">Different </w:t>
            </w:r>
            <w:r>
              <w:t xml:space="preserve">level of </w:t>
            </w:r>
            <w:r w:rsidRPr="004446D9">
              <w:t>iodine</w:t>
            </w:r>
            <w:r>
              <w:t xml:space="preserve"> exposure</w:t>
            </w:r>
          </w:p>
        </w:tc>
      </w:tr>
      <w:tr w:rsidR="00E315C1" w14:paraId="1BBE67DF" w14:textId="77777777" w:rsidTr="00510FCB">
        <w:trPr>
          <w:jc w:val="center"/>
        </w:trPr>
        <w:tc>
          <w:tcPr>
            <w:tcW w:w="1980" w:type="dxa"/>
            <w:tcBorders>
              <w:right w:val="nil"/>
            </w:tcBorders>
          </w:tcPr>
          <w:p w14:paraId="30339E69" w14:textId="77777777" w:rsidR="00E315C1" w:rsidRPr="00F16212" w:rsidRDefault="00E315C1" w:rsidP="00510FCB">
            <w:pPr>
              <w:spacing w:before="0" w:after="20"/>
              <w:rPr>
                <w:b/>
                <w:bCs/>
              </w:rPr>
            </w:pPr>
            <w:r w:rsidRPr="00F16212">
              <w:t>Populations:</w:t>
            </w:r>
          </w:p>
        </w:tc>
        <w:tc>
          <w:tcPr>
            <w:tcW w:w="11765" w:type="dxa"/>
            <w:gridSpan w:val="2"/>
            <w:tcBorders>
              <w:left w:val="nil"/>
            </w:tcBorders>
          </w:tcPr>
          <w:p w14:paraId="4750F11E" w14:textId="77777777" w:rsidR="00E315C1" w:rsidRDefault="00E315C1" w:rsidP="00510FCB">
            <w:pPr>
              <w:spacing w:before="0" w:after="20"/>
            </w:pPr>
            <w:r w:rsidRPr="00517E2B">
              <w:t>Only studies conducted in humans involving free-living, population-based recruitment</w:t>
            </w:r>
            <w:r>
              <w:t>,</w:t>
            </w:r>
            <w:r w:rsidRPr="00517E2B">
              <w:t xml:space="preserve"> </w:t>
            </w:r>
            <w:r>
              <w:t xml:space="preserve">involving </w:t>
            </w:r>
            <w:r w:rsidRPr="00517E2B">
              <w:t>group</w:t>
            </w:r>
            <w:r>
              <w:t>s</w:t>
            </w:r>
            <w:r w:rsidRPr="00517E2B">
              <w:t xml:space="preserve"> </w:t>
            </w:r>
            <w:r>
              <w:t xml:space="preserve">not specifically recruited </w:t>
            </w:r>
            <w:proofErr w:type="gramStart"/>
            <w:r>
              <w:t>on the basis of</w:t>
            </w:r>
            <w:proofErr w:type="gramEnd"/>
            <w:r>
              <w:t xml:space="preserve"> health status/</w:t>
            </w:r>
            <w:r w:rsidRPr="00517E2B">
              <w:t>condition</w:t>
            </w:r>
            <w:r>
              <w:t>,</w:t>
            </w:r>
            <w:r w:rsidRPr="00517E2B">
              <w:t xml:space="preserve"> were included.</w:t>
            </w:r>
          </w:p>
          <w:p w14:paraId="073EF6FA" w14:textId="77777777" w:rsidR="00E315C1" w:rsidRDefault="00E315C1" w:rsidP="00510FCB">
            <w:pPr>
              <w:spacing w:before="0" w:after="20"/>
              <w:rPr>
                <w:rFonts w:cstheme="minorHAnsi"/>
              </w:rPr>
            </w:pPr>
            <w:r>
              <w:rPr>
                <w:rFonts w:cstheme="minorHAnsi"/>
              </w:rPr>
              <w:t xml:space="preserve">Population groups included: </w:t>
            </w:r>
          </w:p>
          <w:p w14:paraId="15957797" w14:textId="77777777" w:rsidR="00E315C1" w:rsidRPr="00A57B4E" w:rsidRDefault="00E315C1" w:rsidP="00510FCB">
            <w:pPr>
              <w:pStyle w:val="ListParagraph"/>
              <w:numPr>
                <w:ilvl w:val="0"/>
                <w:numId w:val="27"/>
              </w:numPr>
              <w:spacing w:before="0" w:after="20" w:line="240" w:lineRule="auto"/>
              <w:ind w:left="415"/>
              <w:contextualSpacing/>
            </w:pPr>
            <w:r>
              <w:t>A</w:t>
            </w:r>
            <w:r w:rsidRPr="00A57B4E">
              <w:t>dults</w:t>
            </w:r>
            <w:r w:rsidRPr="00A57B4E">
              <w:rPr>
                <w:rFonts w:cstheme="minorHAnsi"/>
              </w:rPr>
              <w:t xml:space="preserve"> (</w:t>
            </w:r>
            <w:r>
              <w:rPr>
                <w:rFonts w:cstheme="minorHAnsi"/>
              </w:rPr>
              <w:t xml:space="preserve">including </w:t>
            </w:r>
            <w:r w:rsidRPr="00A57B4E">
              <w:rPr>
                <w:rFonts w:cstheme="minorHAnsi"/>
              </w:rPr>
              <w:t>older adults aged 70+ years)</w:t>
            </w:r>
          </w:p>
          <w:p w14:paraId="22199A1F" w14:textId="77777777" w:rsidR="00E315C1" w:rsidRPr="00A57B4E" w:rsidRDefault="00E315C1" w:rsidP="00510FCB">
            <w:pPr>
              <w:pStyle w:val="ListParagraph"/>
              <w:numPr>
                <w:ilvl w:val="0"/>
                <w:numId w:val="27"/>
              </w:numPr>
              <w:spacing w:before="0" w:after="20" w:line="240" w:lineRule="auto"/>
              <w:ind w:left="415"/>
              <w:contextualSpacing/>
            </w:pPr>
            <w:r>
              <w:rPr>
                <w:rFonts w:cstheme="minorHAnsi"/>
              </w:rPr>
              <w:t>P</w:t>
            </w:r>
            <w:r w:rsidRPr="00A57B4E">
              <w:rPr>
                <w:rFonts w:cstheme="minorHAnsi"/>
              </w:rPr>
              <w:t>regnant women</w:t>
            </w:r>
            <w:r>
              <w:rPr>
                <w:rFonts w:cstheme="minorHAnsi"/>
              </w:rPr>
              <w:t xml:space="preserve"> </w:t>
            </w:r>
            <w:r>
              <w:rPr>
                <w:rFonts w:cstheme="minorHAnsi"/>
                <w:i/>
                <w:iCs/>
              </w:rPr>
              <w:t>(limited to studies published since 2016)</w:t>
            </w:r>
          </w:p>
          <w:p w14:paraId="4B3A6EED" w14:textId="77777777" w:rsidR="00E315C1" w:rsidRPr="00A57B4E" w:rsidRDefault="00E315C1" w:rsidP="00510FCB">
            <w:pPr>
              <w:pStyle w:val="ListParagraph"/>
              <w:numPr>
                <w:ilvl w:val="0"/>
                <w:numId w:val="27"/>
              </w:numPr>
              <w:spacing w:before="0" w:after="20" w:line="240" w:lineRule="auto"/>
              <w:ind w:left="415"/>
              <w:contextualSpacing/>
            </w:pPr>
            <w:r>
              <w:rPr>
                <w:rFonts w:cstheme="minorHAnsi"/>
              </w:rPr>
              <w:t>C</w:t>
            </w:r>
            <w:r w:rsidRPr="00A57B4E">
              <w:rPr>
                <w:rFonts w:cstheme="minorHAnsi"/>
              </w:rPr>
              <w:t>hildren and adolescents (aged 1</w:t>
            </w:r>
            <w:r>
              <w:rPr>
                <w:rFonts w:cstheme="minorHAnsi"/>
              </w:rPr>
              <w:t xml:space="preserve"> to</w:t>
            </w:r>
            <w:r w:rsidRPr="00A57B4E">
              <w:rPr>
                <w:rFonts w:cstheme="minorHAnsi"/>
              </w:rPr>
              <w:t>18 years)</w:t>
            </w:r>
          </w:p>
        </w:tc>
      </w:tr>
      <w:tr w:rsidR="00E315C1" w14:paraId="1F7DC1F1" w14:textId="77777777" w:rsidTr="00510FCB">
        <w:trPr>
          <w:jc w:val="center"/>
        </w:trPr>
        <w:tc>
          <w:tcPr>
            <w:tcW w:w="1980" w:type="dxa"/>
            <w:tcBorders>
              <w:right w:val="nil"/>
            </w:tcBorders>
          </w:tcPr>
          <w:p w14:paraId="72A38D75" w14:textId="77777777" w:rsidR="00E315C1" w:rsidRPr="00F16212" w:rsidRDefault="00E315C1" w:rsidP="00510FCB">
            <w:pPr>
              <w:spacing w:before="0" w:after="20"/>
              <w:rPr>
                <w:b/>
                <w:bCs/>
              </w:rPr>
            </w:pPr>
            <w:r w:rsidRPr="00F16212">
              <w:t>Outcomes:</w:t>
            </w:r>
          </w:p>
        </w:tc>
        <w:tc>
          <w:tcPr>
            <w:tcW w:w="11765" w:type="dxa"/>
            <w:gridSpan w:val="2"/>
            <w:tcBorders>
              <w:left w:val="nil"/>
            </w:tcBorders>
          </w:tcPr>
          <w:p w14:paraId="0776AB3B" w14:textId="77777777" w:rsidR="00E315C1" w:rsidRPr="00D0164C" w:rsidRDefault="00E315C1" w:rsidP="00510FCB">
            <w:pPr>
              <w:spacing w:before="0" w:after="20"/>
              <w:rPr>
                <w:u w:val="single"/>
              </w:rPr>
            </w:pPr>
            <w:r w:rsidRPr="00D0164C">
              <w:rPr>
                <w:u w:val="single"/>
              </w:rPr>
              <w:t>All populations:</w:t>
            </w:r>
          </w:p>
          <w:p w14:paraId="6E93B54C" w14:textId="77777777" w:rsidR="00E315C1" w:rsidRPr="00D0164C" w:rsidRDefault="00E315C1" w:rsidP="00510FCB">
            <w:pPr>
              <w:pStyle w:val="ListParagraph"/>
              <w:numPr>
                <w:ilvl w:val="0"/>
                <w:numId w:val="27"/>
              </w:numPr>
              <w:spacing w:before="0" w:after="20" w:line="240" w:lineRule="auto"/>
              <w:ind w:left="415"/>
              <w:contextualSpacing/>
            </w:pPr>
            <w:r w:rsidRPr="00D0164C">
              <w:t>Iodine status, measured as UIE (</w:t>
            </w:r>
            <w:proofErr w:type="spellStart"/>
            <w:r w:rsidRPr="00D0164C">
              <w:t>μg</w:t>
            </w:r>
            <w:proofErr w:type="spellEnd"/>
            <w:r w:rsidRPr="00D0164C">
              <w:t>/day), UIC (</w:t>
            </w:r>
            <w:proofErr w:type="spellStart"/>
            <w:r w:rsidRPr="00D0164C">
              <w:t>μg</w:t>
            </w:r>
            <w:proofErr w:type="spellEnd"/>
            <w:r w:rsidRPr="00D0164C">
              <w:t xml:space="preserve">/L), </w:t>
            </w:r>
            <w:proofErr w:type="spellStart"/>
            <w:r w:rsidRPr="00D0164C">
              <w:t>μg</w:t>
            </w:r>
            <w:proofErr w:type="spellEnd"/>
            <w:r w:rsidRPr="00D0164C">
              <w:t xml:space="preserve"> iodine/g creatinine ratio </w:t>
            </w:r>
            <w:r>
              <w:rPr>
                <w:i/>
                <w:iCs/>
              </w:rPr>
              <w:t>(intervention studies only)</w:t>
            </w:r>
          </w:p>
          <w:p w14:paraId="339F0DA9" w14:textId="77777777" w:rsidR="00E315C1" w:rsidRPr="00D0164C" w:rsidRDefault="00E315C1" w:rsidP="00510FCB">
            <w:pPr>
              <w:pStyle w:val="ListParagraph"/>
              <w:numPr>
                <w:ilvl w:val="0"/>
                <w:numId w:val="27"/>
              </w:numPr>
              <w:spacing w:before="0" w:after="20" w:line="240" w:lineRule="auto"/>
              <w:ind w:left="415"/>
              <w:contextualSpacing/>
            </w:pPr>
            <w:r w:rsidRPr="00D0164C">
              <w:t>Elevated TSH</w:t>
            </w:r>
          </w:p>
          <w:p w14:paraId="77DBD958" w14:textId="77777777" w:rsidR="00E315C1" w:rsidRPr="00D0164C" w:rsidRDefault="00E315C1" w:rsidP="00510FCB">
            <w:pPr>
              <w:pStyle w:val="ListParagraph"/>
              <w:numPr>
                <w:ilvl w:val="0"/>
                <w:numId w:val="27"/>
              </w:numPr>
              <w:spacing w:before="0" w:after="20" w:line="240" w:lineRule="auto"/>
              <w:ind w:left="415"/>
              <w:contextualSpacing/>
            </w:pPr>
            <w:r w:rsidRPr="00D0164C">
              <w:t>Thyroid function, as measured by free thyroid hormone T4, and/or thyroglobulin (TG)</w:t>
            </w:r>
          </w:p>
          <w:p w14:paraId="482DF3B6" w14:textId="77777777" w:rsidR="00E315C1" w:rsidRPr="00D0164C" w:rsidRDefault="00E315C1" w:rsidP="00510FCB">
            <w:pPr>
              <w:pStyle w:val="ListParagraph"/>
              <w:numPr>
                <w:ilvl w:val="0"/>
                <w:numId w:val="27"/>
              </w:numPr>
              <w:spacing w:before="0" w:after="20" w:line="240" w:lineRule="auto"/>
              <w:ind w:left="415"/>
              <w:contextualSpacing/>
            </w:pPr>
            <w:r w:rsidRPr="00D0164C">
              <w:t xml:space="preserve">Thyroid volume, as measured by ultrasound </w:t>
            </w:r>
          </w:p>
          <w:p w14:paraId="25EB78F1" w14:textId="77777777" w:rsidR="00E315C1" w:rsidRPr="00D0164C" w:rsidRDefault="00E315C1" w:rsidP="00510FCB">
            <w:pPr>
              <w:pStyle w:val="ListParagraph"/>
              <w:numPr>
                <w:ilvl w:val="0"/>
                <w:numId w:val="27"/>
              </w:numPr>
              <w:spacing w:before="0" w:after="20" w:line="240" w:lineRule="auto"/>
              <w:ind w:left="415"/>
              <w:contextualSpacing/>
            </w:pPr>
            <w:r w:rsidRPr="00D0164C">
              <w:t>Goitre rate, confirmed by ultrasound or palpation</w:t>
            </w:r>
          </w:p>
          <w:p w14:paraId="558B77A3" w14:textId="77777777" w:rsidR="00E315C1" w:rsidRPr="00D0164C" w:rsidRDefault="00E315C1" w:rsidP="00510FCB">
            <w:pPr>
              <w:pStyle w:val="ListParagraph"/>
              <w:numPr>
                <w:ilvl w:val="0"/>
                <w:numId w:val="27"/>
              </w:numPr>
              <w:spacing w:before="0" w:after="20" w:line="240" w:lineRule="auto"/>
              <w:ind w:left="415"/>
              <w:contextualSpacing/>
            </w:pPr>
            <w:r w:rsidRPr="00D0164C">
              <w:t>Thyroid autoimmunity</w:t>
            </w:r>
          </w:p>
          <w:p w14:paraId="627989FF" w14:textId="77777777" w:rsidR="00E315C1" w:rsidRDefault="00E315C1" w:rsidP="00510FCB">
            <w:pPr>
              <w:pStyle w:val="ListParagraph"/>
              <w:numPr>
                <w:ilvl w:val="0"/>
                <w:numId w:val="27"/>
              </w:numPr>
              <w:spacing w:before="0" w:after="20" w:line="240" w:lineRule="auto"/>
              <w:ind w:left="415"/>
              <w:contextualSpacing/>
            </w:pPr>
            <w:r w:rsidRPr="00D0164C">
              <w:t>Thyroid cancer</w:t>
            </w:r>
          </w:p>
          <w:p w14:paraId="6BAFD70C" w14:textId="77777777" w:rsidR="00E315C1" w:rsidRPr="008D3FE1" w:rsidRDefault="00E315C1" w:rsidP="00510FCB">
            <w:pPr>
              <w:keepNext/>
              <w:spacing w:before="0" w:after="20"/>
              <w:rPr>
                <w:u w:val="single"/>
              </w:rPr>
            </w:pPr>
            <w:r w:rsidRPr="008D3FE1">
              <w:rPr>
                <w:u w:val="single"/>
              </w:rPr>
              <w:t xml:space="preserve">Additional outcomes </w:t>
            </w:r>
            <w:r>
              <w:rPr>
                <w:u w:val="single"/>
              </w:rPr>
              <w:t xml:space="preserve">- </w:t>
            </w:r>
            <w:r w:rsidRPr="008D3FE1">
              <w:rPr>
                <w:u w:val="single"/>
              </w:rPr>
              <w:t>children and adolescents</w:t>
            </w:r>
            <w:r>
              <w:rPr>
                <w:u w:val="single"/>
              </w:rPr>
              <w:t xml:space="preserve"> or during pregnancy</w:t>
            </w:r>
            <w:r w:rsidRPr="008D3FE1">
              <w:rPr>
                <w:u w:val="single"/>
              </w:rPr>
              <w:t>:</w:t>
            </w:r>
          </w:p>
          <w:p w14:paraId="53D9D847" w14:textId="77777777" w:rsidR="00E315C1" w:rsidRPr="007A5C84" w:rsidRDefault="00E315C1" w:rsidP="00510FCB">
            <w:pPr>
              <w:pStyle w:val="ListParagraph"/>
              <w:numPr>
                <w:ilvl w:val="0"/>
                <w:numId w:val="27"/>
              </w:numPr>
              <w:spacing w:before="0" w:after="20" w:line="240" w:lineRule="auto"/>
              <w:ind w:left="415"/>
              <w:contextualSpacing/>
            </w:pPr>
            <w:r w:rsidRPr="007A5C84">
              <w:t>Child neurocognitive development (including global neurocognitive development, motor development, mental development, behavioural development, developmental disorders, and school/academic performance)</w:t>
            </w:r>
          </w:p>
          <w:p w14:paraId="674AEB71" w14:textId="77777777" w:rsidR="00E315C1" w:rsidRDefault="00E315C1" w:rsidP="00510FCB">
            <w:pPr>
              <w:spacing w:before="0" w:after="20"/>
              <w:rPr>
                <w:u w:val="single"/>
              </w:rPr>
            </w:pPr>
            <w:r>
              <w:rPr>
                <w:u w:val="single"/>
              </w:rPr>
              <w:t>Additional outcomes - pregnancy only:</w:t>
            </w:r>
          </w:p>
          <w:p w14:paraId="40372B1D" w14:textId="77777777" w:rsidR="00E315C1" w:rsidRDefault="00E315C1" w:rsidP="00510FCB">
            <w:pPr>
              <w:spacing w:before="0" w:after="0"/>
            </w:pPr>
            <w:r w:rsidRPr="001E6D05">
              <w:t>Pregnancy and obstetric outcomes, measured as stillbirth, pre-term birth and neonatal TSH (pregnant people only)</w:t>
            </w:r>
          </w:p>
        </w:tc>
      </w:tr>
    </w:tbl>
    <w:p w14:paraId="4B1B0C2F" w14:textId="77777777" w:rsidR="00510FCB" w:rsidRDefault="00510FCB" w:rsidP="00510FCB">
      <w:pPr>
        <w:spacing w:line="240" w:lineRule="atLeast"/>
        <w:rPr>
          <w:highlight w:val="yellow"/>
        </w:rPr>
        <w:sectPr w:rsidR="00510FCB" w:rsidSect="00510FCB">
          <w:headerReference w:type="even" r:id="rId77"/>
          <w:headerReference w:type="default" r:id="rId78"/>
          <w:footerReference w:type="default" r:id="rId79"/>
          <w:headerReference w:type="first" r:id="rId80"/>
          <w:footerReference w:type="first" r:id="rId81"/>
          <w:pgSz w:w="16838" w:h="11906" w:orient="landscape" w:code="9"/>
          <w:pgMar w:top="907" w:right="1814" w:bottom="1134" w:left="1565" w:header="510" w:footer="510" w:gutter="0"/>
          <w:cols w:space="708"/>
          <w:titlePg/>
          <w:docGrid w:linePitch="360"/>
        </w:sectPr>
      </w:pPr>
    </w:p>
    <w:p w14:paraId="3B22B664" w14:textId="77777777" w:rsidR="00510FCB" w:rsidRDefault="00510FCB" w:rsidP="00510FCB">
      <w:pPr>
        <w:pStyle w:val="Heading4"/>
      </w:pPr>
      <w:bookmarkStart w:id="172" w:name="_Toc210406409"/>
      <w:bookmarkStart w:id="173" w:name="_Toc212567908"/>
      <w:r>
        <w:lastRenderedPageBreak/>
        <w:t>Australian and New Zealand contextual evidence</w:t>
      </w:r>
      <w:bookmarkEnd w:id="172"/>
      <w:bookmarkEnd w:id="173"/>
    </w:p>
    <w:p w14:paraId="3DBBF3A5" w14:textId="77777777" w:rsidR="00510FCB" w:rsidRDefault="00510FCB" w:rsidP="00510FCB">
      <w:r>
        <w:t xml:space="preserve">To supplement the primary studies and systematic reviews obtained, primary studies and data specific to the Australian and New Zealand context were sought. This included primary studies conducted in Australia or New Zealand, or population or </w:t>
      </w:r>
      <w:proofErr w:type="spellStart"/>
      <w:r>
        <w:t>modeling</w:t>
      </w:r>
      <w:proofErr w:type="spellEnd"/>
      <w:r>
        <w:t xml:space="preserve"> data published by the Australian Bureau of Statistics, Australian Institute of Health and Welfare, New Zealand Ministry of Health or Food Standards Australia New Zealand.</w:t>
      </w:r>
    </w:p>
    <w:p w14:paraId="792CD6FD" w14:textId="40926B5F" w:rsidR="00510FCB" w:rsidRDefault="00510FCB" w:rsidP="00510FCB">
      <w:r>
        <w:t>Relevant literature was obtained via targeted searches of databases, government websites, and grey literature searches.</w:t>
      </w:r>
    </w:p>
    <w:p w14:paraId="4C2DF7BF" w14:textId="77777777" w:rsidR="00510FCB" w:rsidRDefault="00510FCB">
      <w:pPr>
        <w:spacing w:line="240" w:lineRule="atLeast"/>
      </w:pPr>
      <w:r>
        <w:br w:type="page"/>
      </w:r>
    </w:p>
    <w:p w14:paraId="141AE30B" w14:textId="7D21017B" w:rsidR="00A17289" w:rsidRDefault="00A17289" w:rsidP="00A17289">
      <w:pPr>
        <w:pStyle w:val="Heading2"/>
        <w:spacing w:before="0" w:after="0"/>
      </w:pPr>
      <w:bookmarkStart w:id="174" w:name="_Toc210406410"/>
      <w:bookmarkStart w:id="175" w:name="_Toc212567909"/>
      <w:bookmarkStart w:id="176" w:name="_Ref208829552"/>
      <w:r>
        <w:lastRenderedPageBreak/>
        <w:t>Appendix B - Supplementary analyses</w:t>
      </w:r>
      <w:bookmarkEnd w:id="174"/>
      <w:bookmarkEnd w:id="175"/>
    </w:p>
    <w:p w14:paraId="6684D1F8" w14:textId="77777777" w:rsidR="00A17289" w:rsidRDefault="00A17289" w:rsidP="00A17289">
      <w:pPr>
        <w:pStyle w:val="Heading3"/>
      </w:pPr>
      <w:bookmarkStart w:id="177" w:name="_Toc210406411"/>
      <w:bookmarkStart w:id="178" w:name="_Toc212567910"/>
      <w:r>
        <w:t>Sang et al (2012)</w:t>
      </w:r>
      <w:bookmarkEnd w:id="176"/>
      <w:bookmarkEnd w:id="177"/>
      <w:bookmarkEnd w:id="178"/>
    </w:p>
    <w:p w14:paraId="1078010C" w14:textId="77777777" w:rsidR="00A17289" w:rsidRDefault="00A17289" w:rsidP="00391F3D">
      <w:pPr>
        <w:pStyle w:val="NoSpacing"/>
        <w:spacing w:after="0"/>
      </w:pPr>
      <w:r w:rsidRPr="009A2687">
        <w:rPr>
          <w:noProof/>
          <w:lang w:val="en-GB"/>
        </w:rPr>
        <w:drawing>
          <wp:inline distT="0" distB="0" distL="0" distR="0" wp14:anchorId="70A9B74C" wp14:editId="1F8694D0">
            <wp:extent cx="3980329" cy="2861124"/>
            <wp:effectExtent l="0" t="0" r="1270" b="0"/>
            <wp:docPr id="1641115095" name="Picture 17" descr="Linear regression line showing that mean urine iodine excretion of study participants increases steadily as iodine intake increased, suggesting good trial adherence and dietary assessment pract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15095" name="Picture 17" descr="Linear regression line showing that mean urine iodine excretion of study participants increases steadily as iodine intake increased, suggesting good trial adherence and dietary assessment practices. "/>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049040" cy="2910515"/>
                    </a:xfrm>
                    <a:prstGeom prst="rect">
                      <a:avLst/>
                    </a:prstGeom>
                    <a:noFill/>
                    <a:ln>
                      <a:noFill/>
                    </a:ln>
                  </pic:spPr>
                </pic:pic>
              </a:graphicData>
            </a:graphic>
          </wp:inline>
        </w:drawing>
      </w:r>
    </w:p>
    <w:p w14:paraId="46D258C2" w14:textId="0BCB3B78" w:rsidR="00391F3D" w:rsidRPr="00391F3D" w:rsidRDefault="00A17289" w:rsidP="00391F3D">
      <w:pPr>
        <w:pStyle w:val="FigureTitle"/>
        <w:numPr>
          <w:ilvl w:val="0"/>
          <w:numId w:val="40"/>
        </w:numPr>
      </w:pPr>
      <w:r w:rsidRPr="006A13A1">
        <w:t>Mean urinary Iodine excretion with 25th/75th percentiles and total Iodine intakes from 256 euthyroid adults after being randomized to one of twelve Iodine supplementation levels (0-2000ug) for four weeks.</w:t>
      </w:r>
    </w:p>
    <w:p w14:paraId="758D65F4" w14:textId="7EED5B2C" w:rsidR="00391F3D" w:rsidRPr="00391F3D" w:rsidRDefault="00391F3D" w:rsidP="00391F3D">
      <w:pPr>
        <w:rPr>
          <w:lang w:val="en-GB"/>
        </w:rPr>
      </w:pPr>
      <w:r w:rsidRPr="009A2687">
        <w:rPr>
          <w:noProof/>
          <w:lang w:val="en-GB"/>
        </w:rPr>
        <w:drawing>
          <wp:inline distT="0" distB="0" distL="0" distR="0" wp14:anchorId="5BA8182A" wp14:editId="639C793A">
            <wp:extent cx="4195482" cy="3028586"/>
            <wp:effectExtent l="0" t="0" r="0" b="635"/>
            <wp:docPr id="1842775819" name="Picture 16" descr="Linear regression line showing that mean FT3 concentration of study participants decreased steadily as iodine intake increased. All values remained within the normal 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75819" name="Picture 16" descr="Linear regression line showing that mean FT3 concentration of study participants decreased steadily as iodine intake increased. All values remained within the normal range. "/>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245036" cy="3064357"/>
                    </a:xfrm>
                    <a:prstGeom prst="rect">
                      <a:avLst/>
                    </a:prstGeom>
                    <a:noFill/>
                    <a:ln>
                      <a:noFill/>
                    </a:ln>
                  </pic:spPr>
                </pic:pic>
              </a:graphicData>
            </a:graphic>
          </wp:inline>
        </w:drawing>
      </w:r>
    </w:p>
    <w:p w14:paraId="4609B3BC" w14:textId="040EE81E" w:rsidR="00A17289" w:rsidRDefault="00A17289" w:rsidP="00391F3D">
      <w:pPr>
        <w:pStyle w:val="FigureTitle"/>
        <w:numPr>
          <w:ilvl w:val="0"/>
          <w:numId w:val="40"/>
        </w:numPr>
        <w:spacing w:before="0" w:after="0"/>
        <w:rPr>
          <w:rStyle w:val="NoSpacingChar"/>
        </w:rPr>
      </w:pPr>
      <w:r w:rsidRPr="00391F3D">
        <w:rPr>
          <w:rStyle w:val="NoSpacingChar"/>
        </w:rPr>
        <w:t>Mean FT3 concentration with 95% confidence intervals and total Iodine intakes from 256 euthyroid adults after being randomized to one of twelve Iodine supplementation levels (0-2000ug) for four weeks.</w:t>
      </w:r>
    </w:p>
    <w:p w14:paraId="7DF25098" w14:textId="77777777" w:rsidR="00391F3D" w:rsidRPr="00391F3D" w:rsidRDefault="00391F3D" w:rsidP="00391F3D">
      <w:pPr>
        <w:rPr>
          <w:lang w:eastAsia="en-US"/>
        </w:rPr>
      </w:pPr>
    </w:p>
    <w:p w14:paraId="57482572" w14:textId="77777777" w:rsidR="00A17289" w:rsidRDefault="00A17289" w:rsidP="00A17289">
      <w:r w:rsidRPr="00A17289">
        <w:rPr>
          <w:noProof/>
        </w:rPr>
        <w:lastRenderedPageBreak/>
        <w:drawing>
          <wp:inline distT="0" distB="0" distL="0" distR="0" wp14:anchorId="34EC0B97" wp14:editId="3FD1D5A8">
            <wp:extent cx="4161785" cy="2985247"/>
            <wp:effectExtent l="0" t="0" r="0" b="5715"/>
            <wp:docPr id="1841774846" name="Picture 15" descr="Linear regression line showing that mean FT4 concentration of study participants decreased from approximately 18 to 16 pmol/L between total iodine intakes of approximately 375 to 1600 µg/day. At intakes higher than 1600 µg/day, mean FT4 increased slightly, reaching approximately 16.5 pmol/L at the highest intake of 2500 µg/day. All values remained within the normal 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74846" name="Picture 15" descr="Linear regression line showing that mean FT4 concentration of study participants decreased from approximately 18 to 16 pmol/L between total iodine intakes of approximately 375 to 1600 µg/day. At intakes higher than 1600 µg/day, mean FT4 increased slightly, reaching approximately 16.5 pmol/L at the highest intake of 2500 µg/day. All values remained within the normal range. "/>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202258" cy="3014278"/>
                    </a:xfrm>
                    <a:prstGeom prst="rect">
                      <a:avLst/>
                    </a:prstGeom>
                    <a:noFill/>
                    <a:ln>
                      <a:noFill/>
                    </a:ln>
                  </pic:spPr>
                </pic:pic>
              </a:graphicData>
            </a:graphic>
          </wp:inline>
        </w:drawing>
      </w:r>
    </w:p>
    <w:p w14:paraId="2A6991EA" w14:textId="24E0A4A0" w:rsidR="00A17289" w:rsidRPr="00A17289" w:rsidRDefault="00A17289" w:rsidP="00A17289">
      <w:pPr>
        <w:pStyle w:val="FigureTitle"/>
      </w:pPr>
      <w:r w:rsidRPr="006A13A1">
        <w:t>Mean FT4 concentration with 95% confidence intervals and total Iodine intakes from 256 euthyroid adults after being randomized to one of twelve Iodine supplementation levels (0-2000ug) for four weeks.</w:t>
      </w:r>
    </w:p>
    <w:p w14:paraId="2F0F89E9" w14:textId="77777777" w:rsidR="00A17289" w:rsidRDefault="00A17289" w:rsidP="00A17289">
      <w:r w:rsidRPr="009A2687">
        <w:rPr>
          <w:noProof/>
          <w:lang w:val="en-GB"/>
        </w:rPr>
        <w:drawing>
          <wp:inline distT="0" distB="0" distL="0" distR="0" wp14:anchorId="40EB323A" wp14:editId="2E8B3284">
            <wp:extent cx="4383741" cy="3079487"/>
            <wp:effectExtent l="0" t="0" r="0" b="6985"/>
            <wp:docPr id="1460160080" name="Picture 12" descr="Linear regression line showing a reduction in mean thyroid volume (mL) of study participants as total iodine intake increa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60080" name="Picture 12" descr="Linear regression line showing a reduction in mean thyroid volume (mL) of study participants as total iodine intake increased. "/>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442365" cy="3120669"/>
                    </a:xfrm>
                    <a:prstGeom prst="rect">
                      <a:avLst/>
                    </a:prstGeom>
                    <a:noFill/>
                    <a:ln>
                      <a:noFill/>
                    </a:ln>
                  </pic:spPr>
                </pic:pic>
              </a:graphicData>
            </a:graphic>
          </wp:inline>
        </w:drawing>
      </w:r>
    </w:p>
    <w:p w14:paraId="6FD596D5" w14:textId="77777777" w:rsidR="00510FCB" w:rsidRDefault="00A17289" w:rsidP="00A17289">
      <w:pPr>
        <w:pStyle w:val="FigureTitle"/>
        <w:numPr>
          <w:ilvl w:val="0"/>
          <w:numId w:val="41"/>
        </w:numPr>
        <w:rPr>
          <w:lang w:val="en-GB"/>
        </w:rPr>
      </w:pPr>
      <w:r w:rsidRPr="002A56A1">
        <w:t>Mean thyroid volume (ml) with 95% confidence intervals and total Iodine intakes from 179 euthyroid adults after being randomized to one of eight Iodine supplementation levels (0-2000ug) for four weeks.</w:t>
      </w:r>
    </w:p>
    <w:p w14:paraId="0DCC7EA4" w14:textId="77777777" w:rsidR="00A17289" w:rsidRDefault="00A17289" w:rsidP="00A17289">
      <w:pPr>
        <w:rPr>
          <w:lang w:val="en-GB"/>
        </w:rPr>
      </w:pPr>
    </w:p>
    <w:p w14:paraId="51599C84" w14:textId="77777777" w:rsidR="00A17289" w:rsidRDefault="00A17289" w:rsidP="00A17289">
      <w:pPr>
        <w:rPr>
          <w:lang w:val="en-GB"/>
        </w:rPr>
      </w:pPr>
    </w:p>
    <w:p w14:paraId="23758B8F" w14:textId="77777777" w:rsidR="00A17289" w:rsidRDefault="00A17289" w:rsidP="00AB2A07">
      <w:r w:rsidRPr="009A2687">
        <w:rPr>
          <w:noProof/>
          <w:lang w:val="en-GB"/>
        </w:rPr>
        <w:lastRenderedPageBreak/>
        <w:drawing>
          <wp:inline distT="0" distB="0" distL="0" distR="0" wp14:anchorId="5C3DFCAA" wp14:editId="5112E67D">
            <wp:extent cx="5233670" cy="3738335"/>
            <wp:effectExtent l="0" t="0" r="5080" b="0"/>
            <wp:docPr id="1678091199" name="Picture 11" descr="Linear regression line showing a reduction in change in thyroid volume of study participants as total iodine intake increa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91199" name="Picture 11" descr="Linear regression line showing a reduction in change in thyroid volume of study participants as total iodine intake increased. "/>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59635" cy="3756881"/>
                    </a:xfrm>
                    <a:prstGeom prst="rect">
                      <a:avLst/>
                    </a:prstGeom>
                    <a:noFill/>
                    <a:ln>
                      <a:noFill/>
                    </a:ln>
                  </pic:spPr>
                </pic:pic>
              </a:graphicData>
            </a:graphic>
          </wp:inline>
        </w:drawing>
      </w:r>
    </w:p>
    <w:p w14:paraId="6F77A691" w14:textId="3C9F3221" w:rsidR="00A17289" w:rsidRDefault="00A17289" w:rsidP="00A17289">
      <w:pPr>
        <w:pStyle w:val="FigureTitle"/>
        <w:sectPr w:rsidR="00A17289" w:rsidSect="00A17289">
          <w:headerReference w:type="even" r:id="rId87"/>
          <w:headerReference w:type="default" r:id="rId88"/>
          <w:footerReference w:type="default" r:id="rId89"/>
          <w:headerReference w:type="first" r:id="rId90"/>
          <w:footnotePr>
            <w:pos w:val="beneathText"/>
          </w:footnotePr>
          <w:pgSz w:w="11906" w:h="16838"/>
          <w:pgMar w:top="-1701" w:right="1440" w:bottom="1440" w:left="1440" w:header="510" w:footer="510" w:gutter="0"/>
          <w:cols w:space="708"/>
          <w:docGrid w:linePitch="360"/>
        </w:sectPr>
      </w:pPr>
      <w:r w:rsidRPr="00C37688">
        <w:t>Change in thyroid volume with 95% confidence intervals and total Iodine intakes over four weeks in 179 euthyroid adults randomized to one of eight Iodine supplementation levels (0-2000ug</w:t>
      </w:r>
    </w:p>
    <w:p w14:paraId="2BDD60C8" w14:textId="77777777" w:rsidR="00B01069" w:rsidRDefault="00B01069" w:rsidP="00B01069">
      <w:pPr>
        <w:pStyle w:val="Heading2"/>
      </w:pPr>
      <w:bookmarkStart w:id="179" w:name="_Ref208829459"/>
      <w:bookmarkStart w:id="180" w:name="_Toc210406412"/>
      <w:bookmarkStart w:id="181" w:name="_Toc212567911"/>
      <w:r>
        <w:lastRenderedPageBreak/>
        <w:t>Appendix C</w:t>
      </w:r>
      <w:bookmarkEnd w:id="179"/>
      <w:r>
        <w:t xml:space="preserve"> - Systematic reviews</w:t>
      </w:r>
      <w:bookmarkEnd w:id="180"/>
      <w:bookmarkEnd w:id="181"/>
    </w:p>
    <w:p w14:paraId="66D69E30" w14:textId="77777777" w:rsidR="00B01069" w:rsidRPr="00064C26" w:rsidRDefault="00B01069" w:rsidP="00B01069">
      <w:pPr>
        <w:pStyle w:val="Heading3"/>
      </w:pPr>
      <w:bookmarkStart w:id="182" w:name="_Toc210406413"/>
      <w:bookmarkStart w:id="183" w:name="_Toc212567912"/>
      <w:r>
        <w:t>Characteristics of systematic reviews</w:t>
      </w:r>
      <w:bookmarkEnd w:id="182"/>
      <w:bookmarkEnd w:id="183"/>
    </w:p>
    <w:p w14:paraId="527F86DB" w14:textId="3134409A" w:rsidR="00B01069" w:rsidRDefault="00B01069" w:rsidP="00B01069">
      <w:pPr>
        <w:pStyle w:val="TableTitle"/>
      </w:pPr>
      <w:r>
        <w:t>Characteristics of Systematic Reviews (Source: KSR Evidence, with minor adaptations/edits to summarise content where required)</w:t>
      </w:r>
    </w:p>
    <w:tbl>
      <w:tblPr>
        <w:tblStyle w:val="DefaultTable1"/>
        <w:tblW w:w="15298" w:type="dxa"/>
        <w:jc w:val="center"/>
        <w:tblInd w:w="0" w:type="dxa"/>
        <w:tblBorders>
          <w:insideV w:val="none" w:sz="0" w:space="0" w:color="auto"/>
        </w:tblBorders>
        <w:tblLayout w:type="fixed"/>
        <w:tblLook w:val="0620" w:firstRow="1" w:lastRow="0" w:firstColumn="0" w:lastColumn="0" w:noHBand="1" w:noVBand="1"/>
      </w:tblPr>
      <w:tblGrid>
        <w:gridCol w:w="1418"/>
        <w:gridCol w:w="2268"/>
        <w:gridCol w:w="1560"/>
        <w:gridCol w:w="6367"/>
        <w:gridCol w:w="1984"/>
        <w:gridCol w:w="1701"/>
      </w:tblGrid>
      <w:tr w:rsidR="00B01069" w:rsidRPr="001D5149" w14:paraId="0D5C5518" w14:textId="77777777" w:rsidTr="00BE2101">
        <w:trPr>
          <w:cnfStyle w:val="100000000000" w:firstRow="1" w:lastRow="0" w:firstColumn="0" w:lastColumn="0" w:oddVBand="0" w:evenVBand="0" w:oddHBand="0" w:evenHBand="0" w:firstRowFirstColumn="0" w:firstRowLastColumn="0" w:lastRowFirstColumn="0" w:lastRowLastColumn="0"/>
          <w:tblHeader/>
          <w:jc w:val="center"/>
        </w:trPr>
        <w:tc>
          <w:tcPr>
            <w:tcW w:w="1418" w:type="dxa"/>
            <w:hideMark/>
          </w:tcPr>
          <w:p w14:paraId="3F116DB7" w14:textId="77777777" w:rsidR="00B01069" w:rsidRPr="00B01069" w:rsidRDefault="00B01069" w:rsidP="00B01069">
            <w:pPr>
              <w:spacing w:before="0" w:line="240" w:lineRule="atLeast"/>
              <w:jc w:val="center"/>
              <w:rPr>
                <w:rFonts w:eastAsia="Times New Roman" w:cs="Times New Roman"/>
                <w:szCs w:val="20"/>
                <w:lang w:eastAsia="en-AU"/>
              </w:rPr>
            </w:pPr>
            <w:r w:rsidRPr="00B01069">
              <w:rPr>
                <w:rFonts w:eastAsia="Times New Roman" w:cs="Times New Roman"/>
                <w:szCs w:val="20"/>
                <w:lang w:eastAsia="en-AU"/>
              </w:rPr>
              <w:t>Reference</w:t>
            </w:r>
          </w:p>
        </w:tc>
        <w:tc>
          <w:tcPr>
            <w:tcW w:w="2268" w:type="dxa"/>
          </w:tcPr>
          <w:p w14:paraId="1AAAD4D5" w14:textId="77777777" w:rsidR="00B01069" w:rsidRPr="001D5149" w:rsidRDefault="00B01069" w:rsidP="00B01069">
            <w:pPr>
              <w:spacing w:before="0" w:line="240" w:lineRule="atLeast"/>
              <w:jc w:val="center"/>
              <w:rPr>
                <w:rFonts w:eastAsia="Times New Roman" w:cs="Times New Roman"/>
                <w:szCs w:val="20"/>
                <w:lang w:eastAsia="en-AU"/>
              </w:rPr>
            </w:pPr>
            <w:r w:rsidRPr="001D5149">
              <w:rPr>
                <w:rFonts w:eastAsia="Times New Roman" w:cs="Times New Roman"/>
                <w:szCs w:val="20"/>
                <w:lang w:eastAsia="en-AU"/>
              </w:rPr>
              <w:t>Review objectives</w:t>
            </w:r>
          </w:p>
        </w:tc>
        <w:tc>
          <w:tcPr>
            <w:tcW w:w="1560" w:type="dxa"/>
          </w:tcPr>
          <w:p w14:paraId="26B3B092" w14:textId="77777777" w:rsidR="00B01069" w:rsidRPr="001D5149" w:rsidRDefault="00B01069" w:rsidP="00B01069">
            <w:pPr>
              <w:spacing w:before="0" w:line="240" w:lineRule="atLeast"/>
              <w:jc w:val="center"/>
              <w:rPr>
                <w:rFonts w:eastAsia="Times New Roman" w:cs="Times New Roman"/>
                <w:szCs w:val="20"/>
                <w:lang w:eastAsia="en-AU"/>
              </w:rPr>
            </w:pPr>
            <w:r w:rsidRPr="001D5149">
              <w:rPr>
                <w:rFonts w:eastAsia="Times New Roman" w:cs="Times New Roman"/>
                <w:szCs w:val="20"/>
                <w:lang w:eastAsia="en-AU"/>
              </w:rPr>
              <w:t>Search date</w:t>
            </w:r>
          </w:p>
        </w:tc>
        <w:tc>
          <w:tcPr>
            <w:tcW w:w="6367" w:type="dxa"/>
            <w:hideMark/>
          </w:tcPr>
          <w:p w14:paraId="56898590" w14:textId="77777777" w:rsidR="00B01069" w:rsidRPr="001D5149" w:rsidRDefault="00B01069" w:rsidP="00B01069">
            <w:pPr>
              <w:spacing w:before="0" w:line="240" w:lineRule="atLeast"/>
              <w:rPr>
                <w:rFonts w:eastAsia="Times New Roman" w:cs="Times New Roman"/>
                <w:szCs w:val="20"/>
                <w:lang w:eastAsia="en-AU"/>
              </w:rPr>
            </w:pPr>
            <w:r w:rsidRPr="001D5149">
              <w:rPr>
                <w:rFonts w:eastAsia="Times New Roman" w:cs="Times New Roman"/>
                <w:szCs w:val="20"/>
                <w:lang w:eastAsia="en-AU"/>
              </w:rPr>
              <w:t>Populations (P), Interventions/Exposures (I/E), Comparators (C), Outcomes (O) and Types of Studies (TS)</w:t>
            </w:r>
          </w:p>
        </w:tc>
        <w:tc>
          <w:tcPr>
            <w:tcW w:w="1984" w:type="dxa"/>
          </w:tcPr>
          <w:p w14:paraId="74D5CBD0" w14:textId="77777777" w:rsidR="00B01069" w:rsidRPr="001D5149" w:rsidRDefault="00B01069" w:rsidP="00B01069">
            <w:pPr>
              <w:spacing w:before="0" w:line="240" w:lineRule="atLeast"/>
              <w:jc w:val="center"/>
              <w:rPr>
                <w:rFonts w:eastAsia="Times New Roman" w:cs="Times New Roman"/>
                <w:szCs w:val="20"/>
                <w:lang w:eastAsia="en-AU"/>
              </w:rPr>
            </w:pPr>
            <w:r w:rsidRPr="001D5149">
              <w:rPr>
                <w:rFonts w:eastAsia="Times New Roman" w:cs="Times New Roman"/>
                <w:szCs w:val="20"/>
                <w:lang w:eastAsia="en-AU"/>
              </w:rPr>
              <w:t>Included studies, participants</w:t>
            </w:r>
          </w:p>
        </w:tc>
        <w:tc>
          <w:tcPr>
            <w:tcW w:w="1701" w:type="dxa"/>
            <w:hideMark/>
          </w:tcPr>
          <w:p w14:paraId="48F8D6FC" w14:textId="77777777" w:rsidR="00B01069" w:rsidRPr="001D5149" w:rsidRDefault="00B01069" w:rsidP="00B01069">
            <w:pPr>
              <w:spacing w:before="0" w:line="240" w:lineRule="atLeast"/>
              <w:jc w:val="center"/>
              <w:rPr>
                <w:rFonts w:eastAsia="Times New Roman" w:cs="Times New Roman"/>
                <w:szCs w:val="20"/>
                <w:lang w:eastAsia="en-AU"/>
              </w:rPr>
            </w:pPr>
            <w:r w:rsidRPr="001D5149">
              <w:rPr>
                <w:rFonts w:eastAsia="Times New Roman" w:cs="Times New Roman"/>
                <w:szCs w:val="20"/>
                <w:lang w:eastAsia="en-AU"/>
              </w:rPr>
              <w:t>Risk of Bias</w:t>
            </w:r>
          </w:p>
        </w:tc>
      </w:tr>
      <w:tr w:rsidR="00B01069" w:rsidRPr="001D5149" w14:paraId="267C5750" w14:textId="77777777" w:rsidTr="00BE2101">
        <w:trPr>
          <w:trHeight w:val="3360"/>
          <w:jc w:val="center"/>
        </w:trPr>
        <w:tc>
          <w:tcPr>
            <w:tcW w:w="1418" w:type="dxa"/>
          </w:tcPr>
          <w:p w14:paraId="2A394180"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Aarsland et al 2025</w:t>
            </w:r>
          </w:p>
        </w:tc>
        <w:tc>
          <w:tcPr>
            <w:tcW w:w="2268" w:type="dxa"/>
          </w:tcPr>
          <w:p w14:paraId="7192A5C9"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examine the association between mild-to-moderate iodine deficiency and thyroid hormone function in infants, children, adolescents, adults, pregnant and lactating women.</w:t>
            </w:r>
          </w:p>
        </w:tc>
        <w:tc>
          <w:tcPr>
            <w:tcW w:w="1560" w:type="dxa"/>
          </w:tcPr>
          <w:p w14:paraId="21EF0B81"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February 2024</w:t>
            </w:r>
          </w:p>
        </w:tc>
        <w:tc>
          <w:tcPr>
            <w:tcW w:w="6367" w:type="dxa"/>
          </w:tcPr>
          <w:p w14:paraId="6A991486"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The general population, including infants, children, adolescents, adults, pregnant and lactating women. Individuals with pre-existing chronic disease were excluded.</w:t>
            </w:r>
          </w:p>
          <w:p w14:paraId="0DB54F85"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I/E/C: Mild-to-moderate iodine deficiency, measured using UIC or </w:t>
            </w:r>
            <w:proofErr w:type="spellStart"/>
            <w:proofErr w:type="gramStart"/>
            <w:r w:rsidRPr="001D5149">
              <w:rPr>
                <w:rFonts w:eastAsia="Times New Roman" w:cs="Times New Roman"/>
                <w:color w:val="000000"/>
                <w:szCs w:val="20"/>
                <w:lang w:eastAsia="en-AU"/>
              </w:rPr>
              <w:t>UIC:Cr</w:t>
            </w:r>
            <w:proofErr w:type="spellEnd"/>
            <w:proofErr w:type="gramEnd"/>
            <w:r w:rsidRPr="001D5149">
              <w:rPr>
                <w:rFonts w:eastAsia="Times New Roman" w:cs="Times New Roman"/>
                <w:color w:val="000000"/>
                <w:szCs w:val="20"/>
                <w:lang w:eastAsia="en-AU"/>
              </w:rPr>
              <w:t xml:space="preserve"> or dietary iodine intake (</w:t>
            </w:r>
            <w:proofErr w:type="spellStart"/>
            <w:r w:rsidRPr="001D5149">
              <w:rPr>
                <w:rFonts w:eastAsia="Times New Roman" w:cs="Times New Roman"/>
                <w:color w:val="000000"/>
                <w:szCs w:val="20"/>
                <w:lang w:eastAsia="en-AU"/>
              </w:rPr>
              <w:t>μg</w:t>
            </w:r>
            <w:proofErr w:type="spellEnd"/>
            <w:r w:rsidRPr="001D5149">
              <w:rPr>
                <w:rFonts w:eastAsia="Times New Roman" w:cs="Times New Roman"/>
                <w:color w:val="000000"/>
                <w:szCs w:val="20"/>
                <w:lang w:eastAsia="en-AU"/>
              </w:rPr>
              <w:t>/d) converted to UIC. Compared with adequate status.</w:t>
            </w:r>
          </w:p>
          <w:p w14:paraId="7FB857F0"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O: Thyroid function parameters (TSH, FT3, FT4), thyroid dysfunction (hypothyroidism, hyperthyroidism, hypothyroxinaemia, and </w:t>
            </w:r>
            <w:proofErr w:type="spellStart"/>
            <w:r w:rsidRPr="001D5149">
              <w:rPr>
                <w:rFonts w:eastAsia="Times New Roman" w:cs="Times New Roman"/>
                <w:color w:val="000000"/>
                <w:szCs w:val="20"/>
                <w:lang w:eastAsia="en-AU"/>
              </w:rPr>
              <w:t>hyperthyroxinemia</w:t>
            </w:r>
            <w:proofErr w:type="spellEnd"/>
            <w:r w:rsidRPr="001D5149">
              <w:rPr>
                <w:rFonts w:eastAsia="Times New Roman" w:cs="Times New Roman"/>
                <w:color w:val="000000"/>
                <w:szCs w:val="20"/>
                <w:lang w:eastAsia="en-AU"/>
              </w:rPr>
              <w:t>).</w:t>
            </w:r>
          </w:p>
          <w:p w14:paraId="5E127BFC" w14:textId="2DF43AE1" w:rsidR="00B01069" w:rsidRPr="00B0106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Observational studies. Cross-sectional studies, prospective and retrospective cohort studies, case-control studies.</w:t>
            </w:r>
          </w:p>
        </w:tc>
        <w:tc>
          <w:tcPr>
            <w:tcW w:w="1984" w:type="dxa"/>
          </w:tcPr>
          <w:p w14:paraId="062B5EAC"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72 studies</w:t>
            </w:r>
          </w:p>
          <w:p w14:paraId="48DBA415" w14:textId="77777777" w:rsidR="00B01069" w:rsidRPr="001D5149" w:rsidRDefault="00B01069" w:rsidP="00B01069">
            <w:pPr>
              <w:spacing w:before="0" w:after="120" w:line="240" w:lineRule="atLeast"/>
              <w:jc w:val="center"/>
              <w:rPr>
                <w:rFonts w:eastAsia="Times New Roman" w:cs="Times New Roman"/>
                <w:color w:val="000000"/>
                <w:szCs w:val="20"/>
                <w:highlight w:val="yellow"/>
                <w:lang w:eastAsia="en-AU"/>
              </w:rPr>
            </w:pPr>
            <w:r w:rsidRPr="001D5149">
              <w:rPr>
                <w:rFonts w:eastAsia="Times New Roman" w:cs="Times New Roman"/>
                <w:color w:val="000000"/>
                <w:szCs w:val="20"/>
                <w:lang w:eastAsia="en-AU"/>
              </w:rPr>
              <w:t>(N=293,502 participants)</w:t>
            </w:r>
          </w:p>
        </w:tc>
        <w:tc>
          <w:tcPr>
            <w:tcW w:w="1701" w:type="dxa"/>
          </w:tcPr>
          <w:p w14:paraId="2D328AED"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07088303"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UNCLEAR</w:t>
            </w:r>
          </w:p>
          <w:p w14:paraId="6C96C68E"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6F4C25D3"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575413C0" w14:textId="77777777" w:rsidR="00B01069" w:rsidRPr="001D5149" w:rsidRDefault="00B01069" w:rsidP="00B01069">
            <w:pPr>
              <w:spacing w:before="0" w:line="240" w:lineRule="atLeast"/>
              <w:rPr>
                <w:rFonts w:eastAsia="Times New Roman" w:cs="Times New Roman"/>
                <w:i/>
                <w:iCs/>
                <w:color w:val="000000"/>
                <w:szCs w:val="20"/>
                <w:lang w:eastAsia="en-AU"/>
              </w:rPr>
            </w:pPr>
          </w:p>
          <w:p w14:paraId="4F868F94"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783F1101" w14:textId="77777777" w:rsidR="00B01069" w:rsidRPr="001D5149" w:rsidRDefault="00B01069" w:rsidP="00B01069">
            <w:pPr>
              <w:spacing w:before="0" w:line="240" w:lineRule="atLeast"/>
              <w:rPr>
                <w:rFonts w:eastAsia="Times New Roman" w:cs="Times New Roman"/>
                <w:b/>
                <w:bCs/>
                <w:i/>
                <w:iCs/>
                <w:color w:val="000000"/>
                <w:szCs w:val="20"/>
                <w:highlight w:val="yellow"/>
                <w:lang w:eastAsia="en-AU"/>
              </w:rPr>
            </w:pPr>
            <w:r w:rsidRPr="001D5149">
              <w:rPr>
                <w:rFonts w:eastAsia="Times New Roman" w:cs="Times New Roman"/>
                <w:b/>
                <w:bCs/>
                <w:i/>
                <w:iCs/>
                <w:color w:val="000000"/>
                <w:szCs w:val="20"/>
                <w:lang w:eastAsia="en-AU"/>
              </w:rPr>
              <w:t>HIGH</w:t>
            </w:r>
          </w:p>
        </w:tc>
      </w:tr>
      <w:tr w:rsidR="00B01069" w:rsidRPr="001D5149" w14:paraId="363A8F4B" w14:textId="77777777" w:rsidTr="00BE2101">
        <w:trPr>
          <w:trHeight w:val="2356"/>
          <w:jc w:val="center"/>
        </w:trPr>
        <w:tc>
          <w:tcPr>
            <w:tcW w:w="1418" w:type="dxa"/>
          </w:tcPr>
          <w:p w14:paraId="0B2E6CF6"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Beckford et al 2020</w:t>
            </w:r>
          </w:p>
        </w:tc>
        <w:tc>
          <w:tcPr>
            <w:tcW w:w="2268" w:type="dxa"/>
          </w:tcPr>
          <w:p w14:paraId="0F16C521"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estimate the average 24-h urine volume measured in healthy children and adolescents and assess its impact on the assessment of iodine status using urinary biomarkers.</w:t>
            </w:r>
          </w:p>
        </w:tc>
        <w:tc>
          <w:tcPr>
            <w:tcW w:w="1560" w:type="dxa"/>
          </w:tcPr>
          <w:p w14:paraId="77953975"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October 2018</w:t>
            </w:r>
          </w:p>
        </w:tc>
        <w:tc>
          <w:tcPr>
            <w:tcW w:w="6367" w:type="dxa"/>
          </w:tcPr>
          <w:p w14:paraId="32CA3FBB"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P: Healthy children and adolescents &gt;1 and </w:t>
            </w:r>
            <w:r w:rsidRPr="001D5149">
              <w:rPr>
                <w:rFonts w:ascii="Cambria Math" w:eastAsia="Times New Roman" w:hAnsi="Cambria Math" w:cs="Cambria Math"/>
                <w:color w:val="000000"/>
                <w:szCs w:val="20"/>
                <w:lang w:eastAsia="en-AU"/>
              </w:rPr>
              <w:t>≤</w:t>
            </w:r>
            <w:r w:rsidRPr="001D5149">
              <w:rPr>
                <w:rFonts w:eastAsia="Times New Roman" w:cs="Times New Roman"/>
                <w:color w:val="000000"/>
                <w:szCs w:val="20"/>
                <w:lang w:eastAsia="en-AU"/>
              </w:rPr>
              <w:t>19 years of age.</w:t>
            </w:r>
          </w:p>
          <w:p w14:paraId="13FBB716"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24-hour urine volume of children and adolescents.</w:t>
            </w:r>
          </w:p>
          <w:p w14:paraId="3AAB8BC7"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Average daily urinary output of children and adolescents and its impact on the assessment of iodine status using urinary biomarkers.</w:t>
            </w:r>
          </w:p>
          <w:p w14:paraId="621E2164"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No restrictions on the types of study design eligible. Observational studies.</w:t>
            </w:r>
          </w:p>
        </w:tc>
        <w:tc>
          <w:tcPr>
            <w:tcW w:w="1984" w:type="dxa"/>
          </w:tcPr>
          <w:p w14:paraId="38F3D9D6"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 xml:space="preserve">44 studies </w:t>
            </w:r>
          </w:p>
          <w:p w14:paraId="7DF8BEC8"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(N=7,712 participants; 9538 urine samples)</w:t>
            </w:r>
          </w:p>
        </w:tc>
        <w:tc>
          <w:tcPr>
            <w:tcW w:w="1701" w:type="dxa"/>
          </w:tcPr>
          <w:p w14:paraId="4ABBE8E7"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25E2D5A3"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0A2AA164"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UNCLEAR</w:t>
            </w:r>
          </w:p>
          <w:p w14:paraId="207E1E45"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HIGH</w:t>
            </w:r>
          </w:p>
          <w:p w14:paraId="215C0599" w14:textId="77777777" w:rsidR="00B01069" w:rsidRPr="001D5149" w:rsidRDefault="00B01069" w:rsidP="00B01069">
            <w:pPr>
              <w:spacing w:before="0" w:line="240" w:lineRule="atLeast"/>
              <w:rPr>
                <w:rFonts w:eastAsia="Times New Roman" w:cs="Times New Roman"/>
                <w:i/>
                <w:iCs/>
                <w:color w:val="000000"/>
                <w:szCs w:val="20"/>
                <w:lang w:eastAsia="en-AU"/>
              </w:rPr>
            </w:pPr>
          </w:p>
          <w:p w14:paraId="624F91D3"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219A444A"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57080A80" w14:textId="77777777" w:rsidTr="00BE2101">
        <w:trPr>
          <w:trHeight w:val="2103"/>
          <w:jc w:val="center"/>
        </w:trPr>
        <w:tc>
          <w:tcPr>
            <w:tcW w:w="1418" w:type="dxa"/>
          </w:tcPr>
          <w:p w14:paraId="7F9803DD"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highlight w:val="yellow"/>
                <w:lang w:eastAsia="en-AU"/>
              </w:rPr>
            </w:pPr>
            <w:proofErr w:type="spellStart"/>
            <w:r w:rsidRPr="00B01069">
              <w:rPr>
                <w:rFonts w:ascii="Gotham Medium" w:eastAsia="Times New Roman" w:hAnsi="Gotham Medium" w:cs="Times New Roman"/>
                <w:color w:val="000000"/>
                <w:szCs w:val="20"/>
                <w:lang w:eastAsia="en-AU"/>
              </w:rPr>
              <w:lastRenderedPageBreak/>
              <w:t>Bolfi</w:t>
            </w:r>
            <w:proofErr w:type="spellEnd"/>
            <w:r w:rsidRPr="00B01069">
              <w:rPr>
                <w:rFonts w:ascii="Gotham Medium" w:eastAsia="Times New Roman" w:hAnsi="Gotham Medium" w:cs="Times New Roman"/>
                <w:color w:val="000000"/>
                <w:szCs w:val="20"/>
                <w:lang w:eastAsia="en-AU"/>
              </w:rPr>
              <w:t xml:space="preserve"> et al. 2025</w:t>
            </w:r>
          </w:p>
        </w:tc>
        <w:tc>
          <w:tcPr>
            <w:tcW w:w="2268" w:type="dxa"/>
          </w:tcPr>
          <w:p w14:paraId="05D92A67"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whether individual diagnosis of low urinary iodine concentration (UIC) in pregnant women is associated with adverse maternal and neonatal outcomes.</w:t>
            </w:r>
          </w:p>
        </w:tc>
        <w:tc>
          <w:tcPr>
            <w:tcW w:w="1560" w:type="dxa"/>
          </w:tcPr>
          <w:p w14:paraId="773C614B"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October 30 2023</w:t>
            </w:r>
          </w:p>
        </w:tc>
        <w:tc>
          <w:tcPr>
            <w:tcW w:w="6367" w:type="dxa"/>
          </w:tcPr>
          <w:p w14:paraId="626D7D12"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 without ethnicity restrictions and without the history of thyroid diseases or other chronic diseases.</w:t>
            </w:r>
          </w:p>
          <w:p w14:paraId="1D63FB13"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Mildly deficient pregnant women (UIC &lt;150 µg/L).</w:t>
            </w:r>
          </w:p>
          <w:p w14:paraId="1FA3D215"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Birth outcomes, maternal thyroid parameters, neonatal thyroid parameters, child neurocognitive development</w:t>
            </w:r>
          </w:p>
          <w:p w14:paraId="6ABF42B9"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Cohort and analytical cross-sectional studies.</w:t>
            </w:r>
          </w:p>
        </w:tc>
        <w:tc>
          <w:tcPr>
            <w:tcW w:w="1984" w:type="dxa"/>
          </w:tcPr>
          <w:p w14:paraId="466F9DE8"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 xml:space="preserve">63 studies </w:t>
            </w:r>
          </w:p>
          <w:p w14:paraId="430999EF"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(N=65,636 participants)</w:t>
            </w:r>
          </w:p>
        </w:tc>
        <w:tc>
          <w:tcPr>
            <w:tcW w:w="1701" w:type="dxa"/>
          </w:tcPr>
          <w:p w14:paraId="626338B1"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1382DA76"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UNCLEAR</w:t>
            </w:r>
          </w:p>
          <w:p w14:paraId="1E039385"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0A3F2711"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33CA712C" w14:textId="77777777" w:rsidR="00B01069" w:rsidRPr="001D5149" w:rsidRDefault="00B01069" w:rsidP="00B01069">
            <w:pPr>
              <w:spacing w:before="0" w:line="240" w:lineRule="atLeast"/>
              <w:rPr>
                <w:rFonts w:eastAsia="Times New Roman" w:cs="Times New Roman"/>
                <w:i/>
                <w:iCs/>
                <w:color w:val="000000"/>
                <w:szCs w:val="20"/>
                <w:lang w:eastAsia="en-AU"/>
              </w:rPr>
            </w:pPr>
          </w:p>
          <w:p w14:paraId="78646F16"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4006917C"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LOW</w:t>
            </w:r>
          </w:p>
        </w:tc>
      </w:tr>
      <w:tr w:rsidR="00B01069" w:rsidRPr="001D5149" w14:paraId="089D6504" w14:textId="77777777" w:rsidTr="00BE2101">
        <w:trPr>
          <w:trHeight w:val="2103"/>
          <w:jc w:val="center"/>
        </w:trPr>
        <w:tc>
          <w:tcPr>
            <w:tcW w:w="1418" w:type="dxa"/>
          </w:tcPr>
          <w:p w14:paraId="6A87C323"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highlight w:val="yellow"/>
                <w:lang w:eastAsia="en-AU"/>
              </w:rPr>
            </w:pPr>
            <w:r w:rsidRPr="00B01069">
              <w:rPr>
                <w:rFonts w:ascii="Gotham Medium" w:eastAsia="Times New Roman" w:hAnsi="Gotham Medium" w:cs="Times New Roman"/>
                <w:color w:val="000000"/>
                <w:szCs w:val="20"/>
                <w:lang w:eastAsia="en-AU"/>
              </w:rPr>
              <w:t>Businge et al 2021</w:t>
            </w:r>
          </w:p>
        </w:tc>
        <w:tc>
          <w:tcPr>
            <w:tcW w:w="2268" w:type="dxa"/>
          </w:tcPr>
          <w:p w14:paraId="75561278"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iodine nutrition status of pregnant women with and without pre-eclampsia and the risk of pre-eclampsia due to iodine deficiency.</w:t>
            </w:r>
          </w:p>
        </w:tc>
        <w:tc>
          <w:tcPr>
            <w:tcW w:w="1560" w:type="dxa"/>
          </w:tcPr>
          <w:p w14:paraId="020F6FFF"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30 June 2020</w:t>
            </w:r>
          </w:p>
        </w:tc>
        <w:tc>
          <w:tcPr>
            <w:tcW w:w="6367" w:type="dxa"/>
          </w:tcPr>
          <w:p w14:paraId="25483A6B"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w:t>
            </w:r>
          </w:p>
          <w:p w14:paraId="5EF5D7DD"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I/E/C: Insufficient iodine status (UIC &lt;150 </w:t>
            </w:r>
            <w:proofErr w:type="spellStart"/>
            <w:r w:rsidRPr="001D5149">
              <w:rPr>
                <w:rFonts w:eastAsia="Times New Roman" w:cs="Times New Roman"/>
                <w:color w:val="000000"/>
                <w:szCs w:val="20"/>
                <w:lang w:eastAsia="en-AU"/>
              </w:rPr>
              <w:t>μg</w:t>
            </w:r>
            <w:proofErr w:type="spellEnd"/>
            <w:r w:rsidRPr="001D5149">
              <w:rPr>
                <w:rFonts w:eastAsia="Times New Roman" w:cs="Times New Roman"/>
                <w:color w:val="000000"/>
                <w:szCs w:val="20"/>
                <w:lang w:eastAsia="en-AU"/>
              </w:rPr>
              <w:t xml:space="preserve">/L) vs sufficient iodine nutrition status (UIC </w:t>
            </w:r>
            <w:r w:rsidRPr="001D5149">
              <w:rPr>
                <w:rFonts w:ascii="Cambria Math" w:eastAsia="Times New Roman" w:hAnsi="Cambria Math" w:cs="Cambria Math"/>
                <w:color w:val="000000"/>
                <w:szCs w:val="20"/>
                <w:lang w:eastAsia="en-AU"/>
              </w:rPr>
              <w:t>≥</w:t>
            </w:r>
            <w:r w:rsidRPr="001D5149">
              <w:rPr>
                <w:rFonts w:eastAsia="Times New Roman" w:cs="Times New Roman"/>
                <w:color w:val="000000"/>
                <w:szCs w:val="20"/>
                <w:lang w:eastAsia="en-AU"/>
              </w:rPr>
              <w:t xml:space="preserve">150 </w:t>
            </w:r>
            <w:proofErr w:type="spellStart"/>
            <w:r w:rsidRPr="001D5149">
              <w:rPr>
                <w:rFonts w:eastAsia="Times New Roman" w:cs="Times New Roman"/>
                <w:color w:val="000000"/>
                <w:szCs w:val="20"/>
                <w:lang w:eastAsia="en-AU"/>
              </w:rPr>
              <w:t>μg</w:t>
            </w:r>
            <w:proofErr w:type="spellEnd"/>
            <w:r w:rsidRPr="001D5149">
              <w:rPr>
                <w:rFonts w:eastAsia="Times New Roman" w:cs="Times New Roman"/>
                <w:color w:val="000000"/>
                <w:szCs w:val="20"/>
                <w:lang w:eastAsia="en-AU"/>
              </w:rPr>
              <w:t>/L) during pregnancy.</w:t>
            </w:r>
          </w:p>
          <w:p w14:paraId="18672496"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Prevalence and incidence rates of pre-eclampsia.</w:t>
            </w:r>
          </w:p>
          <w:p w14:paraId="47F3462A"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Cohort and case-control studies.</w:t>
            </w:r>
          </w:p>
        </w:tc>
        <w:tc>
          <w:tcPr>
            <w:tcW w:w="1984" w:type="dxa"/>
          </w:tcPr>
          <w:p w14:paraId="5AD79186"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5 studies</w:t>
            </w:r>
          </w:p>
          <w:p w14:paraId="1AF69A79"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(N=4,404 participants)</w:t>
            </w:r>
          </w:p>
        </w:tc>
        <w:tc>
          <w:tcPr>
            <w:tcW w:w="1701" w:type="dxa"/>
          </w:tcPr>
          <w:p w14:paraId="0190D0CE"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2BA70ED5"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UNCLEAR</w:t>
            </w:r>
          </w:p>
          <w:p w14:paraId="42F0CA5C"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UNCLEAR</w:t>
            </w:r>
          </w:p>
          <w:p w14:paraId="2A900D9E"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HIGH</w:t>
            </w:r>
          </w:p>
          <w:p w14:paraId="73672EA0" w14:textId="77777777" w:rsidR="00B01069" w:rsidRPr="001D5149" w:rsidRDefault="00B01069" w:rsidP="00B01069">
            <w:pPr>
              <w:spacing w:before="0" w:line="240" w:lineRule="atLeast"/>
              <w:rPr>
                <w:rFonts w:eastAsia="Times New Roman" w:cs="Times New Roman"/>
                <w:i/>
                <w:iCs/>
                <w:color w:val="000000"/>
                <w:szCs w:val="20"/>
                <w:lang w:eastAsia="en-AU"/>
              </w:rPr>
            </w:pPr>
          </w:p>
          <w:p w14:paraId="5874B439"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1032D18A"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4AE09BAA" w14:textId="77777777" w:rsidTr="00BE2101">
        <w:trPr>
          <w:trHeight w:val="2640"/>
          <w:jc w:val="center"/>
        </w:trPr>
        <w:tc>
          <w:tcPr>
            <w:tcW w:w="1418" w:type="dxa"/>
          </w:tcPr>
          <w:p w14:paraId="193901AE"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Candido et al 2023</w:t>
            </w:r>
          </w:p>
        </w:tc>
        <w:tc>
          <w:tcPr>
            <w:tcW w:w="2268" w:type="dxa"/>
          </w:tcPr>
          <w:p w14:paraId="3B021EAB"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effects of iodine supplementation on maternal thyroid hormone concentrations and iodine status during and/or before pregnancy.</w:t>
            </w:r>
          </w:p>
        </w:tc>
        <w:tc>
          <w:tcPr>
            <w:tcW w:w="1560" w:type="dxa"/>
          </w:tcPr>
          <w:p w14:paraId="5B5F5146"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July 2023</w:t>
            </w:r>
          </w:p>
        </w:tc>
        <w:tc>
          <w:tcPr>
            <w:tcW w:w="6367" w:type="dxa"/>
          </w:tcPr>
          <w:p w14:paraId="72BDCB62"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w:t>
            </w:r>
          </w:p>
          <w:p w14:paraId="76307073"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I/E/C: </w:t>
            </w:r>
            <w:r w:rsidRPr="001D5149">
              <w:rPr>
                <w:szCs w:val="20"/>
                <w:lang w:eastAsia="en-AU"/>
              </w:rPr>
              <w:t>Oral iodine supplementation.</w:t>
            </w:r>
          </w:p>
          <w:p w14:paraId="3B56E3BD"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Iodine status of pregnant women. Urinary Iodine Concentration (UIC), maternal thyroid function, such as Thyroid Stimulating Hormone (TSH); Thyroxine (T4); Thyroglobulin (</w:t>
            </w:r>
            <w:proofErr w:type="spellStart"/>
            <w:r w:rsidRPr="001D5149">
              <w:rPr>
                <w:rFonts w:eastAsia="Times New Roman" w:cs="Times New Roman"/>
                <w:color w:val="000000"/>
                <w:szCs w:val="20"/>
                <w:lang w:eastAsia="en-AU"/>
              </w:rPr>
              <w:t>Tg</w:t>
            </w:r>
            <w:proofErr w:type="spellEnd"/>
            <w:r w:rsidRPr="001D5149">
              <w:rPr>
                <w:rFonts w:eastAsia="Times New Roman" w:cs="Times New Roman"/>
                <w:color w:val="000000"/>
                <w:szCs w:val="20"/>
                <w:lang w:eastAsia="en-AU"/>
              </w:rPr>
              <w:t>) concentration; Free Triiodothyronine (FT3); Free Thyroxine (FT4); thyroid volume; and any other relevant thyroid effects.</w:t>
            </w:r>
          </w:p>
          <w:p w14:paraId="0F6B9C29"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w:t>
            </w:r>
            <w:r w:rsidRPr="001D5149">
              <w:rPr>
                <w:rFonts w:cs="Helvetica"/>
                <w:color w:val="333333"/>
                <w:szCs w:val="20"/>
                <w:shd w:val="clear" w:color="auto" w:fill="E8E8E8"/>
              </w:rPr>
              <w:t xml:space="preserve"> </w:t>
            </w:r>
            <w:r w:rsidRPr="001D5149">
              <w:rPr>
                <w:rFonts w:eastAsia="Times New Roman" w:cs="Times New Roman"/>
                <w:color w:val="000000"/>
                <w:szCs w:val="20"/>
                <w:lang w:eastAsia="en-AU"/>
              </w:rPr>
              <w:t>Observational, nonrandomized and/or non-controlled studies, and randomized clinical trials.</w:t>
            </w:r>
          </w:p>
        </w:tc>
        <w:tc>
          <w:tcPr>
            <w:tcW w:w="1984" w:type="dxa"/>
          </w:tcPr>
          <w:p w14:paraId="2E5283D9"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 xml:space="preserve">11 studies </w:t>
            </w:r>
          </w:p>
          <w:p w14:paraId="2E98E317"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(N=3,071 participants)</w:t>
            </w:r>
          </w:p>
        </w:tc>
        <w:tc>
          <w:tcPr>
            <w:tcW w:w="1701" w:type="dxa"/>
          </w:tcPr>
          <w:p w14:paraId="3A4CB93B"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2C6AD80A"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UNCLEAR</w:t>
            </w:r>
          </w:p>
          <w:p w14:paraId="19EEB5AD"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UNCLEAR</w:t>
            </w:r>
          </w:p>
          <w:p w14:paraId="75BC709B"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HIGH</w:t>
            </w:r>
          </w:p>
          <w:p w14:paraId="5938E471" w14:textId="77777777" w:rsidR="00B01069" w:rsidRPr="001D5149" w:rsidRDefault="00B01069" w:rsidP="00B01069">
            <w:pPr>
              <w:spacing w:before="0" w:line="240" w:lineRule="atLeast"/>
              <w:rPr>
                <w:rFonts w:eastAsia="Times New Roman" w:cs="Times New Roman"/>
                <w:i/>
                <w:iCs/>
                <w:color w:val="000000"/>
                <w:szCs w:val="20"/>
                <w:lang w:eastAsia="en-AU"/>
              </w:rPr>
            </w:pPr>
          </w:p>
          <w:p w14:paraId="76A09FE2"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0B22A355"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53D5F9CB" w14:textId="77777777" w:rsidTr="00BE2101">
        <w:trPr>
          <w:trHeight w:val="1930"/>
          <w:jc w:val="center"/>
        </w:trPr>
        <w:tc>
          <w:tcPr>
            <w:tcW w:w="1418" w:type="dxa"/>
          </w:tcPr>
          <w:p w14:paraId="25C0B3E8"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lastRenderedPageBreak/>
              <w:t>Cao et al 2017</w:t>
            </w:r>
          </w:p>
        </w:tc>
        <w:tc>
          <w:tcPr>
            <w:tcW w:w="2268" w:type="dxa"/>
          </w:tcPr>
          <w:p w14:paraId="6CC29B61"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possible relationship between iodine intake and thyroid cancer (TC) risk.</w:t>
            </w:r>
          </w:p>
        </w:tc>
        <w:tc>
          <w:tcPr>
            <w:tcW w:w="1560" w:type="dxa"/>
          </w:tcPr>
          <w:p w14:paraId="00CFB8C0"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April 2016</w:t>
            </w:r>
          </w:p>
        </w:tc>
        <w:tc>
          <w:tcPr>
            <w:tcW w:w="6367" w:type="dxa"/>
          </w:tcPr>
          <w:p w14:paraId="3BEF4F6E"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P: Not </w:t>
            </w:r>
            <w:proofErr w:type="gramStart"/>
            <w:r w:rsidRPr="001D5149">
              <w:rPr>
                <w:rFonts w:eastAsia="Times New Roman" w:cs="Times New Roman"/>
                <w:color w:val="000000"/>
                <w:szCs w:val="20"/>
                <w:lang w:eastAsia="en-AU"/>
              </w:rPr>
              <w:t>mentioned, but</w:t>
            </w:r>
            <w:proofErr w:type="gramEnd"/>
            <w:r w:rsidRPr="001D5149">
              <w:rPr>
                <w:rFonts w:eastAsia="Times New Roman" w:cs="Times New Roman"/>
                <w:color w:val="000000"/>
                <w:szCs w:val="20"/>
                <w:lang w:eastAsia="en-AU"/>
              </w:rPr>
              <w:t xml:space="preserve"> given case-control studies were included these were patients with or without thyroid cancer.</w:t>
            </w:r>
          </w:p>
          <w:p w14:paraId="66C6F2D8"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Iodine intake. Level of fish and shellfish intake.</w:t>
            </w:r>
          </w:p>
          <w:p w14:paraId="795F437F"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Thyroid cancer.</w:t>
            </w:r>
          </w:p>
          <w:p w14:paraId="56AD6914"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Case-control studies</w:t>
            </w:r>
          </w:p>
        </w:tc>
        <w:tc>
          <w:tcPr>
            <w:tcW w:w="1984" w:type="dxa"/>
          </w:tcPr>
          <w:p w14:paraId="55A50D8A"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8 studies</w:t>
            </w:r>
          </w:p>
          <w:p w14:paraId="380548D7"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(N=4,974 participants)</w:t>
            </w:r>
          </w:p>
        </w:tc>
        <w:tc>
          <w:tcPr>
            <w:tcW w:w="1701" w:type="dxa"/>
          </w:tcPr>
          <w:p w14:paraId="3DC8348D"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4494D3E6"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1C91EDC2"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HIGH</w:t>
            </w:r>
          </w:p>
          <w:p w14:paraId="255ADEBB"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2A1F68B4" w14:textId="77777777" w:rsidR="00B01069" w:rsidRPr="001D5149" w:rsidRDefault="00B01069" w:rsidP="00B01069">
            <w:pPr>
              <w:spacing w:before="0" w:line="240" w:lineRule="atLeast"/>
              <w:rPr>
                <w:rFonts w:eastAsia="Times New Roman" w:cs="Times New Roman"/>
                <w:i/>
                <w:iCs/>
                <w:color w:val="000000"/>
                <w:szCs w:val="20"/>
                <w:lang w:eastAsia="en-AU"/>
              </w:rPr>
            </w:pPr>
          </w:p>
          <w:p w14:paraId="120080C8"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385945C2"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7E55D1AD" w14:textId="77777777" w:rsidTr="00BE2101">
        <w:trPr>
          <w:trHeight w:val="4440"/>
          <w:jc w:val="center"/>
        </w:trPr>
        <w:tc>
          <w:tcPr>
            <w:tcW w:w="1418" w:type="dxa"/>
          </w:tcPr>
          <w:p w14:paraId="52DCC42D"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proofErr w:type="spellStart"/>
            <w:r w:rsidRPr="00B01069">
              <w:rPr>
                <w:rFonts w:ascii="Gotham Medium" w:eastAsia="Times New Roman" w:hAnsi="Gotham Medium" w:cs="Times New Roman"/>
                <w:color w:val="000000"/>
                <w:szCs w:val="20"/>
                <w:lang w:eastAsia="en-AU"/>
              </w:rPr>
              <w:t>Dineva</w:t>
            </w:r>
            <w:proofErr w:type="spellEnd"/>
            <w:r w:rsidRPr="00B01069">
              <w:rPr>
                <w:rFonts w:ascii="Gotham Medium" w:eastAsia="Times New Roman" w:hAnsi="Gotham Medium" w:cs="Times New Roman"/>
                <w:color w:val="000000"/>
                <w:szCs w:val="20"/>
                <w:lang w:eastAsia="en-AU"/>
              </w:rPr>
              <w:t xml:space="preserve"> et al 2020</w:t>
            </w:r>
          </w:p>
        </w:tc>
        <w:tc>
          <w:tcPr>
            <w:tcW w:w="2268" w:type="dxa"/>
          </w:tcPr>
          <w:p w14:paraId="7A5ECD9B"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evaluate effects of iodine supplementation in mildly-to-moderately deficient pregnant women on maternal and infant thyroid function and child cognition.</w:t>
            </w:r>
          </w:p>
        </w:tc>
        <w:tc>
          <w:tcPr>
            <w:tcW w:w="1560" w:type="dxa"/>
          </w:tcPr>
          <w:p w14:paraId="2202BCA8"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January 2020</w:t>
            </w:r>
          </w:p>
        </w:tc>
        <w:tc>
          <w:tcPr>
            <w:tcW w:w="6367" w:type="dxa"/>
          </w:tcPr>
          <w:p w14:paraId="5E0C2A8F"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 in areas of mild-to-moderate iodine deficiency, defined as a median urinary iodine concentration (UIC) in the range of 50-149 µg/L. Exclusion: Pregnant women in areas of iodine sufficiency, excess, or severe deficiency.</w:t>
            </w:r>
          </w:p>
          <w:p w14:paraId="13C98C44"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 Iodine supplementation during pregnancy in the form of iodised salt, potassium iodide, or other iodine-containing supplements.</w:t>
            </w:r>
          </w:p>
          <w:p w14:paraId="3616B7CA"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C: Non-iodine-supplemented group; non-users of iodised salt.</w:t>
            </w:r>
          </w:p>
          <w:p w14:paraId="209584DF"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O: Differences in maternal and infant thyroid function [e.g., differences in thyroid size and volume, concentrations of thyroid stimulating hormone (TSH), thyroid hormones (T4 and T3), thyroglobulin, or thyroid antibodies (TPO-Ab or </w:t>
            </w:r>
            <w:proofErr w:type="spellStart"/>
            <w:r w:rsidRPr="001D5149">
              <w:rPr>
                <w:rFonts w:eastAsia="Times New Roman" w:cs="Times New Roman"/>
                <w:color w:val="000000"/>
                <w:szCs w:val="20"/>
                <w:lang w:eastAsia="en-AU"/>
              </w:rPr>
              <w:t>Tg</w:t>
            </w:r>
            <w:proofErr w:type="spellEnd"/>
            <w:r w:rsidRPr="001D5149">
              <w:rPr>
                <w:rFonts w:eastAsia="Times New Roman" w:cs="Times New Roman"/>
                <w:color w:val="000000"/>
                <w:szCs w:val="20"/>
                <w:lang w:eastAsia="en-AU"/>
              </w:rPr>
              <w:t>-Ab)]. Child neurodevelopment and behaviour (e.g., differences in IQ scores, reading ability, language development, motor skills etc.).</w:t>
            </w:r>
          </w:p>
          <w:p w14:paraId="2317133D" w14:textId="77777777" w:rsidR="00B01069" w:rsidRPr="001D5149" w:rsidRDefault="00B01069" w:rsidP="00B01069">
            <w:pPr>
              <w:spacing w:before="0" w:after="120" w:line="240" w:lineRule="atLeast"/>
              <w:rPr>
                <w:szCs w:val="20"/>
              </w:rPr>
            </w:pPr>
            <w:r w:rsidRPr="001D5149">
              <w:rPr>
                <w:rFonts w:eastAsia="Times New Roman" w:cs="Times New Roman"/>
                <w:color w:val="000000"/>
                <w:szCs w:val="20"/>
                <w:lang w:eastAsia="en-AU"/>
              </w:rPr>
              <w:t>TS:</w:t>
            </w:r>
            <w:r w:rsidRPr="001D5149">
              <w:rPr>
                <w:rFonts w:cs="Helvetica"/>
                <w:color w:val="333333"/>
                <w:szCs w:val="20"/>
                <w:shd w:val="clear" w:color="auto" w:fill="FFFFFF"/>
              </w:rPr>
              <w:t xml:space="preserve"> </w:t>
            </w:r>
            <w:r w:rsidRPr="001D5149">
              <w:rPr>
                <w:rFonts w:eastAsia="Times New Roman" w:cs="Times New Roman"/>
                <w:color w:val="000000"/>
                <w:szCs w:val="20"/>
                <w:lang w:eastAsia="en-AU"/>
              </w:rPr>
              <w:t>Observational studies, non-randomised or uncontrolled intervention studies and randomised controlled trials (RCTs).</w:t>
            </w:r>
          </w:p>
        </w:tc>
        <w:tc>
          <w:tcPr>
            <w:tcW w:w="1984" w:type="dxa"/>
          </w:tcPr>
          <w:p w14:paraId="4749D5CA"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37 studies</w:t>
            </w:r>
          </w:p>
          <w:p w14:paraId="769B7CEC"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(N=8,133 maternal studies; 2,452 children for thyroid function; &gt;150,000 for child neurodevelopment)</w:t>
            </w:r>
          </w:p>
        </w:tc>
        <w:tc>
          <w:tcPr>
            <w:tcW w:w="1701" w:type="dxa"/>
          </w:tcPr>
          <w:p w14:paraId="46146212"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17031B97"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LOW</w:t>
            </w:r>
          </w:p>
          <w:p w14:paraId="6D463B88"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UNCLEAR</w:t>
            </w:r>
          </w:p>
          <w:p w14:paraId="3A66BBC7"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123EA660" w14:textId="77777777" w:rsidR="00B01069" w:rsidRPr="001D5149" w:rsidRDefault="00B01069" w:rsidP="00B01069">
            <w:pPr>
              <w:spacing w:before="0" w:line="240" w:lineRule="atLeast"/>
              <w:rPr>
                <w:rFonts w:eastAsia="Times New Roman" w:cs="Times New Roman"/>
                <w:i/>
                <w:iCs/>
                <w:color w:val="000000"/>
                <w:szCs w:val="20"/>
                <w:lang w:eastAsia="en-AU"/>
              </w:rPr>
            </w:pPr>
          </w:p>
          <w:p w14:paraId="088165A1"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6724802B"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6A1730E3" w14:textId="77777777" w:rsidTr="00BE2101">
        <w:trPr>
          <w:trHeight w:val="4320"/>
          <w:jc w:val="center"/>
        </w:trPr>
        <w:tc>
          <w:tcPr>
            <w:tcW w:w="1418" w:type="dxa"/>
          </w:tcPr>
          <w:p w14:paraId="3D59D4CE" w14:textId="77777777" w:rsidR="00B01069" w:rsidRPr="00B01069" w:rsidRDefault="00B01069" w:rsidP="00B01069">
            <w:pPr>
              <w:keepNext/>
              <w:spacing w:before="0" w:line="240" w:lineRule="atLeast"/>
              <w:jc w:val="center"/>
              <w:rPr>
                <w:rFonts w:ascii="Gotham Medium" w:eastAsia="Times New Roman" w:hAnsi="Gotham Medium" w:cs="Times New Roman"/>
                <w:color w:val="000000"/>
                <w:szCs w:val="20"/>
                <w:lang w:eastAsia="en-AU"/>
              </w:rPr>
            </w:pPr>
            <w:proofErr w:type="spellStart"/>
            <w:r w:rsidRPr="00B01069">
              <w:rPr>
                <w:rFonts w:ascii="Gotham Medium" w:eastAsia="Times New Roman" w:hAnsi="Gotham Medium" w:cs="Times New Roman"/>
                <w:color w:val="000000"/>
                <w:szCs w:val="20"/>
                <w:lang w:eastAsia="en-AU"/>
              </w:rPr>
              <w:lastRenderedPageBreak/>
              <w:t>Dineva</w:t>
            </w:r>
            <w:proofErr w:type="spellEnd"/>
            <w:r w:rsidRPr="00B01069">
              <w:rPr>
                <w:rFonts w:ascii="Gotham Medium" w:eastAsia="Times New Roman" w:hAnsi="Gotham Medium" w:cs="Times New Roman"/>
                <w:color w:val="000000"/>
                <w:szCs w:val="20"/>
                <w:lang w:eastAsia="en-AU"/>
              </w:rPr>
              <w:t xml:space="preserve"> et al 2023</w:t>
            </w:r>
          </w:p>
        </w:tc>
        <w:tc>
          <w:tcPr>
            <w:tcW w:w="2268" w:type="dxa"/>
          </w:tcPr>
          <w:p w14:paraId="3A45BF86"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evaluate the association between iodine exposure during development and hearing outcomes in children.</w:t>
            </w:r>
          </w:p>
        </w:tc>
        <w:tc>
          <w:tcPr>
            <w:tcW w:w="1560" w:type="dxa"/>
          </w:tcPr>
          <w:p w14:paraId="20D1459B"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 March 2021</w:t>
            </w:r>
          </w:p>
        </w:tc>
        <w:tc>
          <w:tcPr>
            <w:tcW w:w="6367" w:type="dxa"/>
          </w:tcPr>
          <w:p w14:paraId="1768218E"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 and their offspring (children under 18 years), non-pregnant adults up to 65 years (if iodine exposure was measured during childhood). Excluded: Studies measuring iodine exposure in adults (aged 18 years and over), except if data from children and adults are combined, Pendred syndrome patients or individuals with Pendred syndrome symptoms or genetic mutations related to hearing defects, individuals with known thyroid disease or thyroid cancer.</w:t>
            </w:r>
          </w:p>
          <w:p w14:paraId="10DBFAB0"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Varying dose of iodine supplementation (any type, dose, and regimen), use of iodised salt.</w:t>
            </w:r>
          </w:p>
          <w:p w14:paraId="622CEAF5"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Measures of hearing ability/function, including hearing thresholds, hearing impairment, auditory brainstem response, event-related potentials, auditory processing tests.</w:t>
            </w:r>
          </w:p>
          <w:p w14:paraId="703E9B9B"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w:t>
            </w:r>
            <w:r w:rsidRPr="001D5149">
              <w:rPr>
                <w:rFonts w:cs="Helvetica"/>
                <w:color w:val="333333"/>
                <w:szCs w:val="20"/>
                <w:shd w:val="clear" w:color="auto" w:fill="FFFFFF"/>
              </w:rPr>
              <w:t xml:space="preserve"> </w:t>
            </w:r>
            <w:r w:rsidRPr="001D5149">
              <w:rPr>
                <w:rFonts w:eastAsia="Times New Roman" w:cs="Times New Roman"/>
                <w:color w:val="000000"/>
                <w:szCs w:val="20"/>
                <w:lang w:eastAsia="en-AU"/>
              </w:rPr>
              <w:t>All types of study design: Observational studies (including case reports), non-randomised studies of interventions, randomised controlled trials (RCTs).</w:t>
            </w:r>
          </w:p>
        </w:tc>
        <w:tc>
          <w:tcPr>
            <w:tcW w:w="1984" w:type="dxa"/>
          </w:tcPr>
          <w:p w14:paraId="2CE48B03"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13 studies</w:t>
            </w:r>
          </w:p>
          <w:p w14:paraId="56B5B5C0"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(N=2,754 participants)</w:t>
            </w:r>
          </w:p>
        </w:tc>
        <w:tc>
          <w:tcPr>
            <w:tcW w:w="1701" w:type="dxa"/>
          </w:tcPr>
          <w:p w14:paraId="140A616B"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6D47F11A"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LOW</w:t>
            </w:r>
          </w:p>
          <w:p w14:paraId="7BF96B3A"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2A9388C8"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78F32C1B" w14:textId="77777777" w:rsidR="00B01069" w:rsidRPr="001D5149" w:rsidRDefault="00B01069" w:rsidP="00B01069">
            <w:pPr>
              <w:spacing w:before="0" w:line="240" w:lineRule="atLeast"/>
              <w:rPr>
                <w:rFonts w:eastAsia="Times New Roman" w:cs="Times New Roman"/>
                <w:i/>
                <w:iCs/>
                <w:color w:val="000000"/>
                <w:szCs w:val="20"/>
                <w:lang w:eastAsia="en-AU"/>
              </w:rPr>
            </w:pPr>
          </w:p>
          <w:p w14:paraId="23F004A4"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49EED2BB" w14:textId="77777777" w:rsidR="00B01069" w:rsidRPr="001D5149" w:rsidRDefault="00B01069" w:rsidP="00B01069">
            <w:pPr>
              <w:keepNext/>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313E0960" w14:textId="77777777" w:rsidTr="00BE2101">
        <w:trPr>
          <w:trHeight w:val="2640"/>
          <w:jc w:val="center"/>
        </w:trPr>
        <w:tc>
          <w:tcPr>
            <w:tcW w:w="1418" w:type="dxa"/>
          </w:tcPr>
          <w:p w14:paraId="16BB7652" w14:textId="77777777" w:rsidR="00B01069" w:rsidRPr="00B01069" w:rsidRDefault="00B01069" w:rsidP="00B01069">
            <w:pPr>
              <w:keepNext/>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Dror et al 2018</w:t>
            </w:r>
          </w:p>
        </w:tc>
        <w:tc>
          <w:tcPr>
            <w:tcW w:w="2268" w:type="dxa"/>
          </w:tcPr>
          <w:p w14:paraId="30B6D2F3"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examine how breast milk iodine concentration (BMIC) trends throughout lactation, identify maternal factors or interventions that affect BMIC, and assess the relationship between BMIC and infant iodine status.</w:t>
            </w:r>
          </w:p>
        </w:tc>
        <w:tc>
          <w:tcPr>
            <w:tcW w:w="1560" w:type="dxa"/>
          </w:tcPr>
          <w:p w14:paraId="70C77FBA"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15 November 2015</w:t>
            </w:r>
          </w:p>
        </w:tc>
        <w:tc>
          <w:tcPr>
            <w:tcW w:w="6367" w:type="dxa"/>
          </w:tcPr>
          <w:p w14:paraId="307BFF67"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Lactating mothers and their infants. Mothers who gave birth prematurely or who had other complicating factors (i.e., malnutrition, disease, inflammation, or smoking) were included.</w:t>
            </w:r>
          </w:p>
          <w:p w14:paraId="2001DD93"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I/E/C: Varying levels of breast milk iodine concentration (BMIC) at various time points throughout lactation, </w:t>
            </w:r>
          </w:p>
          <w:p w14:paraId="029E0B00"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infant iodine status.</w:t>
            </w:r>
          </w:p>
          <w:p w14:paraId="0418B421"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Observational and intervention studies.</w:t>
            </w:r>
          </w:p>
        </w:tc>
        <w:tc>
          <w:tcPr>
            <w:tcW w:w="1984" w:type="dxa"/>
          </w:tcPr>
          <w:p w14:paraId="42C30126"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14 studies</w:t>
            </w:r>
          </w:p>
          <w:p w14:paraId="4E0FF140"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(N=1,122 participants)</w:t>
            </w:r>
          </w:p>
        </w:tc>
        <w:tc>
          <w:tcPr>
            <w:tcW w:w="1701" w:type="dxa"/>
          </w:tcPr>
          <w:p w14:paraId="54A708BA"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2706B7AA"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47C0C468"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HIGH</w:t>
            </w:r>
          </w:p>
          <w:p w14:paraId="493BA6D8"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HIGH</w:t>
            </w:r>
          </w:p>
          <w:p w14:paraId="107C76E0" w14:textId="77777777" w:rsidR="00B01069" w:rsidRPr="001D5149" w:rsidRDefault="00B01069" w:rsidP="00B01069">
            <w:pPr>
              <w:spacing w:before="0" w:line="240" w:lineRule="atLeast"/>
              <w:rPr>
                <w:rFonts w:eastAsia="Times New Roman" w:cs="Times New Roman"/>
                <w:i/>
                <w:iCs/>
                <w:color w:val="000000"/>
                <w:szCs w:val="20"/>
                <w:lang w:eastAsia="en-AU"/>
              </w:rPr>
            </w:pPr>
          </w:p>
          <w:p w14:paraId="11E93104"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3A0A1E6D" w14:textId="77777777" w:rsidR="00B01069" w:rsidRPr="001D5149" w:rsidRDefault="00B01069" w:rsidP="00B01069">
            <w:pPr>
              <w:keepNext/>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4DDE16A3" w14:textId="77777777" w:rsidTr="00BE2101">
        <w:trPr>
          <w:trHeight w:val="3360"/>
          <w:jc w:val="center"/>
        </w:trPr>
        <w:tc>
          <w:tcPr>
            <w:tcW w:w="1418" w:type="dxa"/>
          </w:tcPr>
          <w:p w14:paraId="33FA702F"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lastRenderedPageBreak/>
              <w:t>Farebrother et al 2018</w:t>
            </w:r>
          </w:p>
        </w:tc>
        <w:tc>
          <w:tcPr>
            <w:tcW w:w="2268" w:type="dxa"/>
          </w:tcPr>
          <w:p w14:paraId="29AE796B"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effects of iodised salt or iodine supplements compared with placebo or no intervention on child growth outcomes (prenatal, postnatal and during childhood)</w:t>
            </w:r>
          </w:p>
        </w:tc>
        <w:tc>
          <w:tcPr>
            <w:tcW w:w="1560" w:type="dxa"/>
          </w:tcPr>
          <w:p w14:paraId="2574B625"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February 2017</w:t>
            </w:r>
          </w:p>
        </w:tc>
        <w:tc>
          <w:tcPr>
            <w:tcW w:w="6367" w:type="dxa"/>
          </w:tcPr>
          <w:p w14:paraId="097C6CBB"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 or women of reproductive age, and their infants. Lactating women, infants, and children up to 18 years of age.</w:t>
            </w:r>
          </w:p>
          <w:p w14:paraId="0563F9C2"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I/E/C: higher iodine intake (iodine intervention - any form, dose, regimen </w:t>
            </w:r>
            <w:r>
              <w:rPr>
                <w:rFonts w:eastAsia="Times New Roman" w:cs="Times New Roman"/>
                <w:color w:val="000000"/>
                <w:szCs w:val="20"/>
                <w:lang w:eastAsia="en-AU"/>
              </w:rPr>
              <w:t>-</w:t>
            </w:r>
            <w:r w:rsidRPr="001D5149">
              <w:rPr>
                <w:rFonts w:eastAsia="Times New Roman" w:cs="Times New Roman"/>
                <w:color w:val="000000"/>
                <w:szCs w:val="20"/>
                <w:lang w:eastAsia="en-AU"/>
              </w:rPr>
              <w:t xml:space="preserve"> including iodised salt, daily iodine supplements, oral or intravenous oil) vs lower iodine (placebo, non-iodised salt, no intervention)</w:t>
            </w:r>
          </w:p>
          <w:p w14:paraId="67714750"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Prenatal/postnatal growth outcomes, birth outcomes, maternal pregnancy outcomes</w:t>
            </w:r>
          </w:p>
          <w:p w14:paraId="7FC9BEF8"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Randomized controlled trials, non-randomized trials, controlled before-and-after studies, and interrupted time series, including those with repeated measures.</w:t>
            </w:r>
          </w:p>
        </w:tc>
        <w:tc>
          <w:tcPr>
            <w:tcW w:w="1984" w:type="dxa"/>
          </w:tcPr>
          <w:p w14:paraId="79B03A68"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18 studies</w:t>
            </w:r>
          </w:p>
          <w:p w14:paraId="78BDB3F8"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(N=5,729 participants)</w:t>
            </w:r>
          </w:p>
        </w:tc>
        <w:tc>
          <w:tcPr>
            <w:tcW w:w="1701" w:type="dxa"/>
          </w:tcPr>
          <w:p w14:paraId="20AE2B9B"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54CB8C2F"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LOW</w:t>
            </w:r>
          </w:p>
          <w:p w14:paraId="1FCDCDBA"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355A2C91"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5F6C81E7" w14:textId="77777777" w:rsidR="00B01069" w:rsidRPr="001D5149" w:rsidRDefault="00B01069" w:rsidP="00B01069">
            <w:pPr>
              <w:spacing w:before="0" w:line="240" w:lineRule="atLeast"/>
              <w:rPr>
                <w:rFonts w:eastAsia="Times New Roman" w:cs="Times New Roman"/>
                <w:i/>
                <w:iCs/>
                <w:color w:val="000000"/>
                <w:szCs w:val="20"/>
                <w:lang w:eastAsia="en-AU"/>
              </w:rPr>
            </w:pPr>
          </w:p>
          <w:p w14:paraId="60C062D8"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4F9CCFD6"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LOW</w:t>
            </w:r>
          </w:p>
        </w:tc>
      </w:tr>
      <w:tr w:rsidR="00B01069" w:rsidRPr="001D5149" w14:paraId="2B76913F" w14:textId="77777777" w:rsidTr="00BE2101">
        <w:trPr>
          <w:trHeight w:val="4080"/>
          <w:jc w:val="center"/>
        </w:trPr>
        <w:tc>
          <w:tcPr>
            <w:tcW w:w="1418" w:type="dxa"/>
          </w:tcPr>
          <w:p w14:paraId="5C175982" w14:textId="77777777" w:rsidR="00B01069" w:rsidRPr="00B01069" w:rsidRDefault="00B01069" w:rsidP="00B01069">
            <w:pPr>
              <w:keepNext/>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lastRenderedPageBreak/>
              <w:t>Greenwood et al 2023</w:t>
            </w:r>
          </w:p>
        </w:tc>
        <w:tc>
          <w:tcPr>
            <w:tcW w:w="2268" w:type="dxa"/>
          </w:tcPr>
          <w:p w14:paraId="06D1B875"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quantify the association between iodine status and birth outcomes, including potential threshold effects using nonlinear dose</w:t>
            </w:r>
            <w:r>
              <w:rPr>
                <w:rFonts w:eastAsia="Times New Roman" w:cs="Times New Roman"/>
                <w:color w:val="000000"/>
                <w:szCs w:val="20"/>
                <w:lang w:eastAsia="en-AU"/>
              </w:rPr>
              <w:t>-</w:t>
            </w:r>
            <w:r w:rsidRPr="001D5149">
              <w:rPr>
                <w:rFonts w:eastAsia="Times New Roman" w:cs="Times New Roman"/>
                <w:color w:val="000000"/>
                <w:szCs w:val="20"/>
                <w:lang w:eastAsia="en-AU"/>
              </w:rPr>
              <w:t>response curves.</w:t>
            </w:r>
          </w:p>
        </w:tc>
        <w:tc>
          <w:tcPr>
            <w:tcW w:w="1560" w:type="dxa"/>
          </w:tcPr>
          <w:p w14:paraId="369E0705"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10 October 2022</w:t>
            </w:r>
          </w:p>
        </w:tc>
        <w:tc>
          <w:tcPr>
            <w:tcW w:w="6367" w:type="dxa"/>
          </w:tcPr>
          <w:p w14:paraId="67800C3A"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 and their babies.</w:t>
            </w:r>
          </w:p>
          <w:p w14:paraId="3661FCDD"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Varying levels of urinary iodine concentration (UIC), urinary iodine excretion or iodine to creatinine ratio (</w:t>
            </w:r>
            <w:proofErr w:type="spellStart"/>
            <w:proofErr w:type="gramStart"/>
            <w:r w:rsidRPr="001D5149">
              <w:rPr>
                <w:rFonts w:eastAsia="Times New Roman" w:cs="Times New Roman"/>
                <w:color w:val="000000"/>
                <w:szCs w:val="20"/>
                <w:lang w:eastAsia="en-AU"/>
              </w:rPr>
              <w:t>I:Cr</w:t>
            </w:r>
            <w:proofErr w:type="spellEnd"/>
            <w:proofErr w:type="gramEnd"/>
            <w:r w:rsidRPr="001D5149">
              <w:rPr>
                <w:rFonts w:eastAsia="Times New Roman" w:cs="Times New Roman"/>
                <w:color w:val="000000"/>
                <w:szCs w:val="20"/>
                <w:lang w:eastAsia="en-AU"/>
              </w:rPr>
              <w:t>), and iodide intake.</w:t>
            </w:r>
          </w:p>
          <w:p w14:paraId="682E846C"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O: Birth weight, birth weight centile, small for gestational age (SGA), preterm delivery, and other birth outcomes. Low birth weight and macrosomia: defined as birth weight &lt;2.5 kg and &gt;4 kg, respectively. Small for gestational age (SGA): defined as birth weight &lt;10th centile and large for gestational age (LGA) &gt;90th centile. Spontaneous abortion: defined as </w:t>
            </w:r>
            <w:proofErr w:type="spellStart"/>
            <w:r w:rsidRPr="001D5149">
              <w:rPr>
                <w:rFonts w:eastAsia="Times New Roman" w:cs="Times New Roman"/>
                <w:color w:val="000000"/>
                <w:szCs w:val="20"/>
                <w:lang w:eastAsia="en-AU"/>
              </w:rPr>
              <w:t>fetal</w:t>
            </w:r>
            <w:proofErr w:type="spellEnd"/>
            <w:r w:rsidRPr="001D5149">
              <w:rPr>
                <w:rFonts w:eastAsia="Times New Roman" w:cs="Times New Roman"/>
                <w:color w:val="000000"/>
                <w:szCs w:val="20"/>
                <w:lang w:eastAsia="en-AU"/>
              </w:rPr>
              <w:t xml:space="preserve"> loss </w:t>
            </w:r>
            <w:r w:rsidRPr="001D5149">
              <w:rPr>
                <w:rFonts w:ascii="Cambria Math" w:eastAsia="Times New Roman" w:hAnsi="Cambria Math" w:cs="Cambria Math"/>
                <w:color w:val="000000"/>
                <w:szCs w:val="20"/>
                <w:lang w:eastAsia="en-AU"/>
              </w:rPr>
              <w:t>≤</w:t>
            </w:r>
            <w:r w:rsidRPr="001D5149">
              <w:rPr>
                <w:rFonts w:eastAsia="Times New Roman" w:cs="Times New Roman"/>
                <w:color w:val="000000"/>
                <w:szCs w:val="20"/>
                <w:lang w:eastAsia="en-AU"/>
              </w:rPr>
              <w:t xml:space="preserve">24 weeks gestation and stillbirth as </w:t>
            </w:r>
            <w:proofErr w:type="spellStart"/>
            <w:r w:rsidRPr="001D5149">
              <w:rPr>
                <w:rFonts w:eastAsia="Times New Roman" w:cs="Times New Roman"/>
                <w:color w:val="000000"/>
                <w:szCs w:val="20"/>
                <w:lang w:eastAsia="en-AU"/>
              </w:rPr>
              <w:t>fetal</w:t>
            </w:r>
            <w:proofErr w:type="spellEnd"/>
            <w:r w:rsidRPr="001D5149">
              <w:rPr>
                <w:rFonts w:eastAsia="Times New Roman" w:cs="Times New Roman"/>
                <w:color w:val="000000"/>
                <w:szCs w:val="20"/>
                <w:lang w:eastAsia="en-AU"/>
              </w:rPr>
              <w:t xml:space="preserve"> loss &gt;24 weeks gestation. Preterm delivery: spontaneous preterm birth &lt;37 weeks, or any preterm delivery &lt;37 weeks if this information was not available.</w:t>
            </w:r>
          </w:p>
          <w:p w14:paraId="5B9B10C7"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Cohorts, case-control studies nested within cohorts, and case cohort studies.</w:t>
            </w:r>
          </w:p>
        </w:tc>
        <w:tc>
          <w:tcPr>
            <w:tcW w:w="1984" w:type="dxa"/>
          </w:tcPr>
          <w:p w14:paraId="66DF918F"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24 studies</w:t>
            </w:r>
          </w:p>
          <w:p w14:paraId="29E0110A"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(N=42,503 participants)</w:t>
            </w:r>
          </w:p>
        </w:tc>
        <w:tc>
          <w:tcPr>
            <w:tcW w:w="1701" w:type="dxa"/>
          </w:tcPr>
          <w:p w14:paraId="13FA6A4D"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08CCD242"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LOW</w:t>
            </w:r>
          </w:p>
          <w:p w14:paraId="34AAEFFD"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1CC597BA"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635A73BD" w14:textId="77777777" w:rsidR="00B01069" w:rsidRPr="001D5149" w:rsidRDefault="00B01069" w:rsidP="00B01069">
            <w:pPr>
              <w:spacing w:before="0" w:line="240" w:lineRule="atLeast"/>
              <w:rPr>
                <w:rFonts w:eastAsia="Times New Roman" w:cs="Times New Roman"/>
                <w:i/>
                <w:iCs/>
                <w:color w:val="000000"/>
                <w:szCs w:val="20"/>
                <w:lang w:eastAsia="en-AU"/>
              </w:rPr>
            </w:pPr>
          </w:p>
          <w:p w14:paraId="20170A34"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2EEF3FFD" w14:textId="77777777" w:rsidR="00B01069" w:rsidRPr="001D5149" w:rsidRDefault="00B01069" w:rsidP="00B01069">
            <w:pPr>
              <w:keepNext/>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41CC403D" w14:textId="77777777" w:rsidTr="00BE2101">
        <w:trPr>
          <w:trHeight w:val="3960"/>
          <w:jc w:val="center"/>
        </w:trPr>
        <w:tc>
          <w:tcPr>
            <w:tcW w:w="1418" w:type="dxa"/>
          </w:tcPr>
          <w:p w14:paraId="7EAEEA89" w14:textId="77777777" w:rsidR="00B01069" w:rsidRPr="00B01069" w:rsidRDefault="00B01069" w:rsidP="00B01069">
            <w:pPr>
              <w:keepNext/>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Harding et al 2017</w:t>
            </w:r>
          </w:p>
        </w:tc>
        <w:tc>
          <w:tcPr>
            <w:tcW w:w="2268" w:type="dxa"/>
          </w:tcPr>
          <w:p w14:paraId="17688302"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determine the benefits and harms of supplementation with iodine, alone or in combination with other vitamins and minerals, for women in the preconception, pregnancy or postpartum period on their and their children’s outcomes.</w:t>
            </w:r>
          </w:p>
        </w:tc>
        <w:tc>
          <w:tcPr>
            <w:tcW w:w="1560" w:type="dxa"/>
          </w:tcPr>
          <w:p w14:paraId="1F76934F"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November 2016</w:t>
            </w:r>
          </w:p>
        </w:tc>
        <w:tc>
          <w:tcPr>
            <w:tcW w:w="6367" w:type="dxa"/>
          </w:tcPr>
          <w:p w14:paraId="22FDFE4A"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P: Women who become pregnant, or pregnant or postpartum women of any chronological age and parity (number of births). </w:t>
            </w:r>
          </w:p>
          <w:p w14:paraId="05112664"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w:t>
            </w:r>
            <w:r w:rsidRPr="001D5149">
              <w:rPr>
                <w:rFonts w:cs="Helvetica"/>
                <w:color w:val="333333"/>
                <w:szCs w:val="20"/>
                <w:shd w:val="clear" w:color="auto" w:fill="FFFFFF"/>
              </w:rPr>
              <w:t xml:space="preserve"> </w:t>
            </w:r>
            <w:r w:rsidRPr="001D5149">
              <w:rPr>
                <w:rFonts w:eastAsia="Times New Roman" w:cs="Times New Roman"/>
                <w:color w:val="000000"/>
                <w:szCs w:val="20"/>
                <w:lang w:eastAsia="en-AU"/>
              </w:rPr>
              <w:t>Any supplement containing iodine, any oral iodine supplement, oral iodine-only supplement, oral iodine supplement with other vitamins and/or minerals, any injected iodine supplement, injected iodine-only supplement, injected iodine supplement with other vitamins and/or minerals.</w:t>
            </w:r>
          </w:p>
          <w:p w14:paraId="7DFA8512"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C: Same supplement without iodine or no intervention/placebo, only other vitamins and/or minerals (exact same formulation of other vitamins/minerals, but no iodine).</w:t>
            </w:r>
          </w:p>
          <w:p w14:paraId="0ECFECF7"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O: Maternal thyroid function, thyroid volume, birth outcomes, child mental or motor development. </w:t>
            </w:r>
          </w:p>
          <w:p w14:paraId="59C28916"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w:t>
            </w:r>
            <w:r w:rsidRPr="001D5149">
              <w:rPr>
                <w:rFonts w:cs="Helvetica"/>
                <w:color w:val="333333"/>
                <w:szCs w:val="20"/>
                <w:shd w:val="clear" w:color="auto" w:fill="FFFFFF"/>
              </w:rPr>
              <w:t xml:space="preserve"> </w:t>
            </w:r>
            <w:r w:rsidRPr="001D5149">
              <w:rPr>
                <w:rFonts w:eastAsia="Times New Roman" w:cs="Times New Roman"/>
                <w:color w:val="000000"/>
                <w:szCs w:val="20"/>
                <w:lang w:eastAsia="en-AU"/>
              </w:rPr>
              <w:t xml:space="preserve">Randomised and quasi-randomised controlled trials (including cross-over trials). </w:t>
            </w:r>
          </w:p>
        </w:tc>
        <w:tc>
          <w:tcPr>
            <w:tcW w:w="1984" w:type="dxa"/>
          </w:tcPr>
          <w:p w14:paraId="1711E42A"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14 studies</w:t>
            </w:r>
          </w:p>
          <w:p w14:paraId="246AEA90"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(N=3,154 participants)</w:t>
            </w:r>
          </w:p>
        </w:tc>
        <w:tc>
          <w:tcPr>
            <w:tcW w:w="1701" w:type="dxa"/>
          </w:tcPr>
          <w:p w14:paraId="34B55ED8"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2D0457B7"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LOW</w:t>
            </w:r>
          </w:p>
          <w:p w14:paraId="1AA5D9C1"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679F8585"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6DD2394C" w14:textId="77777777" w:rsidR="00B01069" w:rsidRPr="001D5149" w:rsidRDefault="00B01069" w:rsidP="00B01069">
            <w:pPr>
              <w:spacing w:before="0" w:line="240" w:lineRule="atLeast"/>
              <w:rPr>
                <w:rFonts w:eastAsia="Times New Roman" w:cs="Times New Roman"/>
                <w:i/>
                <w:iCs/>
                <w:color w:val="000000"/>
                <w:szCs w:val="20"/>
                <w:lang w:eastAsia="en-AU"/>
              </w:rPr>
            </w:pPr>
          </w:p>
          <w:p w14:paraId="34ED0DB9"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05344874" w14:textId="77777777" w:rsidR="00B01069" w:rsidRPr="001D5149" w:rsidRDefault="00B01069" w:rsidP="00B01069">
            <w:pPr>
              <w:keepNext/>
              <w:spacing w:before="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LOW</w:t>
            </w:r>
          </w:p>
        </w:tc>
      </w:tr>
      <w:tr w:rsidR="00B01069" w:rsidRPr="001D5149" w14:paraId="621E4379" w14:textId="77777777" w:rsidTr="00BE2101">
        <w:trPr>
          <w:trHeight w:val="3360"/>
          <w:jc w:val="center"/>
        </w:trPr>
        <w:tc>
          <w:tcPr>
            <w:tcW w:w="1418" w:type="dxa"/>
          </w:tcPr>
          <w:p w14:paraId="53C9438B"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lastRenderedPageBreak/>
              <w:t>Katagiri et al 2017</w:t>
            </w:r>
          </w:p>
        </w:tc>
        <w:tc>
          <w:tcPr>
            <w:tcW w:w="2268" w:type="dxa"/>
          </w:tcPr>
          <w:p w14:paraId="6B310E19"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investigate the association between iodine excess and thyroid hormone levels or thyroid diseases in free-living populations.</w:t>
            </w:r>
          </w:p>
        </w:tc>
        <w:tc>
          <w:tcPr>
            <w:tcW w:w="1560" w:type="dxa"/>
          </w:tcPr>
          <w:p w14:paraId="53F6D6C8"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3 June 2016</w:t>
            </w:r>
          </w:p>
        </w:tc>
        <w:tc>
          <w:tcPr>
            <w:tcW w:w="6367" w:type="dxa"/>
          </w:tcPr>
          <w:p w14:paraId="3F9AA0AE"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P: Free-living adults including apparently healthy elderly in nursing homes, adolescents, children, and infants. Newborns were excluded. </w:t>
            </w:r>
          </w:p>
          <w:p w14:paraId="2A130DE0"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w:t>
            </w:r>
            <w:r w:rsidRPr="001D5149">
              <w:rPr>
                <w:rFonts w:cs="Helvetica"/>
                <w:color w:val="333333"/>
                <w:szCs w:val="20"/>
                <w:shd w:val="clear" w:color="auto" w:fill="FFFFFF"/>
              </w:rPr>
              <w:t xml:space="preserve"> </w:t>
            </w:r>
            <w:r w:rsidRPr="001D5149">
              <w:rPr>
                <w:rFonts w:eastAsia="Times New Roman" w:cs="Times New Roman"/>
                <w:color w:val="000000"/>
                <w:szCs w:val="20"/>
                <w:lang w:eastAsia="en-AU"/>
              </w:rPr>
              <w:t xml:space="preserve">Varying iodine intake/status including at least one arm with excess intake/status measured using urinary iodine or Cre values. </w:t>
            </w:r>
          </w:p>
          <w:p w14:paraId="38081BF9"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O: Thyroid diseases (hyperthyroidism, hypothyroidism, goitre, and nodule); Thyroid volume; Thyroid hormones (TSH, T3, T4, and </w:t>
            </w:r>
            <w:proofErr w:type="spellStart"/>
            <w:r w:rsidRPr="001D5149">
              <w:rPr>
                <w:rFonts w:eastAsia="Times New Roman" w:cs="Times New Roman"/>
                <w:color w:val="000000"/>
                <w:szCs w:val="20"/>
                <w:lang w:eastAsia="en-AU"/>
              </w:rPr>
              <w:t>Tg</w:t>
            </w:r>
            <w:proofErr w:type="spellEnd"/>
            <w:r w:rsidRPr="001D5149">
              <w:rPr>
                <w:rFonts w:eastAsia="Times New Roman" w:cs="Times New Roman"/>
                <w:color w:val="000000"/>
                <w:szCs w:val="20"/>
                <w:lang w:eastAsia="en-AU"/>
              </w:rPr>
              <w:t>) Excluded: Anti-thyroid antibody and autoimmune thyroiditis</w:t>
            </w:r>
          </w:p>
          <w:p w14:paraId="2A25F1E1"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w:t>
            </w:r>
            <w:r w:rsidRPr="001D5149">
              <w:rPr>
                <w:rFonts w:cs="Helvetica"/>
                <w:color w:val="333333"/>
                <w:szCs w:val="20"/>
                <w:shd w:val="clear" w:color="auto" w:fill="FFFFFF"/>
              </w:rPr>
              <w:t xml:space="preserve"> </w:t>
            </w:r>
            <w:r w:rsidRPr="001D5149">
              <w:rPr>
                <w:rFonts w:eastAsia="Times New Roman" w:cs="Times New Roman"/>
                <w:color w:val="000000"/>
                <w:szCs w:val="20"/>
                <w:lang w:eastAsia="en-AU"/>
              </w:rPr>
              <w:t>Intervention trials (randomized and non-randomized); Cohort studies; Case-control studies; Cross-sectional studies</w:t>
            </w:r>
          </w:p>
        </w:tc>
        <w:tc>
          <w:tcPr>
            <w:tcW w:w="1984" w:type="dxa"/>
          </w:tcPr>
          <w:p w14:paraId="0CBD1717"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 xml:space="preserve">50 studies </w:t>
            </w:r>
          </w:p>
          <w:p w14:paraId="4D2B725F"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(No. participants unclear)</w:t>
            </w:r>
          </w:p>
        </w:tc>
        <w:tc>
          <w:tcPr>
            <w:tcW w:w="1701" w:type="dxa"/>
          </w:tcPr>
          <w:p w14:paraId="16CF7603"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2FEF2037"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03B3B0A1"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HIGH</w:t>
            </w:r>
          </w:p>
          <w:p w14:paraId="1F8BD161"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51EC3541" w14:textId="77777777" w:rsidR="00B01069" w:rsidRPr="001D5149" w:rsidRDefault="00B01069" w:rsidP="00B01069">
            <w:pPr>
              <w:spacing w:before="0" w:line="240" w:lineRule="atLeast"/>
              <w:rPr>
                <w:rFonts w:eastAsia="Times New Roman" w:cs="Times New Roman"/>
                <w:i/>
                <w:iCs/>
                <w:color w:val="000000"/>
                <w:szCs w:val="20"/>
                <w:lang w:eastAsia="en-AU"/>
              </w:rPr>
            </w:pPr>
          </w:p>
          <w:p w14:paraId="6DC3CF3C"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0BF21BB9"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583CD060" w14:textId="77777777" w:rsidTr="00BE2101">
        <w:trPr>
          <w:trHeight w:val="2400"/>
          <w:jc w:val="center"/>
        </w:trPr>
        <w:tc>
          <w:tcPr>
            <w:tcW w:w="1418" w:type="dxa"/>
          </w:tcPr>
          <w:p w14:paraId="3E0F6CCC" w14:textId="77777777" w:rsidR="00B01069" w:rsidRPr="00B01069" w:rsidRDefault="00B01069" w:rsidP="00B01069">
            <w:pPr>
              <w:keepNext/>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Lee et al 2017</w:t>
            </w:r>
          </w:p>
        </w:tc>
        <w:tc>
          <w:tcPr>
            <w:tcW w:w="2268" w:type="dxa"/>
          </w:tcPr>
          <w:p w14:paraId="70CDA0E7"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relationship between iodine exposure and papillary thyroid carcinoma (PTC) prevalence</w:t>
            </w:r>
          </w:p>
        </w:tc>
        <w:tc>
          <w:tcPr>
            <w:tcW w:w="1560" w:type="dxa"/>
          </w:tcPr>
          <w:p w14:paraId="1BA2B31C"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31 December 2015</w:t>
            </w:r>
          </w:p>
        </w:tc>
        <w:tc>
          <w:tcPr>
            <w:tcW w:w="6367" w:type="dxa"/>
          </w:tcPr>
          <w:p w14:paraId="4BBDEFF2"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w:t>
            </w:r>
            <w:r w:rsidRPr="001D5149">
              <w:rPr>
                <w:rFonts w:cs="Helvetica"/>
                <w:color w:val="333333"/>
                <w:sz w:val="21"/>
                <w:szCs w:val="21"/>
                <w:shd w:val="clear" w:color="auto" w:fill="FFFFFF"/>
              </w:rPr>
              <w:t xml:space="preserve"> </w:t>
            </w:r>
            <w:r w:rsidRPr="001D5149">
              <w:rPr>
                <w:rFonts w:eastAsia="Times New Roman" w:cs="Times New Roman"/>
                <w:color w:val="000000"/>
                <w:szCs w:val="20"/>
                <w:lang w:eastAsia="en-AU"/>
              </w:rPr>
              <w:t>Patients with PTC and controls without PTC.</w:t>
            </w:r>
          </w:p>
          <w:p w14:paraId="50AAE849"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Varying level of iodine exposure determined by one of the following: (1) concentration of urinary iodine (2) reported average urinary iodine level of the population based on geographic location (3) the implementation of salt iodization (4) results of dietary questionnaire</w:t>
            </w:r>
          </w:p>
          <w:p w14:paraId="479E1C66"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Papillary thyroid carcinoma (PTC) prevalence.</w:t>
            </w:r>
          </w:p>
          <w:p w14:paraId="17B453C4"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Case-control studies</w:t>
            </w:r>
          </w:p>
        </w:tc>
        <w:tc>
          <w:tcPr>
            <w:tcW w:w="1984" w:type="dxa"/>
          </w:tcPr>
          <w:p w14:paraId="7BFE5074"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16 studies</w:t>
            </w:r>
          </w:p>
          <w:p w14:paraId="66617291"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(N&gt;100,000 participants)</w:t>
            </w:r>
          </w:p>
        </w:tc>
        <w:tc>
          <w:tcPr>
            <w:tcW w:w="1701" w:type="dxa"/>
          </w:tcPr>
          <w:p w14:paraId="43750B67"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7C434961"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3C62FBB6"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UNCLEAR</w:t>
            </w:r>
          </w:p>
          <w:p w14:paraId="3C5F3721"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2BD2C7CE" w14:textId="77777777" w:rsidR="00B01069" w:rsidRPr="001D5149" w:rsidRDefault="00B01069" w:rsidP="00B01069">
            <w:pPr>
              <w:spacing w:before="0" w:line="240" w:lineRule="atLeast"/>
              <w:rPr>
                <w:rFonts w:eastAsia="Times New Roman" w:cs="Times New Roman"/>
                <w:i/>
                <w:iCs/>
                <w:color w:val="000000"/>
                <w:szCs w:val="20"/>
                <w:lang w:eastAsia="en-AU"/>
              </w:rPr>
            </w:pPr>
          </w:p>
          <w:p w14:paraId="5047E301"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70DC8DE7" w14:textId="77777777" w:rsidR="00B01069" w:rsidRPr="001D5149" w:rsidRDefault="00B01069" w:rsidP="00B01069">
            <w:pPr>
              <w:keepNext/>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41767988" w14:textId="77777777" w:rsidTr="00BE2101">
        <w:trPr>
          <w:trHeight w:val="2160"/>
          <w:jc w:val="center"/>
        </w:trPr>
        <w:tc>
          <w:tcPr>
            <w:tcW w:w="1418" w:type="dxa"/>
          </w:tcPr>
          <w:p w14:paraId="3012DDA6"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Li et al 2022</w:t>
            </w:r>
          </w:p>
        </w:tc>
        <w:tc>
          <w:tcPr>
            <w:tcW w:w="2268" w:type="dxa"/>
          </w:tcPr>
          <w:p w14:paraId="5ECDFCEC"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effect of iodine excess on children’s intellectual development in areas with high iodine levels in their drinking water.</w:t>
            </w:r>
          </w:p>
        </w:tc>
        <w:tc>
          <w:tcPr>
            <w:tcW w:w="1560" w:type="dxa"/>
          </w:tcPr>
          <w:p w14:paraId="1F6CDED9"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31 January 2020</w:t>
            </w:r>
          </w:p>
        </w:tc>
        <w:tc>
          <w:tcPr>
            <w:tcW w:w="6367" w:type="dxa"/>
          </w:tcPr>
          <w:p w14:paraId="2EAE0100"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Participants aged 7 and 14 years</w:t>
            </w:r>
          </w:p>
          <w:p w14:paraId="6469327E"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I/E/C: Areas with high iodine in drinking water and endemic high iodine </w:t>
            </w:r>
            <w:proofErr w:type="spellStart"/>
            <w:r w:rsidRPr="001D5149">
              <w:rPr>
                <w:rFonts w:eastAsia="Times New Roman" w:cs="Times New Roman"/>
                <w:color w:val="000000"/>
                <w:szCs w:val="20"/>
                <w:lang w:eastAsia="en-AU"/>
              </w:rPr>
              <w:t>goiter</w:t>
            </w:r>
            <w:proofErr w:type="spellEnd"/>
            <w:r w:rsidRPr="001D5149">
              <w:rPr>
                <w:rFonts w:eastAsia="Times New Roman" w:cs="Times New Roman"/>
                <w:color w:val="000000"/>
                <w:szCs w:val="20"/>
                <w:lang w:eastAsia="en-AU"/>
              </w:rPr>
              <w:t xml:space="preserve"> areas, with high iodine content in drinking water defined as &gt;150 </w:t>
            </w:r>
            <w:proofErr w:type="spellStart"/>
            <w:r w:rsidRPr="001D5149">
              <w:rPr>
                <w:rFonts w:eastAsia="Times New Roman" w:cs="Times New Roman"/>
                <w:color w:val="000000"/>
                <w:szCs w:val="20"/>
                <w:lang w:eastAsia="en-AU"/>
              </w:rPr>
              <w:t>μg</w:t>
            </w:r>
            <w:proofErr w:type="spellEnd"/>
            <w:r w:rsidRPr="001D5149">
              <w:rPr>
                <w:rFonts w:eastAsia="Times New Roman" w:cs="Times New Roman"/>
                <w:color w:val="000000"/>
                <w:szCs w:val="20"/>
                <w:lang w:eastAsia="en-AU"/>
              </w:rPr>
              <w:t>/L and/or median urinary iodine of children &gt;400μg/L.</w:t>
            </w:r>
          </w:p>
          <w:p w14:paraId="32C2EF48"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Child neurocognitive development (intelligence)</w:t>
            </w:r>
          </w:p>
          <w:p w14:paraId="7B625905"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Cross-sectional or controlled studies.</w:t>
            </w:r>
          </w:p>
        </w:tc>
        <w:tc>
          <w:tcPr>
            <w:tcW w:w="1984" w:type="dxa"/>
          </w:tcPr>
          <w:p w14:paraId="06FE1A0B"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17 studies</w:t>
            </w:r>
          </w:p>
          <w:p w14:paraId="5D39C9F9"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(N=14,794)</w:t>
            </w:r>
          </w:p>
        </w:tc>
        <w:tc>
          <w:tcPr>
            <w:tcW w:w="1701" w:type="dxa"/>
          </w:tcPr>
          <w:p w14:paraId="0D063538"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42345E11"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6E0978E8"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HIGH</w:t>
            </w:r>
          </w:p>
          <w:p w14:paraId="7C70481A"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7A8AF5F8" w14:textId="77777777" w:rsidR="00B01069" w:rsidRPr="001D5149" w:rsidRDefault="00B01069" w:rsidP="00B01069">
            <w:pPr>
              <w:spacing w:before="0" w:line="240" w:lineRule="atLeast"/>
              <w:rPr>
                <w:rFonts w:eastAsia="Times New Roman" w:cs="Times New Roman"/>
                <w:i/>
                <w:iCs/>
                <w:color w:val="000000"/>
                <w:szCs w:val="20"/>
                <w:lang w:eastAsia="en-AU"/>
              </w:rPr>
            </w:pPr>
          </w:p>
          <w:p w14:paraId="400B13EB"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0407FCB6"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5D0F22F9" w14:textId="77777777" w:rsidTr="00BE2101">
        <w:trPr>
          <w:trHeight w:val="2890"/>
          <w:jc w:val="center"/>
        </w:trPr>
        <w:tc>
          <w:tcPr>
            <w:tcW w:w="1418" w:type="dxa"/>
          </w:tcPr>
          <w:p w14:paraId="79211EB5"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lastRenderedPageBreak/>
              <w:t>Liu et al 2022</w:t>
            </w:r>
          </w:p>
        </w:tc>
        <w:tc>
          <w:tcPr>
            <w:tcW w:w="2268" w:type="dxa"/>
          </w:tcPr>
          <w:p w14:paraId="06A410D3"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investigate if breast milk iodine concentration (BMIC) can be used as a biomarker for iodine status in lactating women and children &lt;2 years of age.</w:t>
            </w:r>
          </w:p>
        </w:tc>
        <w:tc>
          <w:tcPr>
            <w:tcW w:w="1560" w:type="dxa"/>
          </w:tcPr>
          <w:p w14:paraId="5F2626EC"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2021</w:t>
            </w:r>
          </w:p>
        </w:tc>
        <w:tc>
          <w:tcPr>
            <w:tcW w:w="6367" w:type="dxa"/>
          </w:tcPr>
          <w:p w14:paraId="55B01562"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Healthy lactating women and their children &lt;2 years of age (including neonates, infants, and toddlers).</w:t>
            </w:r>
          </w:p>
          <w:p w14:paraId="5F312EC9"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Varying levels of breastmilk iodine concentration (BMIC)</w:t>
            </w:r>
          </w:p>
          <w:p w14:paraId="7CDCBB38"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Iodine status in lactating women and children &lt;2 years of age measured by urinary iodine concentration (UIC) or and/or I/Cr ratio.</w:t>
            </w:r>
          </w:p>
          <w:p w14:paraId="3B074A41"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Not Specified</w:t>
            </w:r>
          </w:p>
        </w:tc>
        <w:tc>
          <w:tcPr>
            <w:tcW w:w="1984" w:type="dxa"/>
          </w:tcPr>
          <w:p w14:paraId="21B883A5"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51 studies</w:t>
            </w:r>
          </w:p>
          <w:p w14:paraId="3E9F1739"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(N=10,388 participants)</w:t>
            </w:r>
          </w:p>
        </w:tc>
        <w:tc>
          <w:tcPr>
            <w:tcW w:w="1701" w:type="dxa"/>
          </w:tcPr>
          <w:p w14:paraId="784ACE14"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68D0D671"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2EBF8C96"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HIGH</w:t>
            </w:r>
          </w:p>
          <w:p w14:paraId="058120AD"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HIGH</w:t>
            </w:r>
          </w:p>
          <w:p w14:paraId="45CF3994" w14:textId="77777777" w:rsidR="00B01069" w:rsidRPr="001D5149" w:rsidRDefault="00B01069" w:rsidP="00B01069">
            <w:pPr>
              <w:spacing w:before="0" w:line="240" w:lineRule="atLeast"/>
              <w:rPr>
                <w:rFonts w:eastAsia="Times New Roman" w:cs="Times New Roman"/>
                <w:i/>
                <w:iCs/>
                <w:color w:val="000000"/>
                <w:szCs w:val="20"/>
                <w:lang w:eastAsia="en-AU"/>
              </w:rPr>
            </w:pPr>
          </w:p>
          <w:p w14:paraId="39E0CD77"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00371AE3"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792B9652" w14:textId="77777777" w:rsidTr="00BE2101">
        <w:trPr>
          <w:trHeight w:val="2160"/>
          <w:jc w:val="center"/>
        </w:trPr>
        <w:tc>
          <w:tcPr>
            <w:tcW w:w="1418" w:type="dxa"/>
          </w:tcPr>
          <w:p w14:paraId="28BD8041"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proofErr w:type="spellStart"/>
            <w:r w:rsidRPr="00B01069">
              <w:rPr>
                <w:rFonts w:ascii="Gotham Medium" w:eastAsia="Times New Roman" w:hAnsi="Gotham Medium" w:cs="Times New Roman"/>
                <w:color w:val="000000"/>
                <w:szCs w:val="20"/>
                <w:lang w:eastAsia="en-AU"/>
              </w:rPr>
              <w:t>Machamba</w:t>
            </w:r>
            <w:proofErr w:type="spellEnd"/>
            <w:r w:rsidRPr="00B01069">
              <w:rPr>
                <w:rFonts w:ascii="Gotham Medium" w:eastAsia="Times New Roman" w:hAnsi="Gotham Medium" w:cs="Times New Roman"/>
                <w:color w:val="000000"/>
                <w:szCs w:val="20"/>
                <w:lang w:eastAsia="en-AU"/>
              </w:rPr>
              <w:t xml:space="preserve"> et al 2021</w:t>
            </w:r>
          </w:p>
        </w:tc>
        <w:tc>
          <w:tcPr>
            <w:tcW w:w="2268" w:type="dxa"/>
          </w:tcPr>
          <w:p w14:paraId="08EDFEA8"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effect of iodine supplementation during gestation on the neurocognitive development of children in areas where iodine deficiency is common.</w:t>
            </w:r>
          </w:p>
        </w:tc>
        <w:tc>
          <w:tcPr>
            <w:tcW w:w="1560" w:type="dxa"/>
          </w:tcPr>
          <w:p w14:paraId="2D4F199F"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April 2020</w:t>
            </w:r>
          </w:p>
        </w:tc>
        <w:tc>
          <w:tcPr>
            <w:tcW w:w="6367" w:type="dxa"/>
          </w:tcPr>
          <w:p w14:paraId="4E96B124"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w:t>
            </w:r>
          </w:p>
          <w:p w14:paraId="06169DC1"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Supplementation with iodine vs no supplementation</w:t>
            </w:r>
          </w:p>
          <w:p w14:paraId="2CAEA944"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Neurocognitive development outcomes</w:t>
            </w:r>
          </w:p>
          <w:p w14:paraId="43A0595D"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Randomized or non-randomized controlled trials or cohorts.</w:t>
            </w:r>
          </w:p>
        </w:tc>
        <w:tc>
          <w:tcPr>
            <w:tcW w:w="1984" w:type="dxa"/>
          </w:tcPr>
          <w:p w14:paraId="79911F72"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8 studies</w:t>
            </w:r>
          </w:p>
          <w:p w14:paraId="4F705060"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(No. participants unclear)</w:t>
            </w:r>
          </w:p>
        </w:tc>
        <w:tc>
          <w:tcPr>
            <w:tcW w:w="1701" w:type="dxa"/>
          </w:tcPr>
          <w:p w14:paraId="22C84560"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781A26D3"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1E505A46"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0BA3FF62"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HIGH</w:t>
            </w:r>
          </w:p>
          <w:p w14:paraId="2D88FED0" w14:textId="77777777" w:rsidR="00B01069" w:rsidRPr="001D5149" w:rsidRDefault="00B01069" w:rsidP="00B01069">
            <w:pPr>
              <w:spacing w:before="0" w:line="240" w:lineRule="atLeast"/>
              <w:rPr>
                <w:rFonts w:eastAsia="Times New Roman" w:cs="Times New Roman"/>
                <w:i/>
                <w:iCs/>
                <w:color w:val="000000"/>
                <w:szCs w:val="20"/>
                <w:lang w:eastAsia="en-AU"/>
              </w:rPr>
            </w:pPr>
          </w:p>
          <w:p w14:paraId="7BA42B7B"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6424F72E"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33E873D9" w14:textId="77777777" w:rsidTr="00BE2101">
        <w:trPr>
          <w:trHeight w:val="2880"/>
          <w:jc w:val="center"/>
        </w:trPr>
        <w:tc>
          <w:tcPr>
            <w:tcW w:w="1418" w:type="dxa"/>
          </w:tcPr>
          <w:p w14:paraId="1832B63C"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Monaghan et al 2021</w:t>
            </w:r>
          </w:p>
        </w:tc>
        <w:tc>
          <w:tcPr>
            <w:tcW w:w="2268" w:type="dxa"/>
          </w:tcPr>
          <w:p w14:paraId="6C85EBBE"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investigate the associations between iodine intakes and neurodevelopmental outcomes in the offspring of pregnant women.</w:t>
            </w:r>
          </w:p>
        </w:tc>
        <w:tc>
          <w:tcPr>
            <w:tcW w:w="1560" w:type="dxa"/>
          </w:tcPr>
          <w:p w14:paraId="68B1D0F5"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March 2021</w:t>
            </w:r>
          </w:p>
        </w:tc>
        <w:tc>
          <w:tcPr>
            <w:tcW w:w="6367" w:type="dxa"/>
          </w:tcPr>
          <w:p w14:paraId="08AA2771"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 and their children.</w:t>
            </w:r>
          </w:p>
          <w:p w14:paraId="02B7C4C4"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Varying iodine status during pregnancy measured by both maternal urinary iodine assessment (UIC and/or iodine creatine ratio (</w:t>
            </w:r>
            <w:proofErr w:type="spellStart"/>
            <w:r w:rsidRPr="001D5149">
              <w:rPr>
                <w:rFonts w:eastAsia="Times New Roman" w:cs="Times New Roman"/>
                <w:color w:val="000000"/>
                <w:szCs w:val="20"/>
                <w:lang w:eastAsia="en-AU"/>
              </w:rPr>
              <w:t>ICr</w:t>
            </w:r>
            <w:proofErr w:type="spellEnd"/>
            <w:r w:rsidRPr="001D5149">
              <w:rPr>
                <w:rFonts w:eastAsia="Times New Roman" w:cs="Times New Roman"/>
                <w:color w:val="000000"/>
                <w:szCs w:val="20"/>
                <w:lang w:eastAsia="en-AU"/>
              </w:rPr>
              <w:t>)) and dietary iodine intakes. Included: natural dietary sources and “accidental” supplementation e.g., women taking supplement prior to/not as part of the study Excluded: intentional dietary supplementation of iodine</w:t>
            </w:r>
          </w:p>
          <w:p w14:paraId="5F0434D8"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Neurocognitive development in child offspring</w:t>
            </w:r>
          </w:p>
          <w:p w14:paraId="3F6C31AA"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All study types e.g., prospective cohort, observational studies, and cross-sectional studies.</w:t>
            </w:r>
          </w:p>
        </w:tc>
        <w:tc>
          <w:tcPr>
            <w:tcW w:w="1984" w:type="dxa"/>
          </w:tcPr>
          <w:p w14:paraId="34BA2684"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12 studies</w:t>
            </w:r>
          </w:p>
          <w:p w14:paraId="64647509"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(N=124,000 participants)</w:t>
            </w:r>
          </w:p>
        </w:tc>
        <w:tc>
          <w:tcPr>
            <w:tcW w:w="1701" w:type="dxa"/>
          </w:tcPr>
          <w:p w14:paraId="7CEAC75D"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55EF269B"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52A8F0D5"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UNCLEAR</w:t>
            </w:r>
          </w:p>
          <w:p w14:paraId="362C0421"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UNCLEAR</w:t>
            </w:r>
          </w:p>
          <w:p w14:paraId="51A73D47" w14:textId="77777777" w:rsidR="00B01069" w:rsidRPr="001D5149" w:rsidRDefault="00B01069" w:rsidP="00B01069">
            <w:pPr>
              <w:spacing w:before="0" w:line="240" w:lineRule="atLeast"/>
              <w:rPr>
                <w:rFonts w:eastAsia="Times New Roman" w:cs="Times New Roman"/>
                <w:i/>
                <w:iCs/>
                <w:color w:val="000000"/>
                <w:szCs w:val="20"/>
                <w:lang w:eastAsia="en-AU"/>
              </w:rPr>
            </w:pPr>
          </w:p>
          <w:p w14:paraId="17E6BE16"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0A171E0C"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1A355222" w14:textId="77777777" w:rsidTr="00BE2101">
        <w:trPr>
          <w:trHeight w:val="4080"/>
          <w:jc w:val="center"/>
        </w:trPr>
        <w:tc>
          <w:tcPr>
            <w:tcW w:w="1418" w:type="dxa"/>
          </w:tcPr>
          <w:p w14:paraId="77B11C3A" w14:textId="77777777" w:rsidR="00B01069" w:rsidRPr="00B01069" w:rsidRDefault="00B01069" w:rsidP="00B01069">
            <w:pPr>
              <w:keepNext/>
              <w:spacing w:before="0" w:line="240" w:lineRule="atLeast"/>
              <w:jc w:val="center"/>
              <w:rPr>
                <w:rFonts w:ascii="Gotham Medium" w:eastAsia="Times New Roman" w:hAnsi="Gotham Medium" w:cs="Times New Roman"/>
                <w:color w:val="000000"/>
                <w:szCs w:val="20"/>
                <w:lang w:eastAsia="en-AU"/>
              </w:rPr>
            </w:pPr>
            <w:proofErr w:type="spellStart"/>
            <w:r w:rsidRPr="00B01069">
              <w:rPr>
                <w:rFonts w:ascii="Gotham Medium" w:eastAsia="Times New Roman" w:hAnsi="Gotham Medium" w:cs="Times New Roman"/>
                <w:color w:val="000000"/>
                <w:szCs w:val="20"/>
                <w:lang w:eastAsia="en-AU"/>
              </w:rPr>
              <w:lastRenderedPageBreak/>
              <w:t>Nazarpour</w:t>
            </w:r>
            <w:proofErr w:type="spellEnd"/>
            <w:r w:rsidRPr="00B01069">
              <w:rPr>
                <w:rFonts w:ascii="Gotham Medium" w:eastAsia="Times New Roman" w:hAnsi="Gotham Medium" w:cs="Times New Roman"/>
                <w:color w:val="000000"/>
                <w:szCs w:val="20"/>
                <w:lang w:eastAsia="en-AU"/>
              </w:rPr>
              <w:t xml:space="preserve"> et al 2020</w:t>
            </w:r>
          </w:p>
        </w:tc>
        <w:tc>
          <w:tcPr>
            <w:tcW w:w="2268" w:type="dxa"/>
          </w:tcPr>
          <w:p w14:paraId="6094D973"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investigate the association between gestational urinary iodine status and adverse pregnancy outcomes in euthyroid pregnant women.</w:t>
            </w:r>
          </w:p>
        </w:tc>
        <w:tc>
          <w:tcPr>
            <w:tcW w:w="1560" w:type="dxa"/>
          </w:tcPr>
          <w:p w14:paraId="4966FEB2" w14:textId="77777777" w:rsidR="00B01069" w:rsidRPr="001D5149" w:rsidRDefault="00B01069" w:rsidP="00B01069">
            <w:pPr>
              <w:keepNext/>
              <w:spacing w:before="0" w:line="240" w:lineRule="atLeast"/>
              <w:jc w:val="center"/>
              <w:rPr>
                <w:rFonts w:eastAsia="Times New Roman" w:cs="Times New Roman"/>
                <w:b/>
                <w:bCs/>
                <w:color w:val="000000"/>
                <w:szCs w:val="20"/>
                <w:lang w:eastAsia="en-AU"/>
              </w:rPr>
            </w:pPr>
            <w:r w:rsidRPr="001D5149">
              <w:rPr>
                <w:rFonts w:cs="Helvetica"/>
                <w:color w:val="333333"/>
                <w:sz w:val="21"/>
                <w:szCs w:val="21"/>
              </w:rPr>
              <w:t>October 2019</w:t>
            </w:r>
          </w:p>
        </w:tc>
        <w:tc>
          <w:tcPr>
            <w:tcW w:w="6367" w:type="dxa"/>
          </w:tcPr>
          <w:p w14:paraId="0F45DE6A"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Pregnant women without thyroid dysfunction who had not received iodine supplementation during pregnancy.</w:t>
            </w:r>
          </w:p>
          <w:p w14:paraId="067243A1"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Varying iodine status (via measurement of urinary iodine concentration (UIC) in the first half of pregnancy).</w:t>
            </w:r>
          </w:p>
          <w:p w14:paraId="68993706"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O: At least one pregnancy outcome, including pregnancy loss (abortion or stillbirth), gestational hypertension or preeclampsia, gestational diabetes, antenatal or postpartum </w:t>
            </w:r>
            <w:proofErr w:type="spellStart"/>
            <w:r w:rsidRPr="001D5149">
              <w:rPr>
                <w:rFonts w:eastAsia="Times New Roman" w:cs="Times New Roman"/>
                <w:color w:val="000000"/>
                <w:szCs w:val="20"/>
                <w:lang w:eastAsia="en-AU"/>
              </w:rPr>
              <w:t>hemorrhage</w:t>
            </w:r>
            <w:proofErr w:type="spellEnd"/>
            <w:r w:rsidRPr="001D5149">
              <w:rPr>
                <w:rFonts w:eastAsia="Times New Roman" w:cs="Times New Roman"/>
                <w:color w:val="000000"/>
                <w:szCs w:val="20"/>
                <w:lang w:eastAsia="en-AU"/>
              </w:rPr>
              <w:t xml:space="preserve">, placenta abruption, placenta previa, preterm birth, premature rupture of membranes (PROM), intrauterine growth restriction (IUGR), low birth weight (LBW), small for gestational age (SGA), </w:t>
            </w:r>
            <w:proofErr w:type="spellStart"/>
            <w:r w:rsidRPr="001D5149">
              <w:rPr>
                <w:rFonts w:eastAsia="Times New Roman" w:cs="Times New Roman"/>
                <w:color w:val="000000"/>
                <w:szCs w:val="20"/>
                <w:lang w:eastAsia="en-AU"/>
              </w:rPr>
              <w:t>fetal</w:t>
            </w:r>
            <w:proofErr w:type="spellEnd"/>
            <w:r w:rsidRPr="001D5149">
              <w:rPr>
                <w:rFonts w:eastAsia="Times New Roman" w:cs="Times New Roman"/>
                <w:color w:val="000000"/>
                <w:szCs w:val="20"/>
                <w:lang w:eastAsia="en-AU"/>
              </w:rPr>
              <w:t xml:space="preserve"> or neonatal distress, low Apgar score, neonatal death, malformation, and neonatal or NICU admission.</w:t>
            </w:r>
          </w:p>
          <w:p w14:paraId="58E0E294"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Randomized controlled trials (RCTs), non-randomized studies (NRS), prospective or retrospective cohort studies, and case-control studies.</w:t>
            </w:r>
          </w:p>
        </w:tc>
        <w:tc>
          <w:tcPr>
            <w:tcW w:w="1984" w:type="dxa"/>
          </w:tcPr>
          <w:p w14:paraId="46613C34"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 xml:space="preserve">6 studies </w:t>
            </w:r>
          </w:p>
          <w:p w14:paraId="1B4F7B13"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(N=7,698 participants)</w:t>
            </w:r>
          </w:p>
        </w:tc>
        <w:tc>
          <w:tcPr>
            <w:tcW w:w="1701" w:type="dxa"/>
          </w:tcPr>
          <w:p w14:paraId="533135C2"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21E8339D"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6410C33B"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721EAD49"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1DEAB738" w14:textId="77777777" w:rsidR="00B01069" w:rsidRPr="001D5149" w:rsidRDefault="00B01069" w:rsidP="00B01069">
            <w:pPr>
              <w:spacing w:before="0" w:line="240" w:lineRule="atLeast"/>
              <w:rPr>
                <w:rFonts w:eastAsia="Times New Roman" w:cs="Times New Roman"/>
                <w:i/>
                <w:iCs/>
                <w:color w:val="000000"/>
                <w:szCs w:val="20"/>
                <w:lang w:eastAsia="en-AU"/>
              </w:rPr>
            </w:pPr>
          </w:p>
          <w:p w14:paraId="50838FD2"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62315922" w14:textId="77777777" w:rsidR="00B01069" w:rsidRPr="001D5149" w:rsidRDefault="00B01069" w:rsidP="00B01069">
            <w:pPr>
              <w:keepNext/>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6B040271" w14:textId="77777777" w:rsidTr="00BE2101">
        <w:trPr>
          <w:trHeight w:val="2400"/>
          <w:jc w:val="center"/>
        </w:trPr>
        <w:tc>
          <w:tcPr>
            <w:tcW w:w="1418" w:type="dxa"/>
          </w:tcPr>
          <w:p w14:paraId="0A9CA198"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Nazeri et al 2016</w:t>
            </w:r>
          </w:p>
        </w:tc>
        <w:tc>
          <w:tcPr>
            <w:tcW w:w="2268" w:type="dxa"/>
          </w:tcPr>
          <w:p w14:paraId="35F00362"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explore the association of neonatal thyrotropin concentrations and iodine status of mothers during pregnancy and early postpartum periods.</w:t>
            </w:r>
          </w:p>
        </w:tc>
        <w:tc>
          <w:tcPr>
            <w:tcW w:w="1560" w:type="dxa"/>
          </w:tcPr>
          <w:p w14:paraId="53BEA529"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March 2015</w:t>
            </w:r>
          </w:p>
        </w:tc>
        <w:tc>
          <w:tcPr>
            <w:tcW w:w="6367" w:type="dxa"/>
          </w:tcPr>
          <w:p w14:paraId="53D2F893"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Healthy pregnant women, postpartum mothers (in the first few weeks after delivery), and their healthy full-term neonates.</w:t>
            </w:r>
          </w:p>
          <w:p w14:paraId="5F9701B5"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Varying levels of maternal urinary iodine concentrations (UICs). Studies with environmental or medical exposures were excluded.</w:t>
            </w:r>
          </w:p>
          <w:p w14:paraId="3F296295"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Correlation between maternal urinary iodine concentrations (UICs) and neonatal thyrotropin concentrations.</w:t>
            </w:r>
          </w:p>
          <w:p w14:paraId="31B7C233"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Not specified, observational studies.</w:t>
            </w:r>
          </w:p>
        </w:tc>
        <w:tc>
          <w:tcPr>
            <w:tcW w:w="1984" w:type="dxa"/>
          </w:tcPr>
          <w:p w14:paraId="71A1F0B9"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29 studies</w:t>
            </w:r>
          </w:p>
          <w:p w14:paraId="6C9CCD02"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(N&gt;500,000 participants)</w:t>
            </w:r>
          </w:p>
        </w:tc>
        <w:tc>
          <w:tcPr>
            <w:tcW w:w="1701" w:type="dxa"/>
          </w:tcPr>
          <w:p w14:paraId="5671C3D4"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657290D4"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772AF5AC"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461FAD76"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HIGH</w:t>
            </w:r>
          </w:p>
          <w:p w14:paraId="484E69F3" w14:textId="77777777" w:rsidR="00B01069" w:rsidRPr="001D5149" w:rsidRDefault="00B01069" w:rsidP="00B01069">
            <w:pPr>
              <w:spacing w:before="0" w:line="240" w:lineRule="atLeast"/>
              <w:rPr>
                <w:rFonts w:eastAsia="Times New Roman" w:cs="Times New Roman"/>
                <w:i/>
                <w:iCs/>
                <w:color w:val="000000"/>
                <w:szCs w:val="20"/>
                <w:lang w:eastAsia="en-AU"/>
              </w:rPr>
            </w:pPr>
          </w:p>
          <w:p w14:paraId="03436034"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4ACE64F6"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252C2E41" w14:textId="77777777" w:rsidTr="00BE2101">
        <w:trPr>
          <w:trHeight w:val="3840"/>
          <w:jc w:val="center"/>
        </w:trPr>
        <w:tc>
          <w:tcPr>
            <w:tcW w:w="1418" w:type="dxa"/>
          </w:tcPr>
          <w:p w14:paraId="13DE8810" w14:textId="77777777" w:rsidR="00B01069" w:rsidRPr="00B01069" w:rsidRDefault="00B01069" w:rsidP="00B01069">
            <w:pPr>
              <w:keepNext/>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lastRenderedPageBreak/>
              <w:t>Nazeri et al 2020a</w:t>
            </w:r>
          </w:p>
        </w:tc>
        <w:tc>
          <w:tcPr>
            <w:tcW w:w="2268" w:type="dxa"/>
          </w:tcPr>
          <w:p w14:paraId="5B168D93"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association between maternal urinary iodine concentration (UIC) and thyroglobulin (</w:t>
            </w:r>
            <w:proofErr w:type="spellStart"/>
            <w:r w:rsidRPr="001D5149">
              <w:rPr>
                <w:rFonts w:eastAsia="Times New Roman" w:cs="Times New Roman"/>
                <w:color w:val="000000"/>
                <w:szCs w:val="20"/>
                <w:lang w:eastAsia="en-AU"/>
              </w:rPr>
              <w:t>Tg</w:t>
            </w:r>
            <w:proofErr w:type="spellEnd"/>
            <w:r w:rsidRPr="001D5149">
              <w:rPr>
                <w:rFonts w:eastAsia="Times New Roman" w:cs="Times New Roman"/>
                <w:color w:val="000000"/>
                <w:szCs w:val="20"/>
                <w:lang w:eastAsia="en-AU"/>
              </w:rPr>
              <w:t xml:space="preserve">) levels during pregnancy, and to determine whether </w:t>
            </w:r>
            <w:proofErr w:type="spellStart"/>
            <w:r w:rsidRPr="001D5149">
              <w:rPr>
                <w:rFonts w:eastAsia="Times New Roman" w:cs="Times New Roman"/>
                <w:color w:val="000000"/>
                <w:szCs w:val="20"/>
                <w:lang w:eastAsia="en-AU"/>
              </w:rPr>
              <w:t>Tg</w:t>
            </w:r>
            <w:proofErr w:type="spellEnd"/>
            <w:r w:rsidRPr="001D5149">
              <w:rPr>
                <w:rFonts w:eastAsia="Times New Roman" w:cs="Times New Roman"/>
                <w:color w:val="000000"/>
                <w:szCs w:val="20"/>
                <w:lang w:eastAsia="en-AU"/>
              </w:rPr>
              <w:t xml:space="preserve"> concentration accurately reflects iodine status among populations of pregnant women, using the median UIC as an index of iodine status.</w:t>
            </w:r>
          </w:p>
        </w:tc>
        <w:tc>
          <w:tcPr>
            <w:tcW w:w="1560" w:type="dxa"/>
          </w:tcPr>
          <w:p w14:paraId="0B423059"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December 2018</w:t>
            </w:r>
          </w:p>
        </w:tc>
        <w:tc>
          <w:tcPr>
            <w:tcW w:w="6367" w:type="dxa"/>
          </w:tcPr>
          <w:p w14:paraId="0545880C"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Healthy pregnant women and their infants.</w:t>
            </w:r>
          </w:p>
          <w:p w14:paraId="5780F34C"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Varying maternal iodine status during pregnancy</w:t>
            </w:r>
          </w:p>
          <w:p w14:paraId="09029AA1"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Thyroglobulin concentration</w:t>
            </w:r>
          </w:p>
          <w:p w14:paraId="43F2DB2B"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Not specified</w:t>
            </w:r>
          </w:p>
        </w:tc>
        <w:tc>
          <w:tcPr>
            <w:tcW w:w="1984" w:type="dxa"/>
          </w:tcPr>
          <w:p w14:paraId="56CEE1CD"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25 studies</w:t>
            </w:r>
          </w:p>
          <w:p w14:paraId="59B965DD"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(N=18,965 participants)</w:t>
            </w:r>
          </w:p>
        </w:tc>
        <w:tc>
          <w:tcPr>
            <w:tcW w:w="1701" w:type="dxa"/>
          </w:tcPr>
          <w:p w14:paraId="3885BACF"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7D5C63C6"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5C6C9532"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HIGH</w:t>
            </w:r>
          </w:p>
          <w:p w14:paraId="4CA47927"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5CC8ACC6" w14:textId="77777777" w:rsidR="00B01069" w:rsidRPr="001D5149" w:rsidRDefault="00B01069" w:rsidP="00B01069">
            <w:pPr>
              <w:spacing w:before="0" w:line="240" w:lineRule="atLeast"/>
              <w:rPr>
                <w:rFonts w:eastAsia="Times New Roman" w:cs="Times New Roman"/>
                <w:i/>
                <w:iCs/>
                <w:color w:val="000000"/>
                <w:szCs w:val="20"/>
                <w:lang w:eastAsia="en-AU"/>
              </w:rPr>
            </w:pPr>
          </w:p>
          <w:p w14:paraId="19991F71"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22580107" w14:textId="77777777" w:rsidR="00B01069" w:rsidRPr="001D5149" w:rsidRDefault="00B01069" w:rsidP="00B01069">
            <w:pPr>
              <w:keepNext/>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0115A3D6" w14:textId="77777777" w:rsidTr="00BE2101">
        <w:trPr>
          <w:trHeight w:val="3840"/>
          <w:jc w:val="center"/>
        </w:trPr>
        <w:tc>
          <w:tcPr>
            <w:tcW w:w="1418" w:type="dxa"/>
          </w:tcPr>
          <w:p w14:paraId="2AF73CBF"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Nazeri et al 2020b</w:t>
            </w:r>
          </w:p>
        </w:tc>
        <w:tc>
          <w:tcPr>
            <w:tcW w:w="2268" w:type="dxa"/>
          </w:tcPr>
          <w:p w14:paraId="69E229A6"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investigate whether growth parameters at birth are associated with maternal urinary iodine concentration (UIC) or normal ranges of thyroid hormones during pregnancy.</w:t>
            </w:r>
          </w:p>
        </w:tc>
        <w:tc>
          <w:tcPr>
            <w:tcW w:w="1560" w:type="dxa"/>
          </w:tcPr>
          <w:p w14:paraId="2464C356" w14:textId="77777777" w:rsidR="00B01069" w:rsidRPr="001D5149" w:rsidRDefault="00B01069" w:rsidP="00B01069">
            <w:pPr>
              <w:spacing w:before="0" w:line="240" w:lineRule="atLeast"/>
              <w:jc w:val="center"/>
              <w:rPr>
                <w:rFonts w:cs="Helvetica"/>
                <w:color w:val="333333"/>
                <w:sz w:val="21"/>
                <w:szCs w:val="21"/>
              </w:rPr>
            </w:pPr>
            <w:r w:rsidRPr="001D5149">
              <w:rPr>
                <w:rFonts w:eastAsia="Times New Roman" w:cs="Times New Roman"/>
                <w:color w:val="000000"/>
                <w:szCs w:val="20"/>
                <w:lang w:eastAsia="en-AU"/>
              </w:rPr>
              <w:t>November 2018</w:t>
            </w:r>
          </w:p>
        </w:tc>
        <w:tc>
          <w:tcPr>
            <w:tcW w:w="6367" w:type="dxa"/>
          </w:tcPr>
          <w:p w14:paraId="48A681A6"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Healthy pregnant women (thyroid hormones within the normal range during pregnancy) and their healthy full-term neonates. Excluded: studies in which pregnant women had been exposed to environmental factors (</w:t>
            </w:r>
            <w:proofErr w:type="spellStart"/>
            <w:r w:rsidRPr="001D5149">
              <w:rPr>
                <w:rFonts w:eastAsia="Times New Roman" w:cs="Times New Roman"/>
                <w:color w:val="000000"/>
                <w:szCs w:val="20"/>
                <w:lang w:eastAsia="en-AU"/>
              </w:rPr>
              <w:t>ie</w:t>
            </w:r>
            <w:proofErr w:type="spellEnd"/>
            <w:r w:rsidRPr="001D5149">
              <w:rPr>
                <w:rFonts w:eastAsia="Times New Roman" w:cs="Times New Roman"/>
                <w:color w:val="000000"/>
                <w:szCs w:val="20"/>
                <w:lang w:eastAsia="en-AU"/>
              </w:rPr>
              <w:t xml:space="preserve">, tobacco use, iodine supplements, and iodine </w:t>
            </w:r>
            <w:proofErr w:type="spellStart"/>
            <w:proofErr w:type="gramStart"/>
            <w:r w:rsidRPr="001D5149">
              <w:rPr>
                <w:rFonts w:eastAsia="Times New Roman" w:cs="Times New Roman"/>
                <w:color w:val="000000"/>
                <w:szCs w:val="20"/>
                <w:lang w:eastAsia="en-AU"/>
              </w:rPr>
              <w:t>overload,eg</w:t>
            </w:r>
            <w:proofErr w:type="spellEnd"/>
            <w:proofErr w:type="gramEnd"/>
            <w:r w:rsidRPr="001D5149">
              <w:rPr>
                <w:rFonts w:eastAsia="Times New Roman" w:cs="Times New Roman"/>
                <w:color w:val="000000"/>
                <w:szCs w:val="20"/>
                <w:lang w:eastAsia="en-AU"/>
              </w:rPr>
              <w:t>, iodine-containing contrast media, radioactive iodine, and povidone-iodine for disinfection), pregnant women with thyroid disorders and/or in preterm, LBW, or unhealthy newborns.</w:t>
            </w:r>
          </w:p>
          <w:p w14:paraId="36C89B1E"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I/E/C: Varying level of maternal iodine status </w:t>
            </w:r>
          </w:p>
          <w:p w14:paraId="48F39142"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Neonatal anthropometric measures at birth. Birth weight, length, and head, chest, and abdominal circumference, subscapular and triceps skinfolds, and small-for-gestational age (SGA) status.</w:t>
            </w:r>
          </w:p>
          <w:p w14:paraId="43187621" w14:textId="77777777" w:rsidR="00B01069" w:rsidRPr="001D5149" w:rsidRDefault="00B01069" w:rsidP="00B01069">
            <w:pPr>
              <w:spacing w:before="0" w:after="120" w:line="240" w:lineRule="atLeast"/>
              <w:rPr>
                <w:rFonts w:eastAsia="Times New Roman" w:cs="Times New Roman"/>
                <w:color w:val="000000"/>
                <w:szCs w:val="20"/>
                <w:highlight w:val="yellow"/>
                <w:lang w:eastAsia="en-AU"/>
              </w:rPr>
            </w:pPr>
            <w:r w:rsidRPr="001D5149">
              <w:rPr>
                <w:rFonts w:eastAsia="Times New Roman" w:cs="Times New Roman"/>
                <w:color w:val="000000"/>
                <w:szCs w:val="20"/>
                <w:lang w:eastAsia="en-AU"/>
              </w:rPr>
              <w:t>TS: Longitudinal observational studies.</w:t>
            </w:r>
          </w:p>
        </w:tc>
        <w:tc>
          <w:tcPr>
            <w:tcW w:w="1984" w:type="dxa"/>
          </w:tcPr>
          <w:p w14:paraId="1C78B212"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19 studies</w:t>
            </w:r>
          </w:p>
          <w:p w14:paraId="5D542D76"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(N=11,000 participants)</w:t>
            </w:r>
          </w:p>
        </w:tc>
        <w:tc>
          <w:tcPr>
            <w:tcW w:w="1701" w:type="dxa"/>
          </w:tcPr>
          <w:p w14:paraId="0160E84E" w14:textId="77777777" w:rsidR="00B01069" w:rsidRPr="001D5149" w:rsidRDefault="00B01069" w:rsidP="00B01069">
            <w:pPr>
              <w:keepNext/>
              <w:spacing w:before="0" w:line="240" w:lineRule="atLeast"/>
              <w:rPr>
                <w:rFonts w:eastAsia="Times New Roman" w:cs="Times New Roman"/>
                <w:i/>
                <w:iCs/>
                <w:color w:val="000000"/>
                <w:szCs w:val="20"/>
                <w:lang w:eastAsia="en-AU"/>
              </w:rPr>
            </w:pPr>
          </w:p>
          <w:p w14:paraId="7DBCA30B" w14:textId="77777777" w:rsidR="00B01069" w:rsidRPr="001D5149" w:rsidRDefault="00B01069" w:rsidP="00B01069">
            <w:pPr>
              <w:keepNext/>
              <w:spacing w:before="0" w:line="240" w:lineRule="atLeast"/>
              <w:rPr>
                <w:rFonts w:eastAsia="Times New Roman" w:cs="Times New Roman"/>
                <w:i/>
                <w:iCs/>
                <w:color w:val="000000"/>
                <w:szCs w:val="20"/>
                <w:lang w:eastAsia="en-AU"/>
              </w:rPr>
            </w:pPr>
          </w:p>
          <w:p w14:paraId="48C7CB5E"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33D1A998"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0D63FAE6"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HIGH</w:t>
            </w:r>
          </w:p>
          <w:p w14:paraId="4F9CF264"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530BBFF1" w14:textId="77777777" w:rsidR="00B01069" w:rsidRPr="001D5149" w:rsidRDefault="00B01069" w:rsidP="00B01069">
            <w:pPr>
              <w:spacing w:before="0" w:line="240" w:lineRule="atLeast"/>
              <w:rPr>
                <w:rFonts w:eastAsia="Times New Roman" w:cs="Times New Roman"/>
                <w:i/>
                <w:iCs/>
                <w:color w:val="000000"/>
                <w:szCs w:val="20"/>
                <w:lang w:eastAsia="en-AU"/>
              </w:rPr>
            </w:pPr>
          </w:p>
          <w:p w14:paraId="04CF63AF"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232FEFF7"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b/>
                <w:bCs/>
                <w:i/>
                <w:iCs/>
                <w:color w:val="000000"/>
                <w:szCs w:val="20"/>
                <w:lang w:eastAsia="en-AU"/>
              </w:rPr>
              <w:t>HIGH</w:t>
            </w:r>
          </w:p>
        </w:tc>
      </w:tr>
      <w:tr w:rsidR="00B01069" w:rsidRPr="001D5149" w14:paraId="65B45432" w14:textId="77777777" w:rsidTr="00BE2101">
        <w:trPr>
          <w:trHeight w:val="2160"/>
          <w:jc w:val="center"/>
        </w:trPr>
        <w:tc>
          <w:tcPr>
            <w:tcW w:w="1418" w:type="dxa"/>
          </w:tcPr>
          <w:p w14:paraId="363AF8B2"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lastRenderedPageBreak/>
              <w:t>Nazeri et al 2021</w:t>
            </w:r>
          </w:p>
        </w:tc>
        <w:tc>
          <w:tcPr>
            <w:tcW w:w="2268" w:type="dxa"/>
          </w:tcPr>
          <w:p w14:paraId="0F63A819"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effects of iodine supplementation in pregnancy and investigate its potential benefits on infant growth parameters and neurocognitive development.</w:t>
            </w:r>
          </w:p>
        </w:tc>
        <w:tc>
          <w:tcPr>
            <w:tcW w:w="1560" w:type="dxa"/>
          </w:tcPr>
          <w:p w14:paraId="7D348771" w14:textId="77777777" w:rsidR="00B01069" w:rsidRPr="001D5149" w:rsidRDefault="00B01069" w:rsidP="00B01069">
            <w:pPr>
              <w:spacing w:before="0" w:line="240" w:lineRule="atLeast"/>
              <w:jc w:val="center"/>
              <w:rPr>
                <w:rFonts w:cs="Helvetica"/>
                <w:color w:val="333333"/>
                <w:sz w:val="21"/>
                <w:szCs w:val="21"/>
              </w:rPr>
            </w:pPr>
            <w:r w:rsidRPr="001D5149">
              <w:rPr>
                <w:rFonts w:eastAsia="Times New Roman" w:cs="Times New Roman"/>
                <w:color w:val="000000"/>
                <w:szCs w:val="20"/>
                <w:lang w:eastAsia="en-AU"/>
              </w:rPr>
              <w:t>December 2019</w:t>
            </w:r>
          </w:p>
        </w:tc>
        <w:tc>
          <w:tcPr>
            <w:tcW w:w="6367" w:type="dxa"/>
          </w:tcPr>
          <w:p w14:paraId="633CFB60"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Healthy pregnant women and their infants</w:t>
            </w:r>
          </w:p>
          <w:p w14:paraId="35847F7F"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iodine supplementation, lower doses of iodine, a placebo or no supplementation</w:t>
            </w:r>
          </w:p>
          <w:p w14:paraId="371BFB03"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Iodine status, different thyroid parameters, growth status, neurocognitive development, pregnancy or neonatal complications.</w:t>
            </w:r>
          </w:p>
          <w:p w14:paraId="47796DB1" w14:textId="77777777" w:rsidR="00B01069" w:rsidRPr="001D5149" w:rsidRDefault="00B01069" w:rsidP="00B01069">
            <w:pPr>
              <w:spacing w:before="0" w:after="120" w:line="240" w:lineRule="atLeast"/>
              <w:rPr>
                <w:rFonts w:eastAsia="Times New Roman" w:cs="Times New Roman"/>
                <w:color w:val="000000"/>
                <w:szCs w:val="20"/>
                <w:highlight w:val="yellow"/>
                <w:lang w:eastAsia="en-AU"/>
              </w:rPr>
            </w:pPr>
            <w:r w:rsidRPr="001D5149">
              <w:rPr>
                <w:rFonts w:eastAsia="Times New Roman" w:cs="Times New Roman"/>
                <w:color w:val="000000"/>
                <w:szCs w:val="20"/>
                <w:lang w:eastAsia="en-AU"/>
              </w:rPr>
              <w:t>TS: Randomized or quasi-randomized controlled trials.</w:t>
            </w:r>
          </w:p>
        </w:tc>
        <w:tc>
          <w:tcPr>
            <w:tcW w:w="1984" w:type="dxa"/>
          </w:tcPr>
          <w:p w14:paraId="187203B5"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14 studies</w:t>
            </w:r>
          </w:p>
          <w:p w14:paraId="6904F983"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(N=3432 participants)</w:t>
            </w:r>
          </w:p>
        </w:tc>
        <w:tc>
          <w:tcPr>
            <w:tcW w:w="1701" w:type="dxa"/>
          </w:tcPr>
          <w:p w14:paraId="7EE510B8"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34BF65E5"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2DB4D031"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UNCLEAR</w:t>
            </w:r>
          </w:p>
          <w:p w14:paraId="0CA3C504"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HIGH</w:t>
            </w:r>
          </w:p>
          <w:p w14:paraId="01C9DC6F" w14:textId="77777777" w:rsidR="00B01069" w:rsidRPr="001D5149" w:rsidRDefault="00B01069" w:rsidP="00B01069">
            <w:pPr>
              <w:spacing w:before="0" w:line="240" w:lineRule="atLeast"/>
              <w:rPr>
                <w:rFonts w:eastAsia="Times New Roman" w:cs="Times New Roman"/>
                <w:i/>
                <w:iCs/>
                <w:color w:val="000000"/>
                <w:szCs w:val="20"/>
                <w:lang w:eastAsia="en-AU"/>
              </w:rPr>
            </w:pPr>
          </w:p>
          <w:p w14:paraId="381A47B8"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633E3CEE" w14:textId="77777777" w:rsidR="00B01069" w:rsidRPr="001D5149" w:rsidRDefault="00B01069" w:rsidP="00B01069">
            <w:pPr>
              <w:keepNext/>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35AF0AEF" w14:textId="77777777" w:rsidTr="00BE2101">
        <w:trPr>
          <w:trHeight w:val="1930"/>
          <w:jc w:val="center"/>
        </w:trPr>
        <w:tc>
          <w:tcPr>
            <w:tcW w:w="1418" w:type="dxa"/>
          </w:tcPr>
          <w:p w14:paraId="520EE4EB"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highlight w:val="yellow"/>
                <w:lang w:eastAsia="en-AU"/>
              </w:rPr>
            </w:pPr>
            <w:r w:rsidRPr="00B01069">
              <w:rPr>
                <w:rFonts w:ascii="Gotham Medium" w:eastAsia="Times New Roman" w:hAnsi="Gotham Medium" w:cs="Times New Roman"/>
                <w:color w:val="000000"/>
                <w:szCs w:val="20"/>
                <w:lang w:eastAsia="en-AU"/>
              </w:rPr>
              <w:t>Nazeri et al 2024</w:t>
            </w:r>
          </w:p>
        </w:tc>
        <w:tc>
          <w:tcPr>
            <w:tcW w:w="2268" w:type="dxa"/>
          </w:tcPr>
          <w:p w14:paraId="2070F4A6"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whether postpartum maternal iodine status or supplementation is associated with thyroid function after delivery.</w:t>
            </w:r>
          </w:p>
        </w:tc>
        <w:tc>
          <w:tcPr>
            <w:tcW w:w="1560" w:type="dxa"/>
          </w:tcPr>
          <w:p w14:paraId="28663FA6"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December 2021</w:t>
            </w:r>
          </w:p>
        </w:tc>
        <w:tc>
          <w:tcPr>
            <w:tcW w:w="6367" w:type="dxa"/>
          </w:tcPr>
          <w:p w14:paraId="75A497BF"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Healthy postpartum women with or without breastfeeding.</w:t>
            </w:r>
          </w:p>
          <w:p w14:paraId="465E6F6D"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Maternal iodine status during postpartum (sufficiency vs deficiency)</w:t>
            </w:r>
          </w:p>
          <w:p w14:paraId="2FE577F3"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Thyroid function parameters (TSH, FT4, T4)</w:t>
            </w:r>
          </w:p>
          <w:p w14:paraId="11376678"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Observational and intervention studies.</w:t>
            </w:r>
          </w:p>
        </w:tc>
        <w:tc>
          <w:tcPr>
            <w:tcW w:w="1984" w:type="dxa"/>
          </w:tcPr>
          <w:p w14:paraId="1562BE1F"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18 studies</w:t>
            </w:r>
          </w:p>
          <w:p w14:paraId="08246B67"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(N=5,197)</w:t>
            </w:r>
          </w:p>
        </w:tc>
        <w:tc>
          <w:tcPr>
            <w:tcW w:w="1701" w:type="dxa"/>
          </w:tcPr>
          <w:p w14:paraId="78391479"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40D35FCA"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UNCLEAR</w:t>
            </w:r>
          </w:p>
          <w:p w14:paraId="080EAFB6"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UNCLEAR</w:t>
            </w:r>
          </w:p>
          <w:p w14:paraId="36779F1A"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261F74F3" w14:textId="77777777" w:rsidR="00B01069" w:rsidRPr="001D5149" w:rsidRDefault="00B01069" w:rsidP="00B01069">
            <w:pPr>
              <w:spacing w:before="0" w:line="240" w:lineRule="atLeast"/>
              <w:rPr>
                <w:rFonts w:eastAsia="Times New Roman" w:cs="Times New Roman"/>
                <w:i/>
                <w:iCs/>
                <w:color w:val="000000"/>
                <w:szCs w:val="20"/>
                <w:lang w:eastAsia="en-AU"/>
              </w:rPr>
            </w:pPr>
          </w:p>
          <w:p w14:paraId="1FD65337"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7C431CA6"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UNCLEAR</w:t>
            </w:r>
          </w:p>
        </w:tc>
      </w:tr>
      <w:tr w:rsidR="00B01069" w:rsidRPr="001D5149" w14:paraId="6DC1DF45" w14:textId="77777777" w:rsidTr="00BE2101">
        <w:trPr>
          <w:trHeight w:val="2160"/>
          <w:jc w:val="center"/>
        </w:trPr>
        <w:tc>
          <w:tcPr>
            <w:tcW w:w="1418" w:type="dxa"/>
          </w:tcPr>
          <w:p w14:paraId="17434BC4"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proofErr w:type="spellStart"/>
            <w:r w:rsidRPr="00B01069">
              <w:rPr>
                <w:rFonts w:ascii="Gotham Medium" w:eastAsia="Times New Roman" w:hAnsi="Gotham Medium" w:cs="Times New Roman"/>
                <w:color w:val="000000"/>
                <w:szCs w:val="20"/>
                <w:lang w:eastAsia="en-AU"/>
              </w:rPr>
              <w:t>Wassie</w:t>
            </w:r>
            <w:proofErr w:type="spellEnd"/>
            <w:r w:rsidRPr="00B01069">
              <w:rPr>
                <w:rFonts w:ascii="Gotham Medium" w:eastAsia="Times New Roman" w:hAnsi="Gotham Medium" w:cs="Times New Roman"/>
                <w:color w:val="000000"/>
                <w:szCs w:val="20"/>
                <w:lang w:eastAsia="en-AU"/>
              </w:rPr>
              <w:t xml:space="preserve"> et al 2022</w:t>
            </w:r>
          </w:p>
        </w:tc>
        <w:tc>
          <w:tcPr>
            <w:tcW w:w="2268" w:type="dxa"/>
          </w:tcPr>
          <w:p w14:paraId="0BBE68FC"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investigate the associations between newborn thyroid-stimulating-hormone concentration (TSH) and childhood neurodevelopment and growth.</w:t>
            </w:r>
          </w:p>
        </w:tc>
        <w:tc>
          <w:tcPr>
            <w:tcW w:w="1560" w:type="dxa"/>
          </w:tcPr>
          <w:p w14:paraId="22CE49AA"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June 2020</w:t>
            </w:r>
          </w:p>
        </w:tc>
        <w:tc>
          <w:tcPr>
            <w:tcW w:w="6367" w:type="dxa"/>
          </w:tcPr>
          <w:p w14:paraId="5EECC87C"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Children up to 18 years of age. Children with congenital hypothyroidism (CH) were excluded.</w:t>
            </w:r>
          </w:p>
          <w:p w14:paraId="3CD4330F"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I/E/C: Varying newborn TSH level </w:t>
            </w:r>
          </w:p>
          <w:p w14:paraId="33B7A383"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Neurodevelopmental outcomes: cognitive, language, motor, and behavioural outcomes. Growth outcomes: weight, length, head circumference, waist circumference, skinfolds.</w:t>
            </w:r>
          </w:p>
          <w:p w14:paraId="2708A2FF"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Observational studies, intervention studies.</w:t>
            </w:r>
          </w:p>
        </w:tc>
        <w:tc>
          <w:tcPr>
            <w:tcW w:w="1984" w:type="dxa"/>
          </w:tcPr>
          <w:p w14:paraId="1161D247"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 xml:space="preserve">17 studies </w:t>
            </w:r>
          </w:p>
          <w:p w14:paraId="70CCA5C3"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(N=4,147 participants in cohorts; 503,706 in record-linkage)</w:t>
            </w:r>
          </w:p>
        </w:tc>
        <w:tc>
          <w:tcPr>
            <w:tcW w:w="1701" w:type="dxa"/>
          </w:tcPr>
          <w:p w14:paraId="76001DFA"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7D8AEEA3"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HIGH</w:t>
            </w:r>
          </w:p>
          <w:p w14:paraId="55F1D5EE"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HIGH</w:t>
            </w:r>
          </w:p>
          <w:p w14:paraId="39A8E8E6"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1FFB8670" w14:textId="77777777" w:rsidR="00B01069" w:rsidRPr="001D5149" w:rsidRDefault="00B01069" w:rsidP="00B01069">
            <w:pPr>
              <w:spacing w:before="0" w:line="240" w:lineRule="atLeast"/>
              <w:rPr>
                <w:rFonts w:eastAsia="Times New Roman" w:cs="Times New Roman"/>
                <w:i/>
                <w:iCs/>
                <w:color w:val="000000"/>
                <w:szCs w:val="20"/>
                <w:lang w:eastAsia="en-AU"/>
              </w:rPr>
            </w:pPr>
          </w:p>
          <w:p w14:paraId="0F614A16"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2263E7D7"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66521FC9" w14:textId="77777777" w:rsidTr="00BE2101">
        <w:trPr>
          <w:trHeight w:val="2040"/>
          <w:jc w:val="center"/>
        </w:trPr>
        <w:tc>
          <w:tcPr>
            <w:tcW w:w="1418" w:type="dxa"/>
          </w:tcPr>
          <w:p w14:paraId="419F54CD" w14:textId="77777777" w:rsidR="00B01069" w:rsidRPr="00B01069" w:rsidRDefault="00B01069" w:rsidP="00B01069">
            <w:pPr>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lastRenderedPageBreak/>
              <w:t>Weng et al 2017</w:t>
            </w:r>
          </w:p>
        </w:tc>
        <w:tc>
          <w:tcPr>
            <w:tcW w:w="2268" w:type="dxa"/>
          </w:tcPr>
          <w:p w14:paraId="18850455"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assess the prevalence of thyroid disease with different urinary iodine concentrations (UICs) in the general population of mainland China.</w:t>
            </w:r>
          </w:p>
        </w:tc>
        <w:tc>
          <w:tcPr>
            <w:tcW w:w="1560" w:type="dxa"/>
          </w:tcPr>
          <w:p w14:paraId="4203EBC6" w14:textId="77777777" w:rsidR="00B01069" w:rsidRPr="001D5149" w:rsidRDefault="00B01069" w:rsidP="00B01069">
            <w:pPr>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January 2016</w:t>
            </w:r>
          </w:p>
        </w:tc>
        <w:tc>
          <w:tcPr>
            <w:tcW w:w="6367" w:type="dxa"/>
          </w:tcPr>
          <w:p w14:paraId="2B78DBEE"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P: Participants from a random community-based sample in mainland China.</w:t>
            </w:r>
          </w:p>
          <w:p w14:paraId="5699FA7F"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Median UIC of region (3 subgroups: low-iodine group median UIC &lt;100 µg/L; medium-iodine group median UIC 100 to 299 µg/L; high iodine group with median UIC &gt;300 µg/L).</w:t>
            </w:r>
          </w:p>
          <w:p w14:paraId="6C2BCD73" w14:textId="77777777" w:rsidR="00B01069" w:rsidRPr="001D5149" w:rsidRDefault="00B01069" w:rsidP="00B01069">
            <w:pPr>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Thyroid disease (hyperthyroidism, hypothyroidism, thyroid cancer, thyroid nodules)</w:t>
            </w:r>
          </w:p>
        </w:tc>
        <w:tc>
          <w:tcPr>
            <w:tcW w:w="1984" w:type="dxa"/>
          </w:tcPr>
          <w:p w14:paraId="6775A385"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43 studies</w:t>
            </w:r>
          </w:p>
          <w:p w14:paraId="270F1124" w14:textId="77777777" w:rsidR="00B01069" w:rsidRPr="001D5149" w:rsidRDefault="00B01069" w:rsidP="00B01069">
            <w:pPr>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(N=178,995 participants)</w:t>
            </w:r>
          </w:p>
        </w:tc>
        <w:tc>
          <w:tcPr>
            <w:tcW w:w="1701" w:type="dxa"/>
          </w:tcPr>
          <w:p w14:paraId="0811542B"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LOW</w:t>
            </w:r>
          </w:p>
          <w:p w14:paraId="1BD6B10B"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UNCLEAR</w:t>
            </w:r>
          </w:p>
          <w:p w14:paraId="1652A80C"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HIGH</w:t>
            </w:r>
          </w:p>
          <w:p w14:paraId="7C059EE9"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HIGH</w:t>
            </w:r>
          </w:p>
          <w:p w14:paraId="7EAE4694" w14:textId="77777777" w:rsidR="00B01069" w:rsidRPr="001D5149" w:rsidRDefault="00B01069" w:rsidP="00B01069">
            <w:pPr>
              <w:spacing w:before="0" w:line="240" w:lineRule="atLeast"/>
              <w:rPr>
                <w:rFonts w:eastAsia="Times New Roman" w:cs="Times New Roman"/>
                <w:i/>
                <w:iCs/>
                <w:color w:val="000000"/>
                <w:szCs w:val="20"/>
                <w:lang w:eastAsia="en-AU"/>
              </w:rPr>
            </w:pPr>
          </w:p>
          <w:p w14:paraId="7ED6985E"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09A0510D" w14:textId="77777777" w:rsidR="00B01069" w:rsidRPr="001D5149" w:rsidRDefault="00B01069" w:rsidP="00B01069">
            <w:pPr>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r w:rsidR="00B01069" w:rsidRPr="001D5149" w14:paraId="20972BF5" w14:textId="77777777" w:rsidTr="00BE2101">
        <w:trPr>
          <w:trHeight w:val="2400"/>
          <w:jc w:val="center"/>
        </w:trPr>
        <w:tc>
          <w:tcPr>
            <w:tcW w:w="1418" w:type="dxa"/>
          </w:tcPr>
          <w:p w14:paraId="779A4778" w14:textId="77777777" w:rsidR="00B01069" w:rsidRPr="00B01069" w:rsidRDefault="00B01069" w:rsidP="00B01069">
            <w:pPr>
              <w:keepNext/>
              <w:spacing w:before="0" w:line="240" w:lineRule="atLeast"/>
              <w:jc w:val="center"/>
              <w:rPr>
                <w:rFonts w:ascii="Gotham Medium" w:eastAsia="Times New Roman" w:hAnsi="Gotham Medium" w:cs="Times New Roman"/>
                <w:color w:val="000000"/>
                <w:szCs w:val="20"/>
                <w:lang w:eastAsia="en-AU"/>
              </w:rPr>
            </w:pPr>
            <w:r w:rsidRPr="00B01069">
              <w:rPr>
                <w:rFonts w:ascii="Gotham Medium" w:eastAsia="Times New Roman" w:hAnsi="Gotham Medium" w:cs="Times New Roman"/>
                <w:color w:val="000000"/>
                <w:szCs w:val="20"/>
                <w:lang w:eastAsia="en-AU"/>
              </w:rPr>
              <w:t>Zhang et al 2022</w:t>
            </w:r>
          </w:p>
        </w:tc>
        <w:tc>
          <w:tcPr>
            <w:tcW w:w="2268" w:type="dxa"/>
          </w:tcPr>
          <w:p w14:paraId="74B4C48C"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To investigate the relationship between urinary iodine concentration (UIC) and papillary thyroid cancer (PTC).</w:t>
            </w:r>
          </w:p>
        </w:tc>
        <w:tc>
          <w:tcPr>
            <w:tcW w:w="1560" w:type="dxa"/>
          </w:tcPr>
          <w:p w14:paraId="55E515BC" w14:textId="77777777" w:rsidR="00B01069" w:rsidRPr="001D5149" w:rsidRDefault="00B01069" w:rsidP="00B01069">
            <w:pPr>
              <w:keepNext/>
              <w:spacing w:before="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September 2022</w:t>
            </w:r>
          </w:p>
        </w:tc>
        <w:tc>
          <w:tcPr>
            <w:tcW w:w="6367" w:type="dxa"/>
          </w:tcPr>
          <w:p w14:paraId="507FB645"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 xml:space="preserve">P: Papillary thyroid cancer (PTC) and non-PTC patients (including those with benign thyroid nodules, nodular </w:t>
            </w:r>
            <w:proofErr w:type="spellStart"/>
            <w:r w:rsidRPr="001D5149">
              <w:rPr>
                <w:rFonts w:eastAsia="Times New Roman" w:cs="Times New Roman"/>
                <w:color w:val="000000"/>
                <w:szCs w:val="20"/>
                <w:lang w:eastAsia="en-AU"/>
              </w:rPr>
              <w:t>goiter</w:t>
            </w:r>
            <w:proofErr w:type="spellEnd"/>
            <w:r w:rsidRPr="001D5149">
              <w:rPr>
                <w:rFonts w:eastAsia="Times New Roman" w:cs="Times New Roman"/>
                <w:color w:val="000000"/>
                <w:szCs w:val="20"/>
                <w:lang w:eastAsia="en-AU"/>
              </w:rPr>
              <w:t>, and thyroid adenomas), PTC patients with or without lymph node metastases (LNM), PTC patients with or without the BRAF mutation.</w:t>
            </w:r>
          </w:p>
          <w:p w14:paraId="4E806143"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I/E/C: Differing urinary iodine levels</w:t>
            </w:r>
          </w:p>
          <w:p w14:paraId="2E202C45"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O: Papillary thyroid cancer (PTC).</w:t>
            </w:r>
          </w:p>
          <w:p w14:paraId="234F203F" w14:textId="77777777" w:rsidR="00B01069" w:rsidRPr="001D5149" w:rsidRDefault="00B01069" w:rsidP="00B01069">
            <w:pPr>
              <w:keepNext/>
              <w:spacing w:before="0" w:after="120" w:line="240" w:lineRule="atLeast"/>
              <w:rPr>
                <w:rFonts w:eastAsia="Times New Roman" w:cs="Times New Roman"/>
                <w:color w:val="000000"/>
                <w:szCs w:val="20"/>
                <w:lang w:eastAsia="en-AU"/>
              </w:rPr>
            </w:pPr>
            <w:r w:rsidRPr="001D5149">
              <w:rPr>
                <w:rFonts w:eastAsia="Times New Roman" w:cs="Times New Roman"/>
                <w:color w:val="000000"/>
                <w:szCs w:val="20"/>
                <w:lang w:eastAsia="en-AU"/>
              </w:rPr>
              <w:t>TS: Case-control studies</w:t>
            </w:r>
          </w:p>
        </w:tc>
        <w:tc>
          <w:tcPr>
            <w:tcW w:w="1984" w:type="dxa"/>
          </w:tcPr>
          <w:p w14:paraId="2D94C7D0"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 xml:space="preserve">10 studies </w:t>
            </w:r>
          </w:p>
          <w:p w14:paraId="3FC22F82" w14:textId="77777777" w:rsidR="00B01069" w:rsidRPr="001D5149" w:rsidRDefault="00B01069" w:rsidP="00B01069">
            <w:pPr>
              <w:keepNext/>
              <w:spacing w:before="0" w:after="120" w:line="240" w:lineRule="atLeast"/>
              <w:jc w:val="center"/>
              <w:rPr>
                <w:rFonts w:eastAsia="Times New Roman" w:cs="Times New Roman"/>
                <w:color w:val="000000"/>
                <w:szCs w:val="20"/>
                <w:lang w:eastAsia="en-AU"/>
              </w:rPr>
            </w:pPr>
            <w:r w:rsidRPr="001D5149">
              <w:rPr>
                <w:rFonts w:eastAsia="Times New Roman" w:cs="Times New Roman"/>
                <w:color w:val="000000"/>
                <w:szCs w:val="20"/>
                <w:lang w:eastAsia="en-AU"/>
              </w:rPr>
              <w:t>(N=6,544 participants)</w:t>
            </w:r>
          </w:p>
        </w:tc>
        <w:tc>
          <w:tcPr>
            <w:tcW w:w="1701" w:type="dxa"/>
          </w:tcPr>
          <w:p w14:paraId="17A569DE"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D1: HIGH</w:t>
            </w:r>
          </w:p>
          <w:p w14:paraId="3FDB22BE"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D2: UNCLEAR</w:t>
            </w:r>
          </w:p>
          <w:p w14:paraId="54D0BC99" w14:textId="77777777" w:rsidR="00B01069" w:rsidRPr="001D5149" w:rsidRDefault="00B01069" w:rsidP="00B01069">
            <w:pPr>
              <w:keepNext/>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D3: LOW</w:t>
            </w:r>
          </w:p>
          <w:p w14:paraId="66E010CC" w14:textId="77777777" w:rsidR="00B01069" w:rsidRPr="001D5149" w:rsidRDefault="00B01069" w:rsidP="00B01069">
            <w:pPr>
              <w:spacing w:before="0" w:line="240" w:lineRule="atLeast"/>
              <w:rPr>
                <w:rFonts w:eastAsia="Times New Roman" w:cs="Times New Roman"/>
                <w:i/>
                <w:iCs/>
                <w:color w:val="000000"/>
                <w:szCs w:val="20"/>
                <w:lang w:eastAsia="en-AU"/>
              </w:rPr>
            </w:pPr>
            <w:r w:rsidRPr="001D5149">
              <w:rPr>
                <w:rFonts w:eastAsia="Times New Roman" w:cs="Times New Roman"/>
                <w:i/>
                <w:iCs/>
                <w:color w:val="000000"/>
                <w:szCs w:val="20"/>
                <w:lang w:eastAsia="en-AU"/>
              </w:rPr>
              <w:t>D4: LOW</w:t>
            </w:r>
          </w:p>
          <w:p w14:paraId="3CF14C6F" w14:textId="77777777" w:rsidR="00B01069" w:rsidRPr="001D5149" w:rsidRDefault="00B01069" w:rsidP="00B01069">
            <w:pPr>
              <w:spacing w:before="0" w:line="240" w:lineRule="atLeast"/>
              <w:rPr>
                <w:rFonts w:eastAsia="Times New Roman" w:cs="Times New Roman"/>
                <w:i/>
                <w:iCs/>
                <w:color w:val="000000"/>
                <w:szCs w:val="20"/>
                <w:lang w:eastAsia="en-AU"/>
              </w:rPr>
            </w:pPr>
          </w:p>
          <w:p w14:paraId="100E0E80" w14:textId="77777777" w:rsidR="00B01069" w:rsidRPr="001D5149" w:rsidRDefault="00B01069" w:rsidP="00B01069">
            <w:pPr>
              <w:spacing w:before="0" w:line="240" w:lineRule="atLeast"/>
              <w:rPr>
                <w:rFonts w:eastAsia="Times New Roman" w:cs="Times New Roman"/>
                <w:b/>
                <w:bCs/>
                <w:i/>
                <w:iCs/>
                <w:color w:val="000000"/>
                <w:szCs w:val="20"/>
                <w:lang w:eastAsia="en-AU"/>
              </w:rPr>
            </w:pPr>
            <w:r w:rsidRPr="001D5149">
              <w:rPr>
                <w:rFonts w:eastAsia="Times New Roman" w:cs="Times New Roman"/>
                <w:b/>
                <w:bCs/>
                <w:i/>
                <w:iCs/>
                <w:color w:val="000000"/>
                <w:szCs w:val="20"/>
                <w:lang w:eastAsia="en-AU"/>
              </w:rPr>
              <w:t>OVERALL:</w:t>
            </w:r>
          </w:p>
          <w:p w14:paraId="064F059E" w14:textId="77777777" w:rsidR="00B01069" w:rsidRPr="001D5149" w:rsidRDefault="00B01069" w:rsidP="00B01069">
            <w:pPr>
              <w:keepNext/>
              <w:spacing w:before="0" w:line="240" w:lineRule="atLeast"/>
              <w:rPr>
                <w:rFonts w:eastAsia="Times New Roman" w:cs="Times New Roman"/>
                <w:color w:val="000000"/>
                <w:szCs w:val="20"/>
                <w:lang w:eastAsia="en-AU"/>
              </w:rPr>
            </w:pPr>
            <w:r w:rsidRPr="001D5149">
              <w:rPr>
                <w:rFonts w:eastAsia="Times New Roman" w:cs="Times New Roman"/>
                <w:b/>
                <w:bCs/>
                <w:i/>
                <w:iCs/>
                <w:color w:val="000000"/>
                <w:szCs w:val="20"/>
                <w:lang w:eastAsia="en-AU"/>
              </w:rPr>
              <w:t>HIGH</w:t>
            </w:r>
          </w:p>
        </w:tc>
      </w:tr>
    </w:tbl>
    <w:p w14:paraId="49A7BF30" w14:textId="195CF660" w:rsidR="00902816" w:rsidRDefault="00902816" w:rsidP="00510FCB">
      <w:pPr>
        <w:spacing w:line="240" w:lineRule="atLeast"/>
        <w:rPr>
          <w:highlight w:val="yellow"/>
        </w:rPr>
      </w:pPr>
    </w:p>
    <w:p w14:paraId="1E64734E" w14:textId="5464D5A8" w:rsidR="00902816" w:rsidRDefault="00902816">
      <w:pPr>
        <w:spacing w:line="240" w:lineRule="atLeast"/>
        <w:rPr>
          <w:highlight w:val="yellow"/>
        </w:rPr>
      </w:pPr>
      <w:r>
        <w:rPr>
          <w:highlight w:val="yellow"/>
        </w:rPr>
        <w:br w:type="page"/>
      </w:r>
    </w:p>
    <w:p w14:paraId="6D808CB6" w14:textId="77777777" w:rsidR="00902816" w:rsidRPr="00064C26" w:rsidRDefault="00902816" w:rsidP="00902816">
      <w:pPr>
        <w:pStyle w:val="Heading3"/>
      </w:pPr>
      <w:bookmarkStart w:id="184" w:name="_Toc210406414"/>
      <w:bookmarkStart w:id="185" w:name="_Toc212567913"/>
      <w:r>
        <w:lastRenderedPageBreak/>
        <w:t>Risk of bias of systematic reviews</w:t>
      </w:r>
      <w:bookmarkEnd w:id="184"/>
      <w:bookmarkEnd w:id="185"/>
    </w:p>
    <w:p w14:paraId="77A30BEA" w14:textId="2EE0E6DB" w:rsidR="00902816" w:rsidRDefault="00902816" w:rsidP="00A71DA6">
      <w:pPr>
        <w:pStyle w:val="TableTitle"/>
        <w:spacing w:after="120"/>
      </w:pPr>
      <w:r>
        <w:t>Summary of risk of bias assessments conducted by KSR Evidence and additional NHMRC commentary about the implications of risk of bias for NRV development</w:t>
      </w:r>
    </w:p>
    <w:tbl>
      <w:tblPr>
        <w:tblStyle w:val="DefaultTable1"/>
        <w:tblW w:w="15304" w:type="dxa"/>
        <w:jc w:val="center"/>
        <w:tblInd w:w="0" w:type="dxa"/>
        <w:tblBorders>
          <w:insideV w:val="none" w:sz="0" w:space="0" w:color="auto"/>
        </w:tblBorders>
        <w:tblLayout w:type="fixed"/>
        <w:tblLook w:val="0620" w:firstRow="1" w:lastRow="0" w:firstColumn="0" w:lastColumn="0" w:noHBand="1" w:noVBand="1"/>
      </w:tblPr>
      <w:tblGrid>
        <w:gridCol w:w="1417"/>
        <w:gridCol w:w="2353"/>
        <w:gridCol w:w="2353"/>
        <w:gridCol w:w="2353"/>
        <w:gridCol w:w="2353"/>
        <w:gridCol w:w="1215"/>
        <w:gridCol w:w="3260"/>
      </w:tblGrid>
      <w:tr w:rsidR="004110E7" w:rsidRPr="00A71DA6" w14:paraId="3CB0771B" w14:textId="77777777" w:rsidTr="00D75D51">
        <w:trPr>
          <w:cnfStyle w:val="100000000000" w:firstRow="1" w:lastRow="0" w:firstColumn="0" w:lastColumn="0" w:oddVBand="0" w:evenVBand="0" w:oddHBand="0" w:evenHBand="0" w:firstRowFirstColumn="0" w:firstRowLastColumn="0" w:lastRowFirstColumn="0" w:lastRowLastColumn="0"/>
          <w:trHeight w:val="914"/>
          <w:tblHeader/>
          <w:jc w:val="center"/>
        </w:trPr>
        <w:tc>
          <w:tcPr>
            <w:tcW w:w="1417" w:type="dxa"/>
            <w:hideMark/>
          </w:tcPr>
          <w:p w14:paraId="38297B90" w14:textId="77777777" w:rsidR="004110E7" w:rsidRPr="00A71DA6" w:rsidRDefault="004110E7" w:rsidP="00AD5A06">
            <w:pPr>
              <w:spacing w:before="0" w:after="0" w:line="260" w:lineRule="atLeast"/>
              <w:rPr>
                <w:sz w:val="18"/>
              </w:rPr>
            </w:pPr>
            <w:r w:rsidRPr="00A71DA6">
              <w:rPr>
                <w:sz w:val="18"/>
              </w:rPr>
              <w:t>Reference</w:t>
            </w:r>
          </w:p>
        </w:tc>
        <w:tc>
          <w:tcPr>
            <w:tcW w:w="2353" w:type="dxa"/>
            <w:hideMark/>
          </w:tcPr>
          <w:p w14:paraId="2A761091" w14:textId="77777777" w:rsidR="004110E7" w:rsidRPr="00A71DA6" w:rsidRDefault="004110E7" w:rsidP="00AD5A06">
            <w:pPr>
              <w:spacing w:before="0" w:after="0" w:line="260" w:lineRule="atLeast"/>
              <w:jc w:val="center"/>
              <w:rPr>
                <w:sz w:val="18"/>
              </w:rPr>
            </w:pPr>
            <w:r w:rsidRPr="00A71DA6">
              <w:rPr>
                <w:sz w:val="18"/>
              </w:rPr>
              <w:t>Domain 1 - Study Eligibility Criteria</w:t>
            </w:r>
          </w:p>
        </w:tc>
        <w:tc>
          <w:tcPr>
            <w:tcW w:w="2353" w:type="dxa"/>
            <w:hideMark/>
          </w:tcPr>
          <w:p w14:paraId="0E664892" w14:textId="77777777" w:rsidR="004110E7" w:rsidRPr="00A71DA6" w:rsidRDefault="004110E7" w:rsidP="00AD5A06">
            <w:pPr>
              <w:spacing w:before="0" w:after="0" w:line="260" w:lineRule="atLeast"/>
              <w:jc w:val="center"/>
              <w:rPr>
                <w:sz w:val="18"/>
              </w:rPr>
            </w:pPr>
            <w:r w:rsidRPr="00A71DA6">
              <w:rPr>
                <w:sz w:val="18"/>
              </w:rPr>
              <w:t>Domain 2 - Identification and Selection of Studies</w:t>
            </w:r>
          </w:p>
        </w:tc>
        <w:tc>
          <w:tcPr>
            <w:tcW w:w="2353" w:type="dxa"/>
            <w:hideMark/>
          </w:tcPr>
          <w:p w14:paraId="04FABDDE" w14:textId="77777777" w:rsidR="004110E7" w:rsidRPr="00A71DA6" w:rsidRDefault="004110E7" w:rsidP="00AD5A06">
            <w:pPr>
              <w:spacing w:before="0" w:after="0" w:line="260" w:lineRule="atLeast"/>
              <w:jc w:val="center"/>
              <w:rPr>
                <w:sz w:val="18"/>
              </w:rPr>
            </w:pPr>
            <w:r w:rsidRPr="00A71DA6">
              <w:rPr>
                <w:sz w:val="18"/>
              </w:rPr>
              <w:t>Domain 3 - Data Collection and Study Appraisal</w:t>
            </w:r>
          </w:p>
        </w:tc>
        <w:tc>
          <w:tcPr>
            <w:tcW w:w="2353" w:type="dxa"/>
            <w:hideMark/>
          </w:tcPr>
          <w:p w14:paraId="2252A34D" w14:textId="77777777" w:rsidR="004110E7" w:rsidRPr="00A71DA6" w:rsidRDefault="004110E7" w:rsidP="00AD5A06">
            <w:pPr>
              <w:spacing w:before="0" w:after="0" w:line="260" w:lineRule="atLeast"/>
              <w:jc w:val="center"/>
              <w:rPr>
                <w:sz w:val="18"/>
              </w:rPr>
            </w:pPr>
            <w:r w:rsidRPr="00A71DA6">
              <w:rPr>
                <w:sz w:val="18"/>
              </w:rPr>
              <w:t>Domain 4 - Synthesis and Findings</w:t>
            </w:r>
          </w:p>
        </w:tc>
        <w:tc>
          <w:tcPr>
            <w:tcW w:w="1215" w:type="dxa"/>
            <w:hideMark/>
          </w:tcPr>
          <w:p w14:paraId="574F768C" w14:textId="77777777" w:rsidR="004110E7" w:rsidRPr="00D75D51" w:rsidRDefault="004110E7" w:rsidP="00AD5A06">
            <w:pPr>
              <w:spacing w:before="0" w:after="0" w:line="260" w:lineRule="atLeast"/>
              <w:jc w:val="center"/>
              <w:rPr>
                <w:sz w:val="18"/>
              </w:rPr>
            </w:pPr>
            <w:r w:rsidRPr="00D75D51">
              <w:rPr>
                <w:sz w:val="18"/>
              </w:rPr>
              <w:t>Overall Risk of Bias</w:t>
            </w:r>
          </w:p>
        </w:tc>
        <w:tc>
          <w:tcPr>
            <w:tcW w:w="3260" w:type="dxa"/>
            <w:hideMark/>
          </w:tcPr>
          <w:p w14:paraId="1E83ADD5" w14:textId="77777777" w:rsidR="004110E7" w:rsidRPr="00A71DA6" w:rsidRDefault="004110E7" w:rsidP="00AD5A06">
            <w:pPr>
              <w:spacing w:before="0" w:after="0" w:line="260" w:lineRule="atLeast"/>
              <w:jc w:val="center"/>
              <w:rPr>
                <w:sz w:val="18"/>
              </w:rPr>
            </w:pPr>
            <w:r w:rsidRPr="00A71DA6">
              <w:rPr>
                <w:sz w:val="18"/>
              </w:rPr>
              <w:t>NHMRC Comment</w:t>
            </w:r>
          </w:p>
        </w:tc>
      </w:tr>
      <w:tr w:rsidR="004110E7" w:rsidRPr="00A71DA6" w14:paraId="4E5CAE61" w14:textId="77777777" w:rsidTr="00D75D51">
        <w:trPr>
          <w:trHeight w:val="227"/>
          <w:jc w:val="center"/>
        </w:trPr>
        <w:tc>
          <w:tcPr>
            <w:tcW w:w="1417" w:type="dxa"/>
            <w:vMerge w:val="restart"/>
          </w:tcPr>
          <w:p w14:paraId="58D61F86" w14:textId="77777777" w:rsidR="004110E7" w:rsidRPr="00A71DA6" w:rsidRDefault="004110E7" w:rsidP="00AD5A06">
            <w:pPr>
              <w:spacing w:before="0" w:after="0"/>
              <w:rPr>
                <w:b/>
                <w:bCs/>
                <w:sz w:val="18"/>
              </w:rPr>
            </w:pPr>
            <w:r w:rsidRPr="00A71DA6">
              <w:rPr>
                <w:b/>
                <w:bCs/>
                <w:sz w:val="18"/>
              </w:rPr>
              <w:t>Aarsland et al 2025</w:t>
            </w:r>
          </w:p>
        </w:tc>
        <w:tc>
          <w:tcPr>
            <w:tcW w:w="2353" w:type="dxa"/>
          </w:tcPr>
          <w:p w14:paraId="298433EB" w14:textId="77777777" w:rsidR="004110E7" w:rsidRPr="00A71DA6" w:rsidRDefault="004110E7" w:rsidP="00AD5A06">
            <w:pPr>
              <w:spacing w:before="0" w:after="0"/>
              <w:jc w:val="center"/>
              <w:rPr>
                <w:sz w:val="18"/>
              </w:rPr>
            </w:pPr>
            <w:r w:rsidRPr="00A71DA6">
              <w:rPr>
                <w:sz w:val="18"/>
              </w:rPr>
              <w:t>HIGH</w:t>
            </w:r>
          </w:p>
        </w:tc>
        <w:tc>
          <w:tcPr>
            <w:tcW w:w="2353" w:type="dxa"/>
          </w:tcPr>
          <w:p w14:paraId="4FC888D9" w14:textId="77777777" w:rsidR="004110E7" w:rsidRPr="00A71DA6" w:rsidRDefault="004110E7" w:rsidP="00AD5A06">
            <w:pPr>
              <w:spacing w:before="0" w:after="0"/>
              <w:jc w:val="center"/>
              <w:rPr>
                <w:sz w:val="18"/>
              </w:rPr>
            </w:pPr>
            <w:r w:rsidRPr="00A71DA6">
              <w:rPr>
                <w:sz w:val="18"/>
              </w:rPr>
              <w:t>UNCLEAR</w:t>
            </w:r>
          </w:p>
        </w:tc>
        <w:tc>
          <w:tcPr>
            <w:tcW w:w="2353" w:type="dxa"/>
          </w:tcPr>
          <w:p w14:paraId="5B36DBCD" w14:textId="77777777" w:rsidR="004110E7" w:rsidRPr="00A71DA6" w:rsidRDefault="004110E7" w:rsidP="00AD5A06">
            <w:pPr>
              <w:spacing w:before="0" w:after="0"/>
              <w:jc w:val="center"/>
              <w:rPr>
                <w:sz w:val="18"/>
              </w:rPr>
            </w:pPr>
            <w:r w:rsidRPr="00A71DA6">
              <w:rPr>
                <w:sz w:val="18"/>
              </w:rPr>
              <w:t>LOW</w:t>
            </w:r>
          </w:p>
        </w:tc>
        <w:tc>
          <w:tcPr>
            <w:tcW w:w="2353" w:type="dxa"/>
          </w:tcPr>
          <w:p w14:paraId="629B21AF" w14:textId="77777777" w:rsidR="004110E7" w:rsidRPr="00A71DA6" w:rsidRDefault="004110E7" w:rsidP="00AD5A06">
            <w:pPr>
              <w:spacing w:before="0" w:after="0"/>
              <w:jc w:val="center"/>
              <w:rPr>
                <w:sz w:val="18"/>
              </w:rPr>
            </w:pPr>
            <w:r w:rsidRPr="00A71DA6">
              <w:rPr>
                <w:sz w:val="18"/>
              </w:rPr>
              <w:t>LOW</w:t>
            </w:r>
          </w:p>
        </w:tc>
        <w:tc>
          <w:tcPr>
            <w:tcW w:w="1215" w:type="dxa"/>
            <w:vMerge w:val="restart"/>
            <w:vAlign w:val="center"/>
          </w:tcPr>
          <w:p w14:paraId="74682B16" w14:textId="77777777" w:rsidR="004110E7" w:rsidRPr="00D75D51" w:rsidRDefault="004110E7" w:rsidP="00AD5A06">
            <w:pPr>
              <w:spacing w:before="0" w:after="0"/>
              <w:jc w:val="center"/>
              <w:rPr>
                <w:rFonts w:ascii="Gotham Medium" w:hAnsi="Gotham Medium"/>
                <w:sz w:val="18"/>
              </w:rPr>
            </w:pPr>
            <w:r w:rsidRPr="00D75D51">
              <w:rPr>
                <w:rFonts w:ascii="Gotham Medium" w:hAnsi="Gotham Medium"/>
                <w:sz w:val="18"/>
              </w:rPr>
              <w:t>HIGH</w:t>
            </w:r>
          </w:p>
        </w:tc>
        <w:tc>
          <w:tcPr>
            <w:tcW w:w="3260" w:type="dxa"/>
            <w:vMerge w:val="restart"/>
          </w:tcPr>
          <w:p w14:paraId="689C1355" w14:textId="77777777" w:rsidR="00A71DA6" w:rsidRDefault="004110E7" w:rsidP="00AD5A06">
            <w:pPr>
              <w:spacing w:before="0" w:after="0"/>
              <w:jc w:val="center"/>
              <w:rPr>
                <w:sz w:val="18"/>
              </w:rPr>
            </w:pPr>
            <w:r w:rsidRPr="00A71DA6">
              <w:rPr>
                <w:sz w:val="18"/>
              </w:rPr>
              <w:t>Appears to be a reasonable quality SR.</w:t>
            </w:r>
          </w:p>
          <w:p w14:paraId="7E8BA598" w14:textId="30708B48" w:rsidR="004110E7" w:rsidRPr="00A71DA6" w:rsidRDefault="004110E7" w:rsidP="00AD5A06">
            <w:pPr>
              <w:spacing w:before="120" w:after="0"/>
              <w:jc w:val="center"/>
              <w:rPr>
                <w:sz w:val="18"/>
              </w:rPr>
            </w:pPr>
            <w:r w:rsidRPr="00A71DA6">
              <w:rPr>
                <w:sz w:val="18"/>
              </w:rPr>
              <w:t xml:space="preserve">Concerns about </w:t>
            </w:r>
            <w:proofErr w:type="spellStart"/>
            <w:r w:rsidRPr="00A71DA6">
              <w:rPr>
                <w:sz w:val="18"/>
              </w:rPr>
              <w:t>RoB</w:t>
            </w:r>
            <w:proofErr w:type="spellEnd"/>
            <w:r w:rsidRPr="00A71DA6">
              <w:rPr>
                <w:sz w:val="18"/>
              </w:rPr>
              <w:t xml:space="preserve"> relate to exclusion of non-English studies and lack of information about how additional methods to database searches have been employed. These limitations are consistent with limitations of an NHMRC-commissioned review.</w:t>
            </w:r>
          </w:p>
        </w:tc>
      </w:tr>
      <w:tr w:rsidR="004110E7" w:rsidRPr="00A71DA6" w14:paraId="2DF1445D" w14:textId="77777777" w:rsidTr="00D75D51">
        <w:trPr>
          <w:jc w:val="center"/>
        </w:trPr>
        <w:tc>
          <w:tcPr>
            <w:tcW w:w="1417" w:type="dxa"/>
            <w:vMerge/>
          </w:tcPr>
          <w:p w14:paraId="549AAA4F" w14:textId="77777777" w:rsidR="004110E7" w:rsidRPr="00A71DA6" w:rsidRDefault="004110E7" w:rsidP="00AD5A06">
            <w:pPr>
              <w:spacing w:before="0" w:after="0"/>
              <w:rPr>
                <w:b/>
                <w:bCs/>
                <w:sz w:val="18"/>
              </w:rPr>
            </w:pPr>
          </w:p>
        </w:tc>
        <w:tc>
          <w:tcPr>
            <w:tcW w:w="2353" w:type="dxa"/>
          </w:tcPr>
          <w:p w14:paraId="4C848831" w14:textId="77777777" w:rsidR="004110E7" w:rsidRPr="00A71DA6" w:rsidRDefault="004110E7" w:rsidP="00AD5A06">
            <w:pPr>
              <w:spacing w:before="0" w:after="0"/>
              <w:jc w:val="center"/>
              <w:rPr>
                <w:i/>
                <w:iCs/>
                <w:sz w:val="18"/>
              </w:rPr>
            </w:pPr>
            <w:r w:rsidRPr="00A71DA6">
              <w:rPr>
                <w:i/>
                <w:iCs/>
                <w:sz w:val="18"/>
              </w:rPr>
              <w:t xml:space="preserve">Excluded </w:t>
            </w:r>
            <w:proofErr w:type="gramStart"/>
            <w:r w:rsidRPr="00A71DA6">
              <w:rPr>
                <w:i/>
                <w:iCs/>
                <w:sz w:val="18"/>
              </w:rPr>
              <w:t>Non-English</w:t>
            </w:r>
            <w:proofErr w:type="gramEnd"/>
            <w:r w:rsidRPr="00A71DA6">
              <w:rPr>
                <w:i/>
                <w:iCs/>
                <w:sz w:val="18"/>
              </w:rPr>
              <w:t xml:space="preserve"> language studies</w:t>
            </w:r>
          </w:p>
        </w:tc>
        <w:tc>
          <w:tcPr>
            <w:tcW w:w="2353" w:type="dxa"/>
          </w:tcPr>
          <w:p w14:paraId="1369A46F" w14:textId="77777777" w:rsidR="004110E7" w:rsidRPr="00A71DA6" w:rsidRDefault="004110E7" w:rsidP="00AD5A06">
            <w:pPr>
              <w:spacing w:before="0" w:after="0"/>
              <w:jc w:val="center"/>
              <w:rPr>
                <w:i/>
                <w:iCs/>
                <w:sz w:val="18"/>
              </w:rPr>
            </w:pPr>
            <w:r w:rsidRPr="00A71DA6">
              <w:rPr>
                <w:i/>
                <w:iCs/>
                <w:sz w:val="18"/>
              </w:rPr>
              <w:t>Methods additional to database searching not specified</w:t>
            </w:r>
          </w:p>
        </w:tc>
        <w:tc>
          <w:tcPr>
            <w:tcW w:w="2353" w:type="dxa"/>
          </w:tcPr>
          <w:p w14:paraId="56D5E7A0" w14:textId="77777777" w:rsidR="004110E7" w:rsidRPr="00A71DA6" w:rsidRDefault="004110E7" w:rsidP="00AD5A06">
            <w:pPr>
              <w:spacing w:before="0" w:after="0"/>
              <w:jc w:val="center"/>
              <w:rPr>
                <w:i/>
                <w:iCs/>
                <w:sz w:val="18"/>
              </w:rPr>
            </w:pPr>
            <w:r w:rsidRPr="00A71DA6">
              <w:rPr>
                <w:i/>
                <w:iCs/>
                <w:sz w:val="18"/>
              </w:rPr>
              <w:t>No concerns</w:t>
            </w:r>
          </w:p>
        </w:tc>
        <w:tc>
          <w:tcPr>
            <w:tcW w:w="2353" w:type="dxa"/>
          </w:tcPr>
          <w:p w14:paraId="6723D2E5" w14:textId="77777777" w:rsidR="004110E7" w:rsidRPr="00A71DA6" w:rsidRDefault="004110E7" w:rsidP="00AD5A06">
            <w:pPr>
              <w:spacing w:before="0" w:after="0"/>
              <w:jc w:val="center"/>
              <w:rPr>
                <w:i/>
                <w:iCs/>
                <w:sz w:val="18"/>
              </w:rPr>
            </w:pPr>
            <w:r w:rsidRPr="00A71DA6">
              <w:rPr>
                <w:i/>
                <w:iCs/>
                <w:sz w:val="18"/>
              </w:rPr>
              <w:t>No concerns</w:t>
            </w:r>
          </w:p>
        </w:tc>
        <w:tc>
          <w:tcPr>
            <w:tcW w:w="1215" w:type="dxa"/>
            <w:vMerge/>
            <w:vAlign w:val="center"/>
          </w:tcPr>
          <w:p w14:paraId="645E7900" w14:textId="77777777" w:rsidR="004110E7" w:rsidRPr="00D75D51" w:rsidRDefault="004110E7" w:rsidP="00AD5A06">
            <w:pPr>
              <w:spacing w:before="0" w:after="0"/>
              <w:jc w:val="center"/>
              <w:rPr>
                <w:rFonts w:ascii="Gotham Medium" w:hAnsi="Gotham Medium"/>
                <w:sz w:val="18"/>
              </w:rPr>
            </w:pPr>
          </w:p>
        </w:tc>
        <w:tc>
          <w:tcPr>
            <w:tcW w:w="3260" w:type="dxa"/>
            <w:vMerge/>
          </w:tcPr>
          <w:p w14:paraId="1754DEBA" w14:textId="77777777" w:rsidR="004110E7" w:rsidRPr="00A71DA6" w:rsidRDefault="004110E7" w:rsidP="00AD5A06">
            <w:pPr>
              <w:spacing w:before="0" w:after="0"/>
              <w:jc w:val="center"/>
              <w:rPr>
                <w:sz w:val="18"/>
              </w:rPr>
            </w:pPr>
          </w:p>
        </w:tc>
      </w:tr>
      <w:tr w:rsidR="00923D1D" w:rsidRPr="00A71DA6" w14:paraId="15DCFEF8" w14:textId="77777777" w:rsidTr="00D75D51">
        <w:trPr>
          <w:jc w:val="center"/>
        </w:trPr>
        <w:tc>
          <w:tcPr>
            <w:tcW w:w="1417" w:type="dxa"/>
            <w:vMerge w:val="restart"/>
          </w:tcPr>
          <w:p w14:paraId="2AA19017" w14:textId="5B60A3F8" w:rsidR="00923D1D" w:rsidRPr="00A71DA6" w:rsidRDefault="00923D1D" w:rsidP="00AD5A06">
            <w:pPr>
              <w:spacing w:before="0" w:after="0"/>
              <w:rPr>
                <w:b/>
                <w:bCs/>
                <w:sz w:val="18"/>
              </w:rPr>
            </w:pPr>
            <w:r w:rsidRPr="00A71DA6">
              <w:rPr>
                <w:b/>
                <w:bCs/>
                <w:sz w:val="18"/>
              </w:rPr>
              <w:t>Beckford et al 2020</w:t>
            </w:r>
          </w:p>
        </w:tc>
        <w:tc>
          <w:tcPr>
            <w:tcW w:w="2353" w:type="dxa"/>
          </w:tcPr>
          <w:p w14:paraId="132187BE" w14:textId="78909911" w:rsidR="00923D1D" w:rsidRPr="00A71DA6" w:rsidRDefault="00923D1D" w:rsidP="00AD5A06">
            <w:pPr>
              <w:spacing w:before="0" w:after="0"/>
              <w:jc w:val="center"/>
              <w:rPr>
                <w:i/>
                <w:iCs/>
                <w:sz w:val="18"/>
              </w:rPr>
            </w:pPr>
            <w:r w:rsidRPr="00A71DA6">
              <w:rPr>
                <w:sz w:val="18"/>
              </w:rPr>
              <w:t>HIGH</w:t>
            </w:r>
          </w:p>
        </w:tc>
        <w:tc>
          <w:tcPr>
            <w:tcW w:w="2353" w:type="dxa"/>
          </w:tcPr>
          <w:p w14:paraId="08613F25" w14:textId="5E4D232D" w:rsidR="00923D1D" w:rsidRPr="00A71DA6" w:rsidRDefault="00923D1D" w:rsidP="00AD5A06">
            <w:pPr>
              <w:spacing w:before="0" w:after="0"/>
              <w:jc w:val="center"/>
              <w:rPr>
                <w:i/>
                <w:iCs/>
                <w:sz w:val="18"/>
              </w:rPr>
            </w:pPr>
            <w:r w:rsidRPr="00A71DA6">
              <w:rPr>
                <w:sz w:val="18"/>
              </w:rPr>
              <w:t>HIGH</w:t>
            </w:r>
          </w:p>
        </w:tc>
        <w:tc>
          <w:tcPr>
            <w:tcW w:w="2353" w:type="dxa"/>
          </w:tcPr>
          <w:p w14:paraId="15C02DFC" w14:textId="504B54E1" w:rsidR="00923D1D" w:rsidRPr="00A71DA6" w:rsidRDefault="00923D1D" w:rsidP="00AD5A06">
            <w:pPr>
              <w:spacing w:before="0" w:after="0"/>
              <w:jc w:val="center"/>
              <w:rPr>
                <w:i/>
                <w:iCs/>
                <w:sz w:val="18"/>
              </w:rPr>
            </w:pPr>
            <w:r w:rsidRPr="00A71DA6">
              <w:rPr>
                <w:sz w:val="18"/>
              </w:rPr>
              <w:t>UNCLEAR</w:t>
            </w:r>
          </w:p>
        </w:tc>
        <w:tc>
          <w:tcPr>
            <w:tcW w:w="2353" w:type="dxa"/>
          </w:tcPr>
          <w:p w14:paraId="08B0D13A" w14:textId="75042C47" w:rsidR="00923D1D" w:rsidRPr="00A71DA6" w:rsidRDefault="00923D1D" w:rsidP="00AD5A06">
            <w:pPr>
              <w:spacing w:before="0" w:after="0"/>
              <w:jc w:val="center"/>
              <w:rPr>
                <w:i/>
                <w:iCs/>
                <w:sz w:val="18"/>
              </w:rPr>
            </w:pPr>
            <w:r w:rsidRPr="00A71DA6">
              <w:rPr>
                <w:sz w:val="18"/>
              </w:rPr>
              <w:t>HIGH</w:t>
            </w:r>
          </w:p>
        </w:tc>
        <w:tc>
          <w:tcPr>
            <w:tcW w:w="1215" w:type="dxa"/>
            <w:vMerge w:val="restart"/>
            <w:vAlign w:val="center"/>
          </w:tcPr>
          <w:p w14:paraId="025745C9" w14:textId="3C419FBC" w:rsidR="00923D1D" w:rsidRPr="00D75D51" w:rsidRDefault="00923D1D" w:rsidP="00AD5A06">
            <w:pPr>
              <w:spacing w:before="0" w:after="0"/>
              <w:jc w:val="center"/>
              <w:rPr>
                <w:rFonts w:ascii="Gotham Medium" w:hAnsi="Gotham Medium"/>
                <w:sz w:val="18"/>
              </w:rPr>
            </w:pPr>
            <w:r w:rsidRPr="00D75D51">
              <w:rPr>
                <w:rFonts w:ascii="Gotham Medium" w:hAnsi="Gotham Medium"/>
                <w:sz w:val="18"/>
              </w:rPr>
              <w:t>HIGH</w:t>
            </w:r>
          </w:p>
        </w:tc>
        <w:tc>
          <w:tcPr>
            <w:tcW w:w="3260" w:type="dxa"/>
            <w:vMerge w:val="restart"/>
          </w:tcPr>
          <w:p w14:paraId="5895AB77" w14:textId="2FCC27FF" w:rsidR="00923D1D" w:rsidRDefault="00923D1D" w:rsidP="00AD5A06">
            <w:pPr>
              <w:spacing w:before="0"/>
              <w:jc w:val="center"/>
              <w:rPr>
                <w:sz w:val="18"/>
              </w:rPr>
            </w:pPr>
            <w:r w:rsidRPr="00923D1D">
              <w:rPr>
                <w:sz w:val="18"/>
              </w:rPr>
              <w:t>Concerns raised should be considered when using interpreting and applying findings.</w:t>
            </w:r>
          </w:p>
          <w:p w14:paraId="11D0E8FE" w14:textId="77777777" w:rsidR="00923D1D" w:rsidRDefault="00923D1D" w:rsidP="00AD5A06">
            <w:pPr>
              <w:spacing w:before="0" w:after="0"/>
              <w:jc w:val="center"/>
              <w:rPr>
                <w:sz w:val="18"/>
              </w:rPr>
            </w:pPr>
            <w:r w:rsidRPr="00923D1D">
              <w:rPr>
                <w:sz w:val="18"/>
              </w:rPr>
              <w:t>The review has several significant methodological limitations. However, the high risk of bias should not preclude the review findings from informing considerations about the typical urinary volume excreted by children of different ages.</w:t>
            </w:r>
          </w:p>
          <w:p w14:paraId="691CEDD5" w14:textId="73DBF6BD" w:rsidR="00AD5A06" w:rsidRPr="00A71DA6" w:rsidRDefault="00AD5A06" w:rsidP="00AD5A06">
            <w:pPr>
              <w:spacing w:before="0" w:after="0"/>
              <w:jc w:val="center"/>
              <w:rPr>
                <w:sz w:val="18"/>
              </w:rPr>
            </w:pPr>
          </w:p>
        </w:tc>
      </w:tr>
      <w:tr w:rsidR="00923D1D" w:rsidRPr="00A71DA6" w14:paraId="2D6F9B53" w14:textId="77777777" w:rsidTr="00D75D51">
        <w:trPr>
          <w:jc w:val="center"/>
        </w:trPr>
        <w:tc>
          <w:tcPr>
            <w:tcW w:w="1417" w:type="dxa"/>
            <w:vMerge/>
          </w:tcPr>
          <w:p w14:paraId="3096BAE4" w14:textId="77777777" w:rsidR="00923D1D" w:rsidRPr="00A71DA6" w:rsidRDefault="00923D1D" w:rsidP="00AD5A06">
            <w:pPr>
              <w:spacing w:before="0" w:after="0" w:line="260" w:lineRule="atLeast"/>
              <w:rPr>
                <w:b/>
                <w:bCs/>
                <w:sz w:val="18"/>
              </w:rPr>
            </w:pPr>
          </w:p>
        </w:tc>
        <w:tc>
          <w:tcPr>
            <w:tcW w:w="2353" w:type="dxa"/>
          </w:tcPr>
          <w:p w14:paraId="218C8D14" w14:textId="09190F1A" w:rsidR="00923D1D" w:rsidRPr="00A71DA6" w:rsidRDefault="00923D1D" w:rsidP="00AD5A06">
            <w:pPr>
              <w:spacing w:before="0" w:after="0" w:line="260" w:lineRule="atLeast"/>
              <w:jc w:val="center"/>
              <w:rPr>
                <w:i/>
                <w:iCs/>
                <w:sz w:val="18"/>
              </w:rPr>
            </w:pPr>
            <w:r w:rsidRPr="00A71DA6">
              <w:rPr>
                <w:i/>
                <w:iCs/>
                <w:sz w:val="18"/>
              </w:rPr>
              <w:t>Excluded conference proceedings and other grey literature</w:t>
            </w:r>
          </w:p>
        </w:tc>
        <w:tc>
          <w:tcPr>
            <w:tcW w:w="2353" w:type="dxa"/>
          </w:tcPr>
          <w:p w14:paraId="280D0059" w14:textId="69E9C4CE" w:rsidR="00923D1D" w:rsidRPr="00A71DA6" w:rsidRDefault="00923D1D" w:rsidP="00AD5A06">
            <w:pPr>
              <w:spacing w:before="0" w:after="0" w:line="260" w:lineRule="atLeast"/>
              <w:jc w:val="center"/>
              <w:rPr>
                <w:i/>
                <w:iCs/>
                <w:sz w:val="18"/>
              </w:rPr>
            </w:pPr>
            <w:r w:rsidRPr="00A71DA6">
              <w:rPr>
                <w:i/>
                <w:iCs/>
                <w:sz w:val="18"/>
              </w:rPr>
              <w:t>The search strategy did not appear adequate and limited to English language studies only.</w:t>
            </w:r>
          </w:p>
        </w:tc>
        <w:tc>
          <w:tcPr>
            <w:tcW w:w="2353" w:type="dxa"/>
          </w:tcPr>
          <w:p w14:paraId="15D32622" w14:textId="6504C83D" w:rsidR="00923D1D" w:rsidRPr="00A71DA6" w:rsidRDefault="00923D1D" w:rsidP="00AD5A06">
            <w:pPr>
              <w:spacing w:before="0" w:after="0" w:line="260" w:lineRule="atLeast"/>
              <w:jc w:val="center"/>
              <w:rPr>
                <w:i/>
                <w:iCs/>
                <w:sz w:val="18"/>
              </w:rPr>
            </w:pPr>
            <w:r w:rsidRPr="00A71DA6">
              <w:rPr>
                <w:i/>
                <w:iCs/>
                <w:sz w:val="18"/>
              </w:rPr>
              <w:t>The number of reviewers involved in the data extraction process and risk of bias assessment was not reported.</w:t>
            </w:r>
          </w:p>
        </w:tc>
        <w:tc>
          <w:tcPr>
            <w:tcW w:w="2353" w:type="dxa"/>
          </w:tcPr>
          <w:p w14:paraId="5813BCD0" w14:textId="77777777" w:rsidR="00923D1D" w:rsidRDefault="00923D1D" w:rsidP="00AD5A06">
            <w:pPr>
              <w:spacing w:before="0" w:after="0" w:line="260" w:lineRule="atLeast"/>
              <w:jc w:val="center"/>
              <w:rPr>
                <w:i/>
                <w:iCs/>
                <w:sz w:val="18"/>
              </w:rPr>
            </w:pPr>
            <w:r w:rsidRPr="00A71DA6">
              <w:rPr>
                <w:i/>
                <w:iCs/>
                <w:sz w:val="18"/>
              </w:rPr>
              <w:t>The method of analysis was explained and appeared appropriate and methods used to pool data were appropriate. However, appropriate attempts to explore the observed heterogeneity were not made. Robustness of the findings was not demonstrated.</w:t>
            </w:r>
          </w:p>
          <w:p w14:paraId="606AAAFC" w14:textId="08088D12" w:rsidR="00AD5A06" w:rsidRPr="00A71DA6" w:rsidRDefault="00AD5A06" w:rsidP="00AD5A06">
            <w:pPr>
              <w:spacing w:before="0" w:after="0" w:line="260" w:lineRule="atLeast"/>
              <w:jc w:val="center"/>
              <w:rPr>
                <w:i/>
                <w:iCs/>
                <w:sz w:val="18"/>
              </w:rPr>
            </w:pPr>
          </w:p>
        </w:tc>
        <w:tc>
          <w:tcPr>
            <w:tcW w:w="1215" w:type="dxa"/>
            <w:vMerge/>
            <w:vAlign w:val="center"/>
          </w:tcPr>
          <w:p w14:paraId="772E6E12"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4B41914A" w14:textId="77777777" w:rsidR="00923D1D" w:rsidRPr="00A71DA6" w:rsidRDefault="00923D1D" w:rsidP="00AD5A06">
            <w:pPr>
              <w:spacing w:before="0" w:after="0" w:line="260" w:lineRule="atLeast"/>
              <w:jc w:val="center"/>
              <w:rPr>
                <w:sz w:val="18"/>
              </w:rPr>
            </w:pPr>
          </w:p>
        </w:tc>
      </w:tr>
      <w:tr w:rsidR="00923D1D" w:rsidRPr="00A71DA6" w14:paraId="27345B5C" w14:textId="77777777" w:rsidTr="00D75D51">
        <w:trPr>
          <w:trHeight w:val="227"/>
          <w:jc w:val="center"/>
        </w:trPr>
        <w:tc>
          <w:tcPr>
            <w:tcW w:w="1417" w:type="dxa"/>
            <w:vMerge w:val="restart"/>
          </w:tcPr>
          <w:p w14:paraId="0EC78B33" w14:textId="77777777" w:rsidR="00923D1D" w:rsidRPr="00A71DA6" w:rsidRDefault="00923D1D" w:rsidP="00AD5A06">
            <w:pPr>
              <w:spacing w:before="0" w:after="0" w:line="260" w:lineRule="atLeast"/>
              <w:rPr>
                <w:b/>
                <w:bCs/>
                <w:sz w:val="18"/>
                <w:highlight w:val="yellow"/>
              </w:rPr>
            </w:pPr>
            <w:proofErr w:type="spellStart"/>
            <w:r w:rsidRPr="00A71DA6">
              <w:rPr>
                <w:b/>
                <w:bCs/>
                <w:sz w:val="18"/>
              </w:rPr>
              <w:lastRenderedPageBreak/>
              <w:t>Bolfi</w:t>
            </w:r>
            <w:proofErr w:type="spellEnd"/>
            <w:r w:rsidRPr="00A71DA6">
              <w:rPr>
                <w:b/>
                <w:bCs/>
                <w:sz w:val="18"/>
              </w:rPr>
              <w:t xml:space="preserve"> et al 2024</w:t>
            </w:r>
          </w:p>
        </w:tc>
        <w:tc>
          <w:tcPr>
            <w:tcW w:w="2353" w:type="dxa"/>
          </w:tcPr>
          <w:p w14:paraId="1833D8F4" w14:textId="77777777" w:rsidR="00923D1D" w:rsidRPr="00A71DA6" w:rsidRDefault="00923D1D" w:rsidP="00AD5A06">
            <w:pPr>
              <w:spacing w:before="0" w:after="0"/>
              <w:jc w:val="center"/>
              <w:rPr>
                <w:sz w:val="18"/>
              </w:rPr>
            </w:pPr>
            <w:r w:rsidRPr="00A71DA6">
              <w:rPr>
                <w:sz w:val="18"/>
              </w:rPr>
              <w:t>LOW</w:t>
            </w:r>
          </w:p>
        </w:tc>
        <w:tc>
          <w:tcPr>
            <w:tcW w:w="2353" w:type="dxa"/>
          </w:tcPr>
          <w:p w14:paraId="1816CFAD" w14:textId="77777777" w:rsidR="00923D1D" w:rsidRPr="00A71DA6" w:rsidRDefault="00923D1D" w:rsidP="00AD5A06">
            <w:pPr>
              <w:spacing w:before="0" w:after="0"/>
              <w:jc w:val="center"/>
              <w:rPr>
                <w:sz w:val="18"/>
              </w:rPr>
            </w:pPr>
            <w:r w:rsidRPr="00A71DA6">
              <w:rPr>
                <w:sz w:val="18"/>
              </w:rPr>
              <w:t>UNCLEAR</w:t>
            </w:r>
          </w:p>
        </w:tc>
        <w:tc>
          <w:tcPr>
            <w:tcW w:w="2353" w:type="dxa"/>
          </w:tcPr>
          <w:p w14:paraId="3E29DAD1" w14:textId="77777777" w:rsidR="00923D1D" w:rsidRPr="00A71DA6" w:rsidRDefault="00923D1D" w:rsidP="00AD5A06">
            <w:pPr>
              <w:spacing w:before="0" w:after="0"/>
              <w:jc w:val="center"/>
              <w:rPr>
                <w:sz w:val="18"/>
              </w:rPr>
            </w:pPr>
            <w:r w:rsidRPr="00A71DA6">
              <w:rPr>
                <w:sz w:val="18"/>
              </w:rPr>
              <w:t>LOW</w:t>
            </w:r>
          </w:p>
        </w:tc>
        <w:tc>
          <w:tcPr>
            <w:tcW w:w="2353" w:type="dxa"/>
          </w:tcPr>
          <w:p w14:paraId="66BC5BE4" w14:textId="77777777" w:rsidR="00923D1D" w:rsidRPr="00A71DA6" w:rsidRDefault="00923D1D" w:rsidP="00AD5A06">
            <w:pPr>
              <w:spacing w:before="0" w:after="0"/>
              <w:jc w:val="center"/>
              <w:rPr>
                <w:sz w:val="18"/>
              </w:rPr>
            </w:pPr>
            <w:r w:rsidRPr="00A71DA6">
              <w:rPr>
                <w:sz w:val="18"/>
              </w:rPr>
              <w:t>LOW</w:t>
            </w:r>
          </w:p>
        </w:tc>
        <w:tc>
          <w:tcPr>
            <w:tcW w:w="1215" w:type="dxa"/>
            <w:vMerge w:val="restart"/>
            <w:vAlign w:val="center"/>
          </w:tcPr>
          <w:p w14:paraId="631E1D1B" w14:textId="77777777" w:rsidR="00923D1D" w:rsidRPr="00D75D51" w:rsidRDefault="00923D1D" w:rsidP="00AD5A06">
            <w:pPr>
              <w:spacing w:before="0" w:after="0"/>
              <w:jc w:val="center"/>
              <w:rPr>
                <w:rFonts w:ascii="Gotham Medium" w:hAnsi="Gotham Medium"/>
                <w:sz w:val="18"/>
              </w:rPr>
            </w:pPr>
            <w:r w:rsidRPr="00D75D51">
              <w:rPr>
                <w:rFonts w:ascii="Gotham Medium" w:hAnsi="Gotham Medium"/>
                <w:sz w:val="18"/>
              </w:rPr>
              <w:t>LOW</w:t>
            </w:r>
          </w:p>
        </w:tc>
        <w:tc>
          <w:tcPr>
            <w:tcW w:w="3260" w:type="dxa"/>
            <w:vMerge w:val="restart"/>
          </w:tcPr>
          <w:p w14:paraId="154F8880" w14:textId="77777777" w:rsidR="00923D1D" w:rsidRPr="00A71DA6" w:rsidRDefault="00923D1D" w:rsidP="00AD5A06">
            <w:pPr>
              <w:spacing w:before="0" w:after="0" w:line="260" w:lineRule="atLeast"/>
              <w:jc w:val="center"/>
              <w:rPr>
                <w:sz w:val="18"/>
              </w:rPr>
            </w:pPr>
            <w:r w:rsidRPr="00A71DA6">
              <w:rPr>
                <w:sz w:val="18"/>
              </w:rPr>
              <w:t>Robust review, noting that the only limitation is that methods additional to database searching were not specified.</w:t>
            </w:r>
          </w:p>
        </w:tc>
      </w:tr>
      <w:tr w:rsidR="00923D1D" w:rsidRPr="00A71DA6" w14:paraId="46755B9E" w14:textId="77777777" w:rsidTr="00D75D51">
        <w:trPr>
          <w:jc w:val="center"/>
        </w:trPr>
        <w:tc>
          <w:tcPr>
            <w:tcW w:w="1417" w:type="dxa"/>
            <w:vMerge/>
          </w:tcPr>
          <w:p w14:paraId="1EA1AF7E" w14:textId="77777777" w:rsidR="00923D1D" w:rsidRPr="00A71DA6" w:rsidRDefault="00923D1D" w:rsidP="00AD5A06">
            <w:pPr>
              <w:spacing w:before="0" w:after="0" w:line="260" w:lineRule="atLeast"/>
              <w:rPr>
                <w:b/>
                <w:bCs/>
                <w:sz w:val="18"/>
                <w:highlight w:val="yellow"/>
              </w:rPr>
            </w:pPr>
          </w:p>
        </w:tc>
        <w:tc>
          <w:tcPr>
            <w:tcW w:w="2353" w:type="dxa"/>
          </w:tcPr>
          <w:p w14:paraId="3BD62ACC"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2234AC87" w14:textId="77777777" w:rsidR="00923D1D" w:rsidRPr="00A71DA6" w:rsidRDefault="00923D1D" w:rsidP="00AD5A06">
            <w:pPr>
              <w:spacing w:before="0" w:after="0" w:line="260" w:lineRule="atLeast"/>
              <w:jc w:val="center"/>
              <w:rPr>
                <w:i/>
                <w:iCs/>
                <w:sz w:val="18"/>
              </w:rPr>
            </w:pPr>
            <w:r w:rsidRPr="00A71DA6">
              <w:rPr>
                <w:i/>
                <w:iCs/>
                <w:sz w:val="18"/>
              </w:rPr>
              <w:t>Methods additional to database searching not specified</w:t>
            </w:r>
          </w:p>
        </w:tc>
        <w:tc>
          <w:tcPr>
            <w:tcW w:w="2353" w:type="dxa"/>
          </w:tcPr>
          <w:p w14:paraId="59CB7768"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6DB0ABBE"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2DB9857F"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41431B26" w14:textId="77777777" w:rsidR="00923D1D" w:rsidRPr="00A71DA6" w:rsidRDefault="00923D1D" w:rsidP="00AD5A06">
            <w:pPr>
              <w:spacing w:before="0" w:after="0" w:line="260" w:lineRule="atLeast"/>
              <w:jc w:val="center"/>
              <w:rPr>
                <w:sz w:val="18"/>
              </w:rPr>
            </w:pPr>
          </w:p>
        </w:tc>
      </w:tr>
      <w:tr w:rsidR="00923D1D" w:rsidRPr="00A71DA6" w14:paraId="60923313" w14:textId="77777777" w:rsidTr="00D75D51">
        <w:trPr>
          <w:jc w:val="center"/>
        </w:trPr>
        <w:tc>
          <w:tcPr>
            <w:tcW w:w="1417" w:type="dxa"/>
            <w:vMerge w:val="restart"/>
          </w:tcPr>
          <w:p w14:paraId="1F489BEF" w14:textId="77777777" w:rsidR="00923D1D" w:rsidRPr="00A71DA6" w:rsidRDefault="00923D1D" w:rsidP="00AD5A06">
            <w:pPr>
              <w:spacing w:before="0" w:after="0" w:line="260" w:lineRule="atLeast"/>
              <w:rPr>
                <w:b/>
                <w:bCs/>
                <w:sz w:val="18"/>
                <w:highlight w:val="yellow"/>
              </w:rPr>
            </w:pPr>
            <w:r w:rsidRPr="00A71DA6">
              <w:rPr>
                <w:b/>
                <w:bCs/>
                <w:sz w:val="18"/>
              </w:rPr>
              <w:t>Businge et al 2021</w:t>
            </w:r>
          </w:p>
        </w:tc>
        <w:tc>
          <w:tcPr>
            <w:tcW w:w="2353" w:type="dxa"/>
          </w:tcPr>
          <w:p w14:paraId="3F92EA01" w14:textId="77777777" w:rsidR="00923D1D" w:rsidRPr="00A71DA6" w:rsidRDefault="00923D1D" w:rsidP="00AD5A06">
            <w:pPr>
              <w:spacing w:before="0" w:after="0" w:line="260" w:lineRule="atLeast"/>
              <w:jc w:val="center"/>
              <w:rPr>
                <w:sz w:val="18"/>
              </w:rPr>
            </w:pPr>
            <w:r w:rsidRPr="00A71DA6">
              <w:rPr>
                <w:sz w:val="18"/>
              </w:rPr>
              <w:t>LOW</w:t>
            </w:r>
          </w:p>
        </w:tc>
        <w:tc>
          <w:tcPr>
            <w:tcW w:w="2353" w:type="dxa"/>
          </w:tcPr>
          <w:p w14:paraId="0227FB76"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tcPr>
          <w:p w14:paraId="52E6A233"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tcPr>
          <w:p w14:paraId="74E9718B" w14:textId="77777777" w:rsidR="00923D1D" w:rsidRPr="00A71DA6" w:rsidRDefault="00923D1D" w:rsidP="00AD5A06">
            <w:pPr>
              <w:spacing w:before="0" w:after="0" w:line="260" w:lineRule="atLeast"/>
              <w:jc w:val="center"/>
              <w:rPr>
                <w:sz w:val="18"/>
              </w:rPr>
            </w:pPr>
            <w:r w:rsidRPr="00A71DA6">
              <w:rPr>
                <w:sz w:val="18"/>
              </w:rPr>
              <w:t>HIGH</w:t>
            </w:r>
          </w:p>
        </w:tc>
        <w:tc>
          <w:tcPr>
            <w:tcW w:w="1215" w:type="dxa"/>
            <w:vMerge w:val="restart"/>
            <w:vAlign w:val="center"/>
          </w:tcPr>
          <w:p w14:paraId="3AB5CB5F"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tcPr>
          <w:p w14:paraId="6B47C850" w14:textId="48E9A44D"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w:t>
            </w:r>
          </w:p>
          <w:p w14:paraId="3BDC85DF" w14:textId="77777777" w:rsidR="00923D1D" w:rsidRPr="00A71DA6" w:rsidRDefault="00923D1D" w:rsidP="00AD5A06">
            <w:pPr>
              <w:spacing w:before="0" w:after="0" w:line="260" w:lineRule="atLeast"/>
              <w:jc w:val="center"/>
              <w:rPr>
                <w:sz w:val="18"/>
              </w:rPr>
            </w:pPr>
          </w:p>
          <w:p w14:paraId="16088991" w14:textId="77777777" w:rsidR="00923D1D" w:rsidRPr="00A71DA6" w:rsidRDefault="00923D1D" w:rsidP="00AD5A06">
            <w:pPr>
              <w:spacing w:before="0" w:after="0" w:line="260" w:lineRule="atLeast"/>
              <w:jc w:val="center"/>
              <w:rPr>
                <w:sz w:val="18"/>
              </w:rPr>
            </w:pPr>
            <w:r w:rsidRPr="00A71DA6">
              <w:rPr>
                <w:sz w:val="18"/>
              </w:rPr>
              <w:t>Given concerns about unaddressed heterogeneity, meta-analyses should be interpreted with caution.</w:t>
            </w:r>
          </w:p>
        </w:tc>
      </w:tr>
      <w:tr w:rsidR="00923D1D" w:rsidRPr="00A71DA6" w14:paraId="74F0928E" w14:textId="77777777" w:rsidTr="00D75D51">
        <w:trPr>
          <w:jc w:val="center"/>
        </w:trPr>
        <w:tc>
          <w:tcPr>
            <w:tcW w:w="1417" w:type="dxa"/>
            <w:vMerge/>
          </w:tcPr>
          <w:p w14:paraId="63BE50F8" w14:textId="77777777" w:rsidR="00923D1D" w:rsidRPr="00A71DA6" w:rsidRDefault="00923D1D" w:rsidP="00AD5A06">
            <w:pPr>
              <w:spacing w:before="0" w:after="0" w:line="260" w:lineRule="atLeast"/>
              <w:rPr>
                <w:b/>
                <w:bCs/>
                <w:sz w:val="18"/>
              </w:rPr>
            </w:pPr>
          </w:p>
        </w:tc>
        <w:tc>
          <w:tcPr>
            <w:tcW w:w="2353" w:type="dxa"/>
          </w:tcPr>
          <w:p w14:paraId="1735179B"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6AD76328" w14:textId="77777777" w:rsidR="00923D1D" w:rsidRPr="00A71DA6" w:rsidRDefault="00923D1D" w:rsidP="00AD5A06">
            <w:pPr>
              <w:spacing w:before="0" w:after="0" w:line="260" w:lineRule="atLeast"/>
              <w:jc w:val="center"/>
              <w:rPr>
                <w:i/>
                <w:iCs/>
                <w:sz w:val="18"/>
              </w:rPr>
            </w:pPr>
            <w:r w:rsidRPr="00A71DA6">
              <w:rPr>
                <w:i/>
                <w:iCs/>
                <w:sz w:val="18"/>
              </w:rPr>
              <w:t>Embase not mentioned. Methods additional to database searching were not mentioned.</w:t>
            </w:r>
          </w:p>
        </w:tc>
        <w:tc>
          <w:tcPr>
            <w:tcW w:w="2353" w:type="dxa"/>
          </w:tcPr>
          <w:p w14:paraId="6403EB2B" w14:textId="77777777" w:rsidR="00923D1D" w:rsidRPr="00A71DA6" w:rsidRDefault="00923D1D" w:rsidP="00AD5A06">
            <w:pPr>
              <w:spacing w:before="0" w:after="0" w:line="260" w:lineRule="atLeast"/>
              <w:jc w:val="center"/>
              <w:rPr>
                <w:i/>
                <w:iCs/>
                <w:sz w:val="18"/>
              </w:rPr>
            </w:pPr>
            <w:r w:rsidRPr="00A71DA6">
              <w:rPr>
                <w:i/>
                <w:iCs/>
                <w:sz w:val="18"/>
              </w:rPr>
              <w:t>Data extraction by a single reviewer and checked by another. Some (but not all) study characteristics extracted and presented.</w:t>
            </w:r>
          </w:p>
        </w:tc>
        <w:tc>
          <w:tcPr>
            <w:tcW w:w="2353" w:type="dxa"/>
          </w:tcPr>
          <w:p w14:paraId="0561B15B" w14:textId="77777777" w:rsidR="00923D1D" w:rsidRPr="00A71DA6" w:rsidRDefault="00923D1D" w:rsidP="00AD5A06">
            <w:pPr>
              <w:spacing w:before="0" w:after="0" w:line="260" w:lineRule="atLeast"/>
              <w:jc w:val="center"/>
              <w:rPr>
                <w:i/>
                <w:iCs/>
                <w:sz w:val="18"/>
              </w:rPr>
            </w:pPr>
            <w:r w:rsidRPr="00A71DA6">
              <w:rPr>
                <w:i/>
                <w:iCs/>
                <w:sz w:val="18"/>
              </w:rPr>
              <w:t>Heterogeneity was not addressed in the analyses. Subgroup or sensitivity analyses were not mentioned.</w:t>
            </w:r>
          </w:p>
        </w:tc>
        <w:tc>
          <w:tcPr>
            <w:tcW w:w="1215" w:type="dxa"/>
            <w:vMerge/>
            <w:vAlign w:val="center"/>
          </w:tcPr>
          <w:p w14:paraId="0FDDB6A5"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47B48F77" w14:textId="77777777" w:rsidR="00923D1D" w:rsidRPr="00A71DA6" w:rsidRDefault="00923D1D" w:rsidP="00AD5A06">
            <w:pPr>
              <w:spacing w:before="0" w:after="0" w:line="260" w:lineRule="atLeast"/>
              <w:jc w:val="center"/>
              <w:rPr>
                <w:sz w:val="18"/>
              </w:rPr>
            </w:pPr>
          </w:p>
        </w:tc>
      </w:tr>
      <w:tr w:rsidR="00923D1D" w:rsidRPr="00A71DA6" w14:paraId="5058D1BF" w14:textId="77777777" w:rsidTr="00D75D51">
        <w:trPr>
          <w:jc w:val="center"/>
        </w:trPr>
        <w:tc>
          <w:tcPr>
            <w:tcW w:w="1417" w:type="dxa"/>
            <w:vMerge w:val="restart"/>
            <w:hideMark/>
          </w:tcPr>
          <w:p w14:paraId="4C3358FB" w14:textId="77777777" w:rsidR="00923D1D" w:rsidRPr="00A71DA6" w:rsidRDefault="00923D1D" w:rsidP="00AD5A06">
            <w:pPr>
              <w:spacing w:before="0" w:after="0" w:line="260" w:lineRule="atLeast"/>
              <w:rPr>
                <w:b/>
                <w:bCs/>
                <w:sz w:val="18"/>
              </w:rPr>
            </w:pPr>
            <w:r w:rsidRPr="00A71DA6">
              <w:rPr>
                <w:b/>
                <w:bCs/>
                <w:sz w:val="18"/>
              </w:rPr>
              <w:t>Candido et al 2023</w:t>
            </w:r>
          </w:p>
        </w:tc>
        <w:tc>
          <w:tcPr>
            <w:tcW w:w="2353" w:type="dxa"/>
            <w:hideMark/>
          </w:tcPr>
          <w:p w14:paraId="68E977B6"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5FA27BD9"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hideMark/>
          </w:tcPr>
          <w:p w14:paraId="777621E6"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hideMark/>
          </w:tcPr>
          <w:p w14:paraId="09FF6E3E" w14:textId="77777777" w:rsidR="00923D1D" w:rsidRPr="00A71DA6" w:rsidRDefault="00923D1D" w:rsidP="00AD5A06">
            <w:pPr>
              <w:spacing w:before="0" w:after="0" w:line="260" w:lineRule="atLeast"/>
              <w:jc w:val="center"/>
              <w:rPr>
                <w:sz w:val="18"/>
              </w:rPr>
            </w:pPr>
            <w:r w:rsidRPr="00A71DA6">
              <w:rPr>
                <w:sz w:val="18"/>
              </w:rPr>
              <w:t>HIGH</w:t>
            </w:r>
          </w:p>
        </w:tc>
        <w:tc>
          <w:tcPr>
            <w:tcW w:w="1215" w:type="dxa"/>
            <w:vMerge w:val="restart"/>
            <w:vAlign w:val="center"/>
            <w:hideMark/>
          </w:tcPr>
          <w:p w14:paraId="2734F367"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356A76B5" w14:textId="77777777" w:rsidR="00923D1D" w:rsidRPr="00A71DA6" w:rsidRDefault="00923D1D" w:rsidP="00AD5A06">
            <w:pPr>
              <w:spacing w:before="0" w:after="0" w:line="260" w:lineRule="atLeast"/>
              <w:jc w:val="center"/>
              <w:rPr>
                <w:sz w:val="18"/>
              </w:rPr>
            </w:pPr>
            <w:r w:rsidRPr="00A71DA6">
              <w:rPr>
                <w:sz w:val="18"/>
              </w:rPr>
              <w:t xml:space="preserve">Substantial concerns raised about risk of bias. These should be considered </w:t>
            </w:r>
            <w:proofErr w:type="gramStart"/>
            <w:r w:rsidRPr="00A71DA6">
              <w:rPr>
                <w:sz w:val="18"/>
              </w:rPr>
              <w:t>when  interpreting</w:t>
            </w:r>
            <w:proofErr w:type="gramEnd"/>
            <w:r w:rsidRPr="00A71DA6">
              <w:rPr>
                <w:sz w:val="18"/>
              </w:rPr>
              <w:t xml:space="preserve"> and applying findings, particularly concerns about the completeness of the body of evidence (missing search strategies) and robustness of data extraction and synthesis methods.</w:t>
            </w:r>
          </w:p>
        </w:tc>
      </w:tr>
      <w:tr w:rsidR="00923D1D" w:rsidRPr="00A71DA6" w14:paraId="120C2375" w14:textId="77777777" w:rsidTr="00D75D51">
        <w:trPr>
          <w:jc w:val="center"/>
        </w:trPr>
        <w:tc>
          <w:tcPr>
            <w:tcW w:w="1417" w:type="dxa"/>
            <w:vMerge/>
          </w:tcPr>
          <w:p w14:paraId="7A737DFA" w14:textId="77777777" w:rsidR="00923D1D" w:rsidRPr="00A71DA6" w:rsidRDefault="00923D1D" w:rsidP="00AD5A06">
            <w:pPr>
              <w:spacing w:before="0" w:after="0" w:line="260" w:lineRule="atLeast"/>
              <w:rPr>
                <w:b/>
                <w:bCs/>
                <w:sz w:val="18"/>
              </w:rPr>
            </w:pPr>
          </w:p>
        </w:tc>
        <w:tc>
          <w:tcPr>
            <w:tcW w:w="2353" w:type="dxa"/>
          </w:tcPr>
          <w:p w14:paraId="3BB4C7BF" w14:textId="77777777" w:rsidR="00923D1D" w:rsidRPr="00A71DA6" w:rsidRDefault="00923D1D" w:rsidP="00AD5A06">
            <w:pPr>
              <w:spacing w:before="0" w:after="0" w:line="260" w:lineRule="atLeast"/>
              <w:jc w:val="center"/>
              <w:rPr>
                <w:i/>
                <w:iCs/>
                <w:sz w:val="18"/>
              </w:rPr>
            </w:pPr>
            <w:r w:rsidRPr="00A71DA6">
              <w:rPr>
                <w:i/>
                <w:iCs/>
                <w:sz w:val="18"/>
              </w:rPr>
              <w:t xml:space="preserve">Excluded </w:t>
            </w:r>
            <w:proofErr w:type="gramStart"/>
            <w:r w:rsidRPr="00A71DA6">
              <w:rPr>
                <w:i/>
                <w:iCs/>
                <w:sz w:val="18"/>
              </w:rPr>
              <w:t>Non-English</w:t>
            </w:r>
            <w:proofErr w:type="gramEnd"/>
            <w:r w:rsidRPr="00A71DA6">
              <w:rPr>
                <w:i/>
                <w:iCs/>
                <w:sz w:val="18"/>
              </w:rPr>
              <w:t xml:space="preserve"> language studies</w:t>
            </w:r>
          </w:p>
        </w:tc>
        <w:tc>
          <w:tcPr>
            <w:tcW w:w="2353" w:type="dxa"/>
          </w:tcPr>
          <w:p w14:paraId="215FC1D5" w14:textId="77777777" w:rsidR="00923D1D" w:rsidRPr="00A71DA6" w:rsidRDefault="00923D1D" w:rsidP="00AD5A06">
            <w:pPr>
              <w:spacing w:before="0" w:after="0" w:line="260" w:lineRule="atLeast"/>
              <w:jc w:val="center"/>
              <w:rPr>
                <w:i/>
                <w:iCs/>
                <w:sz w:val="18"/>
              </w:rPr>
            </w:pPr>
            <w:r w:rsidRPr="00A71DA6">
              <w:rPr>
                <w:i/>
                <w:iCs/>
                <w:sz w:val="18"/>
              </w:rPr>
              <w:t>No search strategies were provided.</w:t>
            </w:r>
          </w:p>
        </w:tc>
        <w:tc>
          <w:tcPr>
            <w:tcW w:w="2353" w:type="dxa"/>
          </w:tcPr>
          <w:p w14:paraId="719BBAE1" w14:textId="77777777" w:rsidR="00923D1D" w:rsidRPr="00A71DA6" w:rsidRDefault="00923D1D" w:rsidP="00AD5A06">
            <w:pPr>
              <w:spacing w:before="0" w:after="0" w:line="260" w:lineRule="atLeast"/>
              <w:jc w:val="center"/>
              <w:rPr>
                <w:i/>
                <w:iCs/>
                <w:sz w:val="18"/>
              </w:rPr>
            </w:pPr>
            <w:r w:rsidRPr="00A71DA6">
              <w:rPr>
                <w:i/>
                <w:iCs/>
                <w:sz w:val="18"/>
              </w:rPr>
              <w:t>The number of reviewers involved in data extraction was not reported.</w:t>
            </w:r>
          </w:p>
        </w:tc>
        <w:tc>
          <w:tcPr>
            <w:tcW w:w="2353" w:type="dxa"/>
          </w:tcPr>
          <w:p w14:paraId="7E5D33E8" w14:textId="77777777" w:rsidR="00923D1D" w:rsidRPr="00A71DA6" w:rsidRDefault="00923D1D" w:rsidP="00AD5A06">
            <w:pPr>
              <w:spacing w:before="0" w:after="0" w:line="260" w:lineRule="atLeast"/>
              <w:jc w:val="center"/>
              <w:rPr>
                <w:i/>
                <w:iCs/>
                <w:sz w:val="18"/>
              </w:rPr>
            </w:pPr>
            <w:r w:rsidRPr="00A71DA6">
              <w:rPr>
                <w:i/>
                <w:iCs/>
                <w:sz w:val="18"/>
              </w:rPr>
              <w:t>Heterogeneity was high and was not addressed in the analyses. Subgroup or sensitivity analyses were not mentioned.</w:t>
            </w:r>
          </w:p>
        </w:tc>
        <w:tc>
          <w:tcPr>
            <w:tcW w:w="1215" w:type="dxa"/>
            <w:vMerge/>
            <w:vAlign w:val="center"/>
          </w:tcPr>
          <w:p w14:paraId="589D5A51"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279ECC30" w14:textId="77777777" w:rsidR="00923D1D" w:rsidRPr="00A71DA6" w:rsidRDefault="00923D1D" w:rsidP="00AD5A06">
            <w:pPr>
              <w:spacing w:before="0" w:after="0" w:line="260" w:lineRule="atLeast"/>
              <w:jc w:val="center"/>
              <w:rPr>
                <w:sz w:val="18"/>
              </w:rPr>
            </w:pPr>
          </w:p>
        </w:tc>
      </w:tr>
      <w:tr w:rsidR="00923D1D" w:rsidRPr="00A71DA6" w14:paraId="7FCD1E32" w14:textId="77777777" w:rsidTr="00D75D51">
        <w:trPr>
          <w:jc w:val="center"/>
        </w:trPr>
        <w:tc>
          <w:tcPr>
            <w:tcW w:w="1417" w:type="dxa"/>
            <w:vMerge w:val="restart"/>
          </w:tcPr>
          <w:p w14:paraId="76B9070F" w14:textId="77777777" w:rsidR="00923D1D" w:rsidRPr="00A71DA6" w:rsidRDefault="00923D1D" w:rsidP="00AD5A06">
            <w:pPr>
              <w:spacing w:before="0" w:after="0" w:line="260" w:lineRule="atLeast"/>
              <w:rPr>
                <w:b/>
                <w:bCs/>
                <w:sz w:val="18"/>
              </w:rPr>
            </w:pPr>
            <w:r w:rsidRPr="00A71DA6">
              <w:rPr>
                <w:b/>
                <w:bCs/>
                <w:sz w:val="18"/>
              </w:rPr>
              <w:t>Cao et al 2017</w:t>
            </w:r>
          </w:p>
        </w:tc>
        <w:tc>
          <w:tcPr>
            <w:tcW w:w="2353" w:type="dxa"/>
          </w:tcPr>
          <w:p w14:paraId="3350B632"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3A6A7DCC"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2268C896"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28E3F54A"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tcPr>
          <w:p w14:paraId="4C45E6B5"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tcPr>
          <w:p w14:paraId="30B08AE4" w14:textId="77777777" w:rsidR="00923D1D" w:rsidRPr="00A71DA6" w:rsidRDefault="00923D1D" w:rsidP="00AD5A06">
            <w:pPr>
              <w:spacing w:before="0" w:after="0" w:line="260" w:lineRule="atLeast"/>
              <w:jc w:val="center"/>
              <w:rPr>
                <w:sz w:val="18"/>
              </w:rPr>
            </w:pPr>
            <w:r w:rsidRPr="00A71DA6">
              <w:rPr>
                <w:sz w:val="18"/>
              </w:rPr>
              <w:t>Findings to be interpreted with caution given uncertainties/ limitations raised.</w:t>
            </w:r>
          </w:p>
        </w:tc>
      </w:tr>
      <w:tr w:rsidR="00923D1D" w:rsidRPr="00A71DA6" w14:paraId="0F9CF1E0" w14:textId="77777777" w:rsidTr="00D75D51">
        <w:trPr>
          <w:jc w:val="center"/>
        </w:trPr>
        <w:tc>
          <w:tcPr>
            <w:tcW w:w="1417" w:type="dxa"/>
            <w:vMerge/>
          </w:tcPr>
          <w:p w14:paraId="7B0C6E67" w14:textId="77777777" w:rsidR="00923D1D" w:rsidRPr="00A71DA6" w:rsidRDefault="00923D1D" w:rsidP="00AD5A06">
            <w:pPr>
              <w:spacing w:before="0" w:after="0" w:line="260" w:lineRule="atLeast"/>
              <w:rPr>
                <w:b/>
                <w:bCs/>
                <w:sz w:val="18"/>
              </w:rPr>
            </w:pPr>
          </w:p>
        </w:tc>
        <w:tc>
          <w:tcPr>
            <w:tcW w:w="2353" w:type="dxa"/>
          </w:tcPr>
          <w:p w14:paraId="26F46A91" w14:textId="77777777" w:rsidR="00923D1D" w:rsidRPr="00A71DA6" w:rsidRDefault="00923D1D" w:rsidP="00AD5A06">
            <w:pPr>
              <w:spacing w:before="0" w:after="0" w:line="260" w:lineRule="atLeast"/>
              <w:jc w:val="center"/>
              <w:rPr>
                <w:i/>
                <w:iCs/>
                <w:sz w:val="18"/>
              </w:rPr>
            </w:pPr>
            <w:r w:rsidRPr="00A71DA6">
              <w:rPr>
                <w:i/>
                <w:iCs/>
                <w:sz w:val="18"/>
              </w:rPr>
              <w:t>No specific inclusion criteria for participants were mentioned.</w:t>
            </w:r>
          </w:p>
        </w:tc>
        <w:tc>
          <w:tcPr>
            <w:tcW w:w="2353" w:type="dxa"/>
          </w:tcPr>
          <w:p w14:paraId="0544CD4C" w14:textId="77777777" w:rsidR="00923D1D" w:rsidRDefault="00923D1D" w:rsidP="00AD5A06">
            <w:pPr>
              <w:spacing w:before="0" w:line="260" w:lineRule="atLeast"/>
              <w:jc w:val="center"/>
              <w:rPr>
                <w:i/>
                <w:iCs/>
                <w:sz w:val="18"/>
              </w:rPr>
            </w:pPr>
            <w:r w:rsidRPr="00A71DA6">
              <w:rPr>
                <w:i/>
                <w:iCs/>
                <w:sz w:val="18"/>
              </w:rPr>
              <w:t>Search strategies not provided, number of reviewers involved in screening and screening procedures not described</w:t>
            </w:r>
          </w:p>
          <w:p w14:paraId="6872E3D5" w14:textId="77777777" w:rsidR="00ED2123" w:rsidRDefault="00ED2123" w:rsidP="00AD5A06">
            <w:pPr>
              <w:spacing w:before="0" w:line="260" w:lineRule="atLeast"/>
              <w:jc w:val="center"/>
              <w:rPr>
                <w:i/>
                <w:iCs/>
                <w:sz w:val="18"/>
              </w:rPr>
            </w:pPr>
          </w:p>
          <w:p w14:paraId="09A90DFA" w14:textId="77777777" w:rsidR="00ED2123" w:rsidRPr="00A71DA6" w:rsidRDefault="00ED2123" w:rsidP="00AD5A06">
            <w:pPr>
              <w:spacing w:before="0" w:line="260" w:lineRule="atLeast"/>
              <w:jc w:val="center"/>
              <w:rPr>
                <w:i/>
                <w:iCs/>
                <w:sz w:val="18"/>
              </w:rPr>
            </w:pPr>
          </w:p>
        </w:tc>
        <w:tc>
          <w:tcPr>
            <w:tcW w:w="2353" w:type="dxa"/>
          </w:tcPr>
          <w:p w14:paraId="3589E65E" w14:textId="77777777" w:rsidR="00923D1D" w:rsidRPr="00A71DA6" w:rsidRDefault="00923D1D" w:rsidP="00AD5A06">
            <w:pPr>
              <w:spacing w:before="0" w:after="0" w:line="260" w:lineRule="atLeast"/>
              <w:jc w:val="center"/>
              <w:rPr>
                <w:i/>
                <w:iCs/>
                <w:sz w:val="18"/>
              </w:rPr>
            </w:pPr>
            <w:r w:rsidRPr="00A71DA6">
              <w:rPr>
                <w:i/>
                <w:iCs/>
                <w:sz w:val="18"/>
              </w:rPr>
              <w:t>Characteristics extracted were insufficient for interpretation of results</w:t>
            </w:r>
          </w:p>
        </w:tc>
        <w:tc>
          <w:tcPr>
            <w:tcW w:w="2353" w:type="dxa"/>
          </w:tcPr>
          <w:p w14:paraId="065786FC"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66E21510"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0A4EE467" w14:textId="77777777" w:rsidR="00923D1D" w:rsidRPr="00A71DA6" w:rsidRDefault="00923D1D" w:rsidP="00AD5A06">
            <w:pPr>
              <w:spacing w:before="0" w:after="0" w:line="260" w:lineRule="atLeast"/>
              <w:jc w:val="center"/>
              <w:rPr>
                <w:sz w:val="18"/>
              </w:rPr>
            </w:pPr>
          </w:p>
        </w:tc>
      </w:tr>
      <w:tr w:rsidR="00923D1D" w:rsidRPr="00A71DA6" w14:paraId="60601DFD" w14:textId="77777777" w:rsidTr="00D75D51">
        <w:trPr>
          <w:jc w:val="center"/>
        </w:trPr>
        <w:tc>
          <w:tcPr>
            <w:tcW w:w="1417" w:type="dxa"/>
            <w:vMerge w:val="restart"/>
            <w:hideMark/>
          </w:tcPr>
          <w:p w14:paraId="12F7E988" w14:textId="77777777" w:rsidR="00923D1D" w:rsidRPr="00A71DA6" w:rsidRDefault="00923D1D" w:rsidP="00AD5A06">
            <w:pPr>
              <w:spacing w:before="0" w:after="0" w:line="260" w:lineRule="atLeast"/>
              <w:rPr>
                <w:b/>
                <w:bCs/>
                <w:sz w:val="18"/>
              </w:rPr>
            </w:pPr>
            <w:proofErr w:type="spellStart"/>
            <w:r w:rsidRPr="00A71DA6">
              <w:rPr>
                <w:b/>
                <w:bCs/>
                <w:sz w:val="18"/>
              </w:rPr>
              <w:lastRenderedPageBreak/>
              <w:t>Dineva</w:t>
            </w:r>
            <w:proofErr w:type="spellEnd"/>
            <w:r w:rsidRPr="00A71DA6">
              <w:rPr>
                <w:b/>
                <w:bCs/>
                <w:sz w:val="18"/>
              </w:rPr>
              <w:t xml:space="preserve"> et al 2020</w:t>
            </w:r>
          </w:p>
        </w:tc>
        <w:tc>
          <w:tcPr>
            <w:tcW w:w="2353" w:type="dxa"/>
            <w:hideMark/>
          </w:tcPr>
          <w:p w14:paraId="4BC6C100" w14:textId="4650ED19" w:rsidR="00923D1D" w:rsidRPr="00A71DA6" w:rsidRDefault="00923D1D" w:rsidP="00AD5A06">
            <w:pPr>
              <w:spacing w:before="0" w:after="0"/>
              <w:jc w:val="center"/>
              <w:rPr>
                <w:sz w:val="18"/>
              </w:rPr>
            </w:pPr>
            <w:r w:rsidRPr="00A71DA6">
              <w:rPr>
                <w:sz w:val="18"/>
              </w:rPr>
              <w:t>HIGH -</w:t>
            </w:r>
          </w:p>
        </w:tc>
        <w:tc>
          <w:tcPr>
            <w:tcW w:w="2353" w:type="dxa"/>
            <w:hideMark/>
          </w:tcPr>
          <w:p w14:paraId="22E6F87D" w14:textId="77777777" w:rsidR="00923D1D" w:rsidRPr="00A71DA6" w:rsidRDefault="00923D1D" w:rsidP="00AD5A06">
            <w:pPr>
              <w:spacing w:before="0" w:after="0"/>
              <w:jc w:val="center"/>
              <w:rPr>
                <w:sz w:val="18"/>
              </w:rPr>
            </w:pPr>
            <w:r w:rsidRPr="00A71DA6">
              <w:rPr>
                <w:sz w:val="18"/>
              </w:rPr>
              <w:t>LOW</w:t>
            </w:r>
          </w:p>
        </w:tc>
        <w:tc>
          <w:tcPr>
            <w:tcW w:w="2353" w:type="dxa"/>
            <w:hideMark/>
          </w:tcPr>
          <w:p w14:paraId="11D7A4EF" w14:textId="29A4AABB" w:rsidR="00923D1D" w:rsidRPr="00A71DA6" w:rsidRDefault="00923D1D" w:rsidP="00AD5A06">
            <w:pPr>
              <w:spacing w:before="0" w:after="0"/>
              <w:jc w:val="center"/>
              <w:rPr>
                <w:sz w:val="18"/>
              </w:rPr>
            </w:pPr>
            <w:r w:rsidRPr="00A71DA6">
              <w:rPr>
                <w:sz w:val="18"/>
              </w:rPr>
              <w:t>UNCLEAR -</w:t>
            </w:r>
          </w:p>
        </w:tc>
        <w:tc>
          <w:tcPr>
            <w:tcW w:w="2353" w:type="dxa"/>
            <w:hideMark/>
          </w:tcPr>
          <w:p w14:paraId="18DF3048" w14:textId="77777777" w:rsidR="00923D1D" w:rsidRPr="00A71DA6" w:rsidRDefault="00923D1D" w:rsidP="00AD5A06">
            <w:pPr>
              <w:spacing w:before="0" w:after="0"/>
              <w:jc w:val="center"/>
              <w:rPr>
                <w:sz w:val="18"/>
              </w:rPr>
            </w:pPr>
            <w:r w:rsidRPr="00A71DA6">
              <w:rPr>
                <w:sz w:val="18"/>
              </w:rPr>
              <w:t>LOW</w:t>
            </w:r>
          </w:p>
        </w:tc>
        <w:tc>
          <w:tcPr>
            <w:tcW w:w="1215" w:type="dxa"/>
            <w:vMerge w:val="restart"/>
            <w:vAlign w:val="center"/>
            <w:hideMark/>
          </w:tcPr>
          <w:p w14:paraId="454BEA43" w14:textId="77777777" w:rsidR="00923D1D" w:rsidRPr="00D75D51" w:rsidRDefault="00923D1D" w:rsidP="00AD5A06">
            <w:pPr>
              <w:spacing w:before="0" w:after="0" w:line="30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0C66D759" w14:textId="77777777" w:rsidR="00923D1D" w:rsidRPr="00A71DA6" w:rsidRDefault="00923D1D" w:rsidP="00AD5A06">
            <w:pPr>
              <w:spacing w:before="0" w:after="0" w:line="260" w:lineRule="atLeast"/>
              <w:jc w:val="center"/>
              <w:rPr>
                <w:sz w:val="18"/>
              </w:rPr>
            </w:pPr>
            <w:r w:rsidRPr="00A71DA6">
              <w:rPr>
                <w:sz w:val="18"/>
              </w:rPr>
              <w:t xml:space="preserve">Concerns raised should be considered when using interpreting and applying findings, however fundamental methodology appears sound and most limitations are </w:t>
            </w:r>
            <w:proofErr w:type="gramStart"/>
            <w:r w:rsidRPr="00A71DA6">
              <w:rPr>
                <w:sz w:val="18"/>
              </w:rPr>
              <w:t>similar to</w:t>
            </w:r>
            <w:proofErr w:type="gramEnd"/>
            <w:r w:rsidRPr="00A71DA6">
              <w:rPr>
                <w:sz w:val="18"/>
              </w:rPr>
              <w:t xml:space="preserve"> those of NHMRC commissioned reviews (</w:t>
            </w:r>
            <w:proofErr w:type="spellStart"/>
            <w:r w:rsidRPr="00A71DA6">
              <w:rPr>
                <w:sz w:val="18"/>
              </w:rPr>
              <w:t>eg.</w:t>
            </w:r>
            <w:proofErr w:type="spellEnd"/>
            <w:r w:rsidRPr="00A71DA6">
              <w:rPr>
                <w:sz w:val="18"/>
              </w:rPr>
              <w:t xml:space="preserve"> exclusion of </w:t>
            </w:r>
            <w:proofErr w:type="spellStart"/>
            <w:r w:rsidRPr="00A71DA6">
              <w:rPr>
                <w:sz w:val="18"/>
              </w:rPr>
              <w:t>non-english</w:t>
            </w:r>
            <w:proofErr w:type="spellEnd"/>
            <w:r w:rsidRPr="00A71DA6">
              <w:rPr>
                <w:sz w:val="18"/>
              </w:rPr>
              <w:t xml:space="preserve"> studies and certain grey literature).</w:t>
            </w:r>
          </w:p>
        </w:tc>
      </w:tr>
      <w:tr w:rsidR="00923D1D" w:rsidRPr="00A71DA6" w14:paraId="5D81E301" w14:textId="77777777" w:rsidTr="00D75D51">
        <w:trPr>
          <w:jc w:val="center"/>
        </w:trPr>
        <w:tc>
          <w:tcPr>
            <w:tcW w:w="1417" w:type="dxa"/>
            <w:vMerge/>
          </w:tcPr>
          <w:p w14:paraId="626B56A3" w14:textId="77777777" w:rsidR="00923D1D" w:rsidRPr="00A71DA6" w:rsidRDefault="00923D1D" w:rsidP="00AD5A06">
            <w:pPr>
              <w:spacing w:before="0" w:after="0" w:line="260" w:lineRule="atLeast"/>
              <w:rPr>
                <w:b/>
                <w:bCs/>
                <w:sz w:val="18"/>
              </w:rPr>
            </w:pPr>
          </w:p>
        </w:tc>
        <w:tc>
          <w:tcPr>
            <w:tcW w:w="2353" w:type="dxa"/>
          </w:tcPr>
          <w:p w14:paraId="4AE7A25A" w14:textId="77777777" w:rsidR="00923D1D" w:rsidRPr="00A71DA6" w:rsidRDefault="00923D1D" w:rsidP="00AD5A06">
            <w:pPr>
              <w:spacing w:before="0" w:after="0" w:line="260" w:lineRule="atLeast"/>
              <w:jc w:val="center"/>
              <w:rPr>
                <w:i/>
                <w:iCs/>
                <w:sz w:val="18"/>
              </w:rPr>
            </w:pPr>
            <w:r w:rsidRPr="00A71DA6">
              <w:rPr>
                <w:i/>
                <w:iCs/>
                <w:sz w:val="18"/>
              </w:rPr>
              <w:t>Studies written in languages other than English, unpublished articles, or non-peer-reviewed articles (e.g., meeting abstracts or letters) were also exclude</w:t>
            </w:r>
          </w:p>
        </w:tc>
        <w:tc>
          <w:tcPr>
            <w:tcW w:w="2353" w:type="dxa"/>
          </w:tcPr>
          <w:p w14:paraId="334C2931"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0BD5161E" w14:textId="77777777" w:rsidR="00923D1D" w:rsidRPr="00A71DA6" w:rsidRDefault="00923D1D" w:rsidP="00AD5A06">
            <w:pPr>
              <w:spacing w:before="0" w:after="0" w:line="260" w:lineRule="atLeast"/>
              <w:jc w:val="center"/>
              <w:rPr>
                <w:i/>
                <w:iCs/>
                <w:sz w:val="18"/>
              </w:rPr>
            </w:pPr>
            <w:r w:rsidRPr="00A71DA6">
              <w:rPr>
                <w:i/>
                <w:iCs/>
                <w:sz w:val="18"/>
              </w:rPr>
              <w:t>The number of reviewers involved in the risk of bias assessment was not reported.</w:t>
            </w:r>
          </w:p>
        </w:tc>
        <w:tc>
          <w:tcPr>
            <w:tcW w:w="2353" w:type="dxa"/>
          </w:tcPr>
          <w:p w14:paraId="08BE4429"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06498269"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4D1C9B62" w14:textId="77777777" w:rsidR="00923D1D" w:rsidRPr="00A71DA6" w:rsidRDefault="00923D1D" w:rsidP="00AD5A06">
            <w:pPr>
              <w:spacing w:before="0" w:after="0" w:line="260" w:lineRule="atLeast"/>
              <w:jc w:val="center"/>
              <w:rPr>
                <w:sz w:val="18"/>
              </w:rPr>
            </w:pPr>
          </w:p>
        </w:tc>
      </w:tr>
      <w:tr w:rsidR="00923D1D" w:rsidRPr="00A71DA6" w14:paraId="563F8EAA" w14:textId="77777777" w:rsidTr="00D75D51">
        <w:trPr>
          <w:jc w:val="center"/>
        </w:trPr>
        <w:tc>
          <w:tcPr>
            <w:tcW w:w="1417" w:type="dxa"/>
            <w:vMerge w:val="restart"/>
            <w:hideMark/>
          </w:tcPr>
          <w:p w14:paraId="5AEE867D" w14:textId="77777777" w:rsidR="00923D1D" w:rsidRPr="00A71DA6" w:rsidRDefault="00923D1D" w:rsidP="00AD5A06">
            <w:pPr>
              <w:spacing w:before="0" w:after="0" w:line="260" w:lineRule="atLeast"/>
              <w:rPr>
                <w:b/>
                <w:bCs/>
                <w:sz w:val="18"/>
              </w:rPr>
            </w:pPr>
            <w:proofErr w:type="spellStart"/>
            <w:r w:rsidRPr="00A71DA6">
              <w:rPr>
                <w:b/>
                <w:bCs/>
                <w:sz w:val="18"/>
              </w:rPr>
              <w:t>Dineva</w:t>
            </w:r>
            <w:proofErr w:type="spellEnd"/>
            <w:r w:rsidRPr="00A71DA6">
              <w:rPr>
                <w:b/>
                <w:bCs/>
                <w:sz w:val="18"/>
              </w:rPr>
              <w:t xml:space="preserve"> et al 2023</w:t>
            </w:r>
          </w:p>
        </w:tc>
        <w:tc>
          <w:tcPr>
            <w:tcW w:w="2353" w:type="dxa"/>
            <w:hideMark/>
          </w:tcPr>
          <w:p w14:paraId="0BAA3D2F"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1CF9EA66"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3AA218FB"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77A52B6C"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hideMark/>
          </w:tcPr>
          <w:p w14:paraId="167FD110"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5837DEFB" w14:textId="77777777" w:rsidR="00AD5A06" w:rsidRDefault="00923D1D" w:rsidP="00AD5A06">
            <w:pPr>
              <w:spacing w:before="0" w:after="0" w:line="260" w:lineRule="atLeast"/>
              <w:jc w:val="center"/>
              <w:rPr>
                <w:sz w:val="18"/>
              </w:rPr>
            </w:pPr>
            <w:r w:rsidRPr="00A71DA6">
              <w:rPr>
                <w:sz w:val="18"/>
              </w:rPr>
              <w:t>Despite being assessed as being at HIGH risk of bias, NHMRC considers this review to be well conducted.</w:t>
            </w:r>
          </w:p>
          <w:p w14:paraId="24CC8CBA" w14:textId="4918D1DD" w:rsidR="00923D1D" w:rsidRPr="00A71DA6" w:rsidRDefault="00923D1D" w:rsidP="00AD5A06">
            <w:pPr>
              <w:spacing w:after="0" w:line="260" w:lineRule="atLeast"/>
              <w:jc w:val="center"/>
              <w:rPr>
                <w:sz w:val="18"/>
              </w:rPr>
            </w:pPr>
            <w:r w:rsidRPr="00A71DA6">
              <w:rPr>
                <w:sz w:val="18"/>
              </w:rPr>
              <w:t xml:space="preserve">Concerns about </w:t>
            </w:r>
            <w:proofErr w:type="spellStart"/>
            <w:r w:rsidRPr="00A71DA6">
              <w:rPr>
                <w:sz w:val="18"/>
              </w:rPr>
              <w:t>RoB</w:t>
            </w:r>
            <w:proofErr w:type="spellEnd"/>
            <w:r w:rsidRPr="00A71DA6">
              <w:rPr>
                <w:sz w:val="18"/>
              </w:rPr>
              <w:t xml:space="preserve"> relate to exclusion of non-English studies and unpublished articles and abstracts - these limitations are consistent with the limitations of any NHMRC-commissioned review.</w:t>
            </w:r>
          </w:p>
        </w:tc>
      </w:tr>
      <w:tr w:rsidR="00923D1D" w:rsidRPr="00A71DA6" w14:paraId="69F089A7" w14:textId="77777777" w:rsidTr="00D75D51">
        <w:trPr>
          <w:jc w:val="center"/>
        </w:trPr>
        <w:tc>
          <w:tcPr>
            <w:tcW w:w="1417" w:type="dxa"/>
            <w:vMerge/>
          </w:tcPr>
          <w:p w14:paraId="5F50FA74" w14:textId="77777777" w:rsidR="00923D1D" w:rsidRPr="00A71DA6" w:rsidRDefault="00923D1D" w:rsidP="00AD5A06">
            <w:pPr>
              <w:spacing w:before="0" w:after="0" w:line="260" w:lineRule="atLeast"/>
              <w:rPr>
                <w:b/>
                <w:bCs/>
                <w:sz w:val="18"/>
              </w:rPr>
            </w:pPr>
          </w:p>
        </w:tc>
        <w:tc>
          <w:tcPr>
            <w:tcW w:w="2353" w:type="dxa"/>
          </w:tcPr>
          <w:p w14:paraId="40A52728" w14:textId="77777777" w:rsidR="00923D1D" w:rsidRPr="00A71DA6" w:rsidRDefault="00923D1D" w:rsidP="00AD5A06">
            <w:pPr>
              <w:spacing w:before="0" w:after="0" w:line="260" w:lineRule="atLeast"/>
              <w:jc w:val="center"/>
              <w:rPr>
                <w:i/>
                <w:iCs/>
                <w:sz w:val="18"/>
              </w:rPr>
            </w:pPr>
            <w:r w:rsidRPr="00A71DA6">
              <w:rPr>
                <w:i/>
                <w:iCs/>
                <w:sz w:val="18"/>
              </w:rPr>
              <w:t>Studies in languages other than English and unpublished or non-peer reviewed articles (e.g. meeting abstracts, letters) were excluded.</w:t>
            </w:r>
          </w:p>
        </w:tc>
        <w:tc>
          <w:tcPr>
            <w:tcW w:w="2353" w:type="dxa"/>
          </w:tcPr>
          <w:p w14:paraId="1ADBFC68"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046ED137"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2A5CDDA2"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47AF6199"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2E400AF1" w14:textId="77777777" w:rsidR="00923D1D" w:rsidRPr="00A71DA6" w:rsidRDefault="00923D1D" w:rsidP="00AD5A06">
            <w:pPr>
              <w:spacing w:before="0" w:after="0" w:line="260" w:lineRule="atLeast"/>
              <w:jc w:val="center"/>
              <w:rPr>
                <w:sz w:val="18"/>
              </w:rPr>
            </w:pPr>
          </w:p>
        </w:tc>
      </w:tr>
      <w:tr w:rsidR="00923D1D" w:rsidRPr="00A71DA6" w14:paraId="03571AED" w14:textId="77777777" w:rsidTr="00D75D51">
        <w:trPr>
          <w:jc w:val="center"/>
        </w:trPr>
        <w:tc>
          <w:tcPr>
            <w:tcW w:w="1417" w:type="dxa"/>
            <w:vMerge w:val="restart"/>
            <w:hideMark/>
          </w:tcPr>
          <w:p w14:paraId="4BDDBE28" w14:textId="77777777" w:rsidR="00923D1D" w:rsidRPr="00A71DA6" w:rsidRDefault="00923D1D" w:rsidP="00AD5A06">
            <w:pPr>
              <w:spacing w:before="0" w:after="0" w:line="260" w:lineRule="atLeast"/>
              <w:rPr>
                <w:b/>
                <w:bCs/>
                <w:sz w:val="18"/>
              </w:rPr>
            </w:pPr>
            <w:r w:rsidRPr="00A71DA6">
              <w:rPr>
                <w:b/>
                <w:bCs/>
                <w:sz w:val="18"/>
              </w:rPr>
              <w:t>Dror et al 2018</w:t>
            </w:r>
          </w:p>
        </w:tc>
        <w:tc>
          <w:tcPr>
            <w:tcW w:w="2353" w:type="dxa"/>
            <w:hideMark/>
          </w:tcPr>
          <w:p w14:paraId="14D4F35A"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48888FF9" w14:textId="2D3688D3" w:rsidR="00923D1D" w:rsidRPr="00A71DA6" w:rsidRDefault="00923D1D" w:rsidP="00AD5A06">
            <w:pPr>
              <w:spacing w:before="0" w:after="0" w:line="260" w:lineRule="atLeast"/>
              <w:jc w:val="center"/>
              <w:rPr>
                <w:sz w:val="18"/>
              </w:rPr>
            </w:pPr>
            <w:r w:rsidRPr="00A71DA6">
              <w:rPr>
                <w:sz w:val="18"/>
              </w:rPr>
              <w:t>HIGH -</w:t>
            </w:r>
          </w:p>
        </w:tc>
        <w:tc>
          <w:tcPr>
            <w:tcW w:w="2353" w:type="dxa"/>
            <w:hideMark/>
          </w:tcPr>
          <w:p w14:paraId="3A0819DA" w14:textId="202BC5AB" w:rsidR="00923D1D" w:rsidRPr="00A71DA6" w:rsidRDefault="00923D1D" w:rsidP="00AD5A06">
            <w:pPr>
              <w:spacing w:before="0" w:after="0" w:line="260" w:lineRule="atLeast"/>
              <w:jc w:val="center"/>
              <w:rPr>
                <w:sz w:val="18"/>
              </w:rPr>
            </w:pPr>
            <w:r w:rsidRPr="00A71DA6">
              <w:rPr>
                <w:sz w:val="18"/>
              </w:rPr>
              <w:t>HIGH -</w:t>
            </w:r>
          </w:p>
        </w:tc>
        <w:tc>
          <w:tcPr>
            <w:tcW w:w="2353" w:type="dxa"/>
            <w:hideMark/>
          </w:tcPr>
          <w:p w14:paraId="63D4843A" w14:textId="4A4B01BE" w:rsidR="00923D1D" w:rsidRPr="00A71DA6" w:rsidRDefault="00923D1D" w:rsidP="00AD5A06">
            <w:pPr>
              <w:spacing w:before="0" w:after="0" w:line="260" w:lineRule="atLeast"/>
              <w:jc w:val="center"/>
              <w:rPr>
                <w:sz w:val="18"/>
              </w:rPr>
            </w:pPr>
            <w:r w:rsidRPr="00A71DA6">
              <w:rPr>
                <w:sz w:val="18"/>
              </w:rPr>
              <w:t>HIGH -</w:t>
            </w:r>
          </w:p>
        </w:tc>
        <w:tc>
          <w:tcPr>
            <w:tcW w:w="1215" w:type="dxa"/>
            <w:vMerge w:val="restart"/>
            <w:vAlign w:val="center"/>
            <w:hideMark/>
          </w:tcPr>
          <w:p w14:paraId="6AE1A293"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6D26C4C1" w14:textId="77777777"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 The lack of assessment of methodological quality of included studies - and consideration of risk of bias during synthesis - is of particular concern.</w:t>
            </w:r>
          </w:p>
        </w:tc>
      </w:tr>
      <w:tr w:rsidR="00923D1D" w:rsidRPr="00A71DA6" w14:paraId="7F05DAB3" w14:textId="77777777" w:rsidTr="00D75D51">
        <w:trPr>
          <w:jc w:val="center"/>
        </w:trPr>
        <w:tc>
          <w:tcPr>
            <w:tcW w:w="1417" w:type="dxa"/>
            <w:vMerge/>
          </w:tcPr>
          <w:p w14:paraId="3FB09E7C" w14:textId="77777777" w:rsidR="00923D1D" w:rsidRPr="00A71DA6" w:rsidRDefault="00923D1D" w:rsidP="00AD5A06">
            <w:pPr>
              <w:spacing w:before="0" w:after="0" w:line="260" w:lineRule="atLeast"/>
              <w:rPr>
                <w:b/>
                <w:bCs/>
                <w:sz w:val="18"/>
              </w:rPr>
            </w:pPr>
          </w:p>
        </w:tc>
        <w:tc>
          <w:tcPr>
            <w:tcW w:w="2353" w:type="dxa"/>
          </w:tcPr>
          <w:p w14:paraId="75BCD136"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67B30079" w14:textId="77777777" w:rsidR="00923D1D" w:rsidRPr="00A71DA6" w:rsidRDefault="00923D1D" w:rsidP="00AD5A06">
            <w:pPr>
              <w:spacing w:before="0" w:after="0" w:line="260" w:lineRule="atLeast"/>
              <w:jc w:val="center"/>
              <w:rPr>
                <w:i/>
                <w:iCs/>
                <w:sz w:val="18"/>
              </w:rPr>
            </w:pPr>
            <w:r w:rsidRPr="00A71DA6">
              <w:rPr>
                <w:i/>
                <w:iCs/>
                <w:sz w:val="18"/>
              </w:rPr>
              <w:t>The search terms were provided but full details of the search strategy were not reported.</w:t>
            </w:r>
          </w:p>
        </w:tc>
        <w:tc>
          <w:tcPr>
            <w:tcW w:w="2353" w:type="dxa"/>
          </w:tcPr>
          <w:p w14:paraId="551F0B70" w14:textId="77777777" w:rsidR="00923D1D" w:rsidRDefault="00923D1D" w:rsidP="00AD5A06">
            <w:pPr>
              <w:spacing w:before="0" w:after="240" w:line="260" w:lineRule="atLeast"/>
              <w:jc w:val="center"/>
              <w:rPr>
                <w:i/>
                <w:iCs/>
                <w:sz w:val="18"/>
              </w:rPr>
            </w:pPr>
            <w:r w:rsidRPr="00A71DA6">
              <w:rPr>
                <w:i/>
                <w:iCs/>
                <w:sz w:val="18"/>
              </w:rPr>
              <w:t>No. reviewers involved in data extraction not reported. Formal methodological quality assessment of included studies was not performed.</w:t>
            </w:r>
          </w:p>
          <w:p w14:paraId="54355E43" w14:textId="77777777" w:rsidR="00ED2123" w:rsidRDefault="00ED2123" w:rsidP="00AD5A06">
            <w:pPr>
              <w:spacing w:before="0" w:after="240" w:line="260" w:lineRule="atLeast"/>
              <w:jc w:val="center"/>
              <w:rPr>
                <w:i/>
                <w:iCs/>
                <w:sz w:val="18"/>
              </w:rPr>
            </w:pPr>
          </w:p>
          <w:p w14:paraId="22AF41F9" w14:textId="1A04EC9D" w:rsidR="00ED2123" w:rsidRPr="00A71DA6" w:rsidRDefault="00ED2123" w:rsidP="00AD5A06">
            <w:pPr>
              <w:spacing w:before="0" w:after="240" w:line="260" w:lineRule="atLeast"/>
              <w:jc w:val="center"/>
              <w:rPr>
                <w:i/>
                <w:iCs/>
                <w:sz w:val="18"/>
              </w:rPr>
            </w:pPr>
          </w:p>
        </w:tc>
        <w:tc>
          <w:tcPr>
            <w:tcW w:w="2353" w:type="dxa"/>
          </w:tcPr>
          <w:p w14:paraId="3882A1D5" w14:textId="77777777" w:rsidR="00923D1D" w:rsidRPr="00A71DA6" w:rsidRDefault="00923D1D" w:rsidP="00AD5A06">
            <w:pPr>
              <w:spacing w:before="0" w:after="0" w:line="260" w:lineRule="atLeast"/>
              <w:jc w:val="center"/>
              <w:rPr>
                <w:i/>
                <w:iCs/>
                <w:sz w:val="18"/>
              </w:rPr>
            </w:pPr>
            <w:r w:rsidRPr="00A71DA6">
              <w:rPr>
                <w:i/>
                <w:iCs/>
                <w:sz w:val="18"/>
              </w:rPr>
              <w:t xml:space="preserve">Only narrative synthesis. Heterogeneity, publication bias and risk of bias not taken into </w:t>
            </w:r>
            <w:proofErr w:type="gramStart"/>
            <w:r w:rsidRPr="00A71DA6">
              <w:rPr>
                <w:i/>
                <w:iCs/>
                <w:sz w:val="18"/>
              </w:rPr>
              <w:t>consideration..</w:t>
            </w:r>
            <w:proofErr w:type="gramEnd"/>
          </w:p>
        </w:tc>
        <w:tc>
          <w:tcPr>
            <w:tcW w:w="1215" w:type="dxa"/>
            <w:vMerge/>
            <w:vAlign w:val="center"/>
          </w:tcPr>
          <w:p w14:paraId="068740F3"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0DD35238" w14:textId="77777777" w:rsidR="00923D1D" w:rsidRPr="00A71DA6" w:rsidRDefault="00923D1D" w:rsidP="00AD5A06">
            <w:pPr>
              <w:spacing w:before="0" w:after="0" w:line="260" w:lineRule="atLeast"/>
              <w:jc w:val="center"/>
              <w:rPr>
                <w:sz w:val="18"/>
              </w:rPr>
            </w:pPr>
          </w:p>
        </w:tc>
      </w:tr>
      <w:tr w:rsidR="00923D1D" w:rsidRPr="00A71DA6" w14:paraId="27E472DB" w14:textId="77777777" w:rsidTr="00D75D51">
        <w:trPr>
          <w:jc w:val="center"/>
        </w:trPr>
        <w:tc>
          <w:tcPr>
            <w:tcW w:w="1417" w:type="dxa"/>
            <w:vMerge w:val="restart"/>
          </w:tcPr>
          <w:p w14:paraId="1EA3F340" w14:textId="77777777" w:rsidR="00923D1D" w:rsidRPr="00A71DA6" w:rsidRDefault="00923D1D" w:rsidP="00AD5A06">
            <w:pPr>
              <w:spacing w:before="0" w:after="0" w:line="260" w:lineRule="atLeast"/>
              <w:rPr>
                <w:b/>
                <w:bCs/>
                <w:sz w:val="18"/>
              </w:rPr>
            </w:pPr>
            <w:r w:rsidRPr="00A71DA6">
              <w:rPr>
                <w:b/>
                <w:bCs/>
                <w:sz w:val="18"/>
              </w:rPr>
              <w:lastRenderedPageBreak/>
              <w:t>Farebrother et al 2018</w:t>
            </w:r>
          </w:p>
        </w:tc>
        <w:tc>
          <w:tcPr>
            <w:tcW w:w="2353" w:type="dxa"/>
          </w:tcPr>
          <w:p w14:paraId="12B79939" w14:textId="77777777" w:rsidR="00923D1D" w:rsidRPr="00A71DA6" w:rsidRDefault="00923D1D" w:rsidP="00AD5A06">
            <w:pPr>
              <w:spacing w:before="0" w:after="0" w:line="260" w:lineRule="atLeast"/>
              <w:jc w:val="center"/>
              <w:rPr>
                <w:sz w:val="18"/>
              </w:rPr>
            </w:pPr>
            <w:r w:rsidRPr="00A71DA6">
              <w:rPr>
                <w:sz w:val="18"/>
              </w:rPr>
              <w:t>LOW</w:t>
            </w:r>
          </w:p>
        </w:tc>
        <w:tc>
          <w:tcPr>
            <w:tcW w:w="2353" w:type="dxa"/>
          </w:tcPr>
          <w:p w14:paraId="287DD150" w14:textId="77777777" w:rsidR="00923D1D" w:rsidRPr="00A71DA6" w:rsidRDefault="00923D1D" w:rsidP="00AD5A06">
            <w:pPr>
              <w:spacing w:before="0" w:after="0" w:line="260" w:lineRule="atLeast"/>
              <w:jc w:val="center"/>
              <w:rPr>
                <w:sz w:val="18"/>
              </w:rPr>
            </w:pPr>
            <w:r w:rsidRPr="00A71DA6">
              <w:rPr>
                <w:sz w:val="18"/>
              </w:rPr>
              <w:t>LOW</w:t>
            </w:r>
          </w:p>
        </w:tc>
        <w:tc>
          <w:tcPr>
            <w:tcW w:w="2353" w:type="dxa"/>
          </w:tcPr>
          <w:p w14:paraId="7DD3A6FA" w14:textId="77777777" w:rsidR="00923D1D" w:rsidRPr="00A71DA6" w:rsidRDefault="00923D1D" w:rsidP="00AD5A06">
            <w:pPr>
              <w:spacing w:before="0" w:after="0" w:line="260" w:lineRule="atLeast"/>
              <w:jc w:val="center"/>
              <w:rPr>
                <w:sz w:val="18"/>
              </w:rPr>
            </w:pPr>
            <w:r w:rsidRPr="00A71DA6">
              <w:rPr>
                <w:sz w:val="18"/>
              </w:rPr>
              <w:t>LOW</w:t>
            </w:r>
          </w:p>
        </w:tc>
        <w:tc>
          <w:tcPr>
            <w:tcW w:w="2353" w:type="dxa"/>
          </w:tcPr>
          <w:p w14:paraId="3BB9B883"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tcPr>
          <w:p w14:paraId="5EE83E73"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LOW</w:t>
            </w:r>
          </w:p>
        </w:tc>
        <w:tc>
          <w:tcPr>
            <w:tcW w:w="3260" w:type="dxa"/>
            <w:vMerge w:val="restart"/>
          </w:tcPr>
          <w:p w14:paraId="0EB098D9" w14:textId="77777777" w:rsidR="00923D1D" w:rsidRPr="00A71DA6" w:rsidRDefault="00923D1D" w:rsidP="00AD5A06">
            <w:pPr>
              <w:spacing w:before="0" w:after="0" w:line="260" w:lineRule="atLeast"/>
              <w:jc w:val="center"/>
              <w:rPr>
                <w:sz w:val="18"/>
              </w:rPr>
            </w:pPr>
            <w:r w:rsidRPr="00A71DA6">
              <w:rPr>
                <w:sz w:val="18"/>
              </w:rPr>
              <w:t>Good quality SR, although consideration should be given to the currency of the review (Feb 2017 searches) when interpreting and applying findings</w:t>
            </w:r>
          </w:p>
        </w:tc>
      </w:tr>
      <w:tr w:rsidR="00923D1D" w:rsidRPr="00A71DA6" w14:paraId="0F27D985" w14:textId="77777777" w:rsidTr="00D75D51">
        <w:trPr>
          <w:jc w:val="center"/>
        </w:trPr>
        <w:tc>
          <w:tcPr>
            <w:tcW w:w="1417" w:type="dxa"/>
            <w:vMerge/>
          </w:tcPr>
          <w:p w14:paraId="021713FA" w14:textId="77777777" w:rsidR="00923D1D" w:rsidRPr="00A71DA6" w:rsidRDefault="00923D1D" w:rsidP="00AD5A06">
            <w:pPr>
              <w:spacing w:before="0" w:after="0" w:line="260" w:lineRule="atLeast"/>
              <w:rPr>
                <w:b/>
                <w:bCs/>
                <w:sz w:val="18"/>
              </w:rPr>
            </w:pPr>
          </w:p>
        </w:tc>
        <w:tc>
          <w:tcPr>
            <w:tcW w:w="2353" w:type="dxa"/>
          </w:tcPr>
          <w:p w14:paraId="4A661E2F"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4AA0CC0A"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15C079BF"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140B4D43"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109FB1A6"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596EEA85" w14:textId="77777777" w:rsidR="00923D1D" w:rsidRPr="00A71DA6" w:rsidRDefault="00923D1D" w:rsidP="00AD5A06">
            <w:pPr>
              <w:spacing w:before="0" w:after="0" w:line="260" w:lineRule="atLeast"/>
              <w:jc w:val="center"/>
              <w:rPr>
                <w:sz w:val="18"/>
              </w:rPr>
            </w:pPr>
          </w:p>
        </w:tc>
      </w:tr>
      <w:tr w:rsidR="00923D1D" w:rsidRPr="00A71DA6" w14:paraId="2151679D" w14:textId="77777777" w:rsidTr="00D75D51">
        <w:trPr>
          <w:jc w:val="center"/>
        </w:trPr>
        <w:tc>
          <w:tcPr>
            <w:tcW w:w="1417" w:type="dxa"/>
            <w:vMerge w:val="restart"/>
            <w:hideMark/>
          </w:tcPr>
          <w:p w14:paraId="06D077B2" w14:textId="77777777" w:rsidR="00923D1D" w:rsidRPr="00A71DA6" w:rsidRDefault="00923D1D" w:rsidP="00AD5A06">
            <w:pPr>
              <w:spacing w:before="0" w:after="0" w:line="260" w:lineRule="atLeast"/>
              <w:rPr>
                <w:b/>
                <w:bCs/>
                <w:sz w:val="18"/>
              </w:rPr>
            </w:pPr>
            <w:r w:rsidRPr="00A71DA6">
              <w:rPr>
                <w:b/>
                <w:bCs/>
                <w:sz w:val="18"/>
              </w:rPr>
              <w:t>Greenwood et al 2023</w:t>
            </w:r>
          </w:p>
        </w:tc>
        <w:tc>
          <w:tcPr>
            <w:tcW w:w="2353" w:type="dxa"/>
            <w:hideMark/>
          </w:tcPr>
          <w:p w14:paraId="068C99DF"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5AF7A7F2"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69F2E7FF"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26BB0FDC"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hideMark/>
          </w:tcPr>
          <w:p w14:paraId="715C25D0"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7C6F4401" w14:textId="77777777" w:rsidR="00AD5A06" w:rsidRDefault="00923D1D" w:rsidP="00AD5A06">
            <w:pPr>
              <w:spacing w:before="0" w:after="0" w:line="260" w:lineRule="atLeast"/>
              <w:jc w:val="center"/>
              <w:rPr>
                <w:sz w:val="18"/>
              </w:rPr>
            </w:pPr>
            <w:r w:rsidRPr="00A71DA6">
              <w:rPr>
                <w:sz w:val="18"/>
              </w:rPr>
              <w:t>Despite being assessed as being at HIGH risk of bias, NHMRC considers this review to be well conducted.</w:t>
            </w:r>
          </w:p>
          <w:p w14:paraId="2AEEAC36" w14:textId="47D2C8D4" w:rsidR="00923D1D" w:rsidRPr="00A71DA6" w:rsidRDefault="00923D1D" w:rsidP="00AD5A06">
            <w:pPr>
              <w:spacing w:after="0" w:line="260" w:lineRule="atLeast"/>
              <w:jc w:val="center"/>
              <w:rPr>
                <w:sz w:val="18"/>
              </w:rPr>
            </w:pPr>
            <w:r w:rsidRPr="00A71DA6">
              <w:rPr>
                <w:sz w:val="18"/>
              </w:rPr>
              <w:t xml:space="preserve">Concerns about </w:t>
            </w:r>
            <w:proofErr w:type="spellStart"/>
            <w:r w:rsidRPr="00A71DA6">
              <w:rPr>
                <w:sz w:val="18"/>
              </w:rPr>
              <w:t>RoB</w:t>
            </w:r>
            <w:proofErr w:type="spellEnd"/>
            <w:r w:rsidRPr="00A71DA6">
              <w:rPr>
                <w:sz w:val="18"/>
              </w:rPr>
              <w:t xml:space="preserve"> relate to exclusion of non-English studies and unpublished articles and abstracts - these limitations are consistent with limitations of an NHMRC-commissioned review.</w:t>
            </w:r>
          </w:p>
        </w:tc>
      </w:tr>
      <w:tr w:rsidR="00923D1D" w:rsidRPr="00A71DA6" w14:paraId="4CC8D14B" w14:textId="77777777" w:rsidTr="00D75D51">
        <w:trPr>
          <w:jc w:val="center"/>
        </w:trPr>
        <w:tc>
          <w:tcPr>
            <w:tcW w:w="1417" w:type="dxa"/>
            <w:vMerge/>
          </w:tcPr>
          <w:p w14:paraId="4B00BD43" w14:textId="77777777" w:rsidR="00923D1D" w:rsidRPr="00A71DA6" w:rsidRDefault="00923D1D" w:rsidP="00AD5A06">
            <w:pPr>
              <w:spacing w:before="0" w:after="0" w:line="260" w:lineRule="atLeast"/>
              <w:rPr>
                <w:b/>
                <w:bCs/>
                <w:sz w:val="18"/>
              </w:rPr>
            </w:pPr>
          </w:p>
        </w:tc>
        <w:tc>
          <w:tcPr>
            <w:tcW w:w="2353" w:type="dxa"/>
          </w:tcPr>
          <w:p w14:paraId="76699B43" w14:textId="77777777" w:rsidR="00923D1D" w:rsidRPr="00A71DA6" w:rsidRDefault="00923D1D" w:rsidP="00AD5A06">
            <w:pPr>
              <w:spacing w:before="0" w:after="0" w:line="260" w:lineRule="atLeast"/>
              <w:jc w:val="center"/>
              <w:rPr>
                <w:i/>
                <w:iCs/>
                <w:sz w:val="18"/>
              </w:rPr>
            </w:pPr>
            <w:r w:rsidRPr="00A71DA6">
              <w:rPr>
                <w:i/>
                <w:iCs/>
                <w:sz w:val="18"/>
              </w:rPr>
              <w:t>Non-English language studies and unpublished articles and abstracts excluded</w:t>
            </w:r>
          </w:p>
        </w:tc>
        <w:tc>
          <w:tcPr>
            <w:tcW w:w="2353" w:type="dxa"/>
          </w:tcPr>
          <w:p w14:paraId="4C765712"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72F71F95"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0D83935D"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0BB9108F"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55BCF326" w14:textId="77777777" w:rsidR="00923D1D" w:rsidRPr="00A71DA6" w:rsidRDefault="00923D1D" w:rsidP="00AD5A06">
            <w:pPr>
              <w:spacing w:before="0" w:after="0" w:line="260" w:lineRule="atLeast"/>
              <w:jc w:val="center"/>
              <w:rPr>
                <w:sz w:val="18"/>
              </w:rPr>
            </w:pPr>
          </w:p>
        </w:tc>
      </w:tr>
      <w:tr w:rsidR="00923D1D" w:rsidRPr="00A71DA6" w14:paraId="29E74DD6" w14:textId="77777777" w:rsidTr="00D75D51">
        <w:trPr>
          <w:jc w:val="center"/>
        </w:trPr>
        <w:tc>
          <w:tcPr>
            <w:tcW w:w="1417" w:type="dxa"/>
            <w:vMerge w:val="restart"/>
            <w:hideMark/>
          </w:tcPr>
          <w:p w14:paraId="4F1217F1" w14:textId="77777777" w:rsidR="00923D1D" w:rsidRPr="00A71DA6" w:rsidRDefault="00923D1D" w:rsidP="00AD5A06">
            <w:pPr>
              <w:spacing w:before="0" w:after="0" w:line="260" w:lineRule="atLeast"/>
              <w:rPr>
                <w:b/>
                <w:bCs/>
                <w:sz w:val="18"/>
              </w:rPr>
            </w:pPr>
            <w:r w:rsidRPr="00A71DA6">
              <w:rPr>
                <w:b/>
                <w:bCs/>
                <w:sz w:val="18"/>
              </w:rPr>
              <w:t>Harding et al 2017</w:t>
            </w:r>
          </w:p>
        </w:tc>
        <w:tc>
          <w:tcPr>
            <w:tcW w:w="2353" w:type="dxa"/>
            <w:hideMark/>
          </w:tcPr>
          <w:p w14:paraId="042D4F66"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594B9D2C"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44D985C3"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67ED6F71"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hideMark/>
          </w:tcPr>
          <w:p w14:paraId="1AD92795"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LOW</w:t>
            </w:r>
          </w:p>
        </w:tc>
        <w:tc>
          <w:tcPr>
            <w:tcW w:w="3260" w:type="dxa"/>
            <w:vMerge w:val="restart"/>
            <w:hideMark/>
          </w:tcPr>
          <w:p w14:paraId="17D03754" w14:textId="77777777" w:rsidR="00923D1D" w:rsidRPr="00A71DA6" w:rsidRDefault="00923D1D" w:rsidP="00AD5A06">
            <w:pPr>
              <w:spacing w:before="0" w:after="0" w:line="260" w:lineRule="atLeast"/>
              <w:jc w:val="center"/>
              <w:rPr>
                <w:sz w:val="18"/>
              </w:rPr>
            </w:pPr>
            <w:r w:rsidRPr="00A71DA6">
              <w:rPr>
                <w:sz w:val="18"/>
              </w:rPr>
              <w:t>Good quality SR, although consideration should be given to the currency of the review (2017) when interpreting and applying findings</w:t>
            </w:r>
          </w:p>
        </w:tc>
      </w:tr>
      <w:tr w:rsidR="00923D1D" w:rsidRPr="00A71DA6" w14:paraId="63D3644F" w14:textId="77777777" w:rsidTr="00D75D51">
        <w:trPr>
          <w:jc w:val="center"/>
        </w:trPr>
        <w:tc>
          <w:tcPr>
            <w:tcW w:w="1417" w:type="dxa"/>
            <w:vMerge/>
          </w:tcPr>
          <w:p w14:paraId="29A1C6B0" w14:textId="77777777" w:rsidR="00923D1D" w:rsidRPr="00A71DA6" w:rsidRDefault="00923D1D" w:rsidP="00AD5A06">
            <w:pPr>
              <w:spacing w:before="0" w:after="0" w:line="260" w:lineRule="atLeast"/>
              <w:rPr>
                <w:b/>
                <w:bCs/>
                <w:sz w:val="18"/>
              </w:rPr>
            </w:pPr>
          </w:p>
        </w:tc>
        <w:tc>
          <w:tcPr>
            <w:tcW w:w="2353" w:type="dxa"/>
          </w:tcPr>
          <w:p w14:paraId="3E500D67"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201EFC7D"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5FC9199B"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40E8331D"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26FDB747"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6E6CED2A" w14:textId="77777777" w:rsidR="00923D1D" w:rsidRPr="00A71DA6" w:rsidRDefault="00923D1D" w:rsidP="00AD5A06">
            <w:pPr>
              <w:spacing w:before="0" w:after="0" w:line="260" w:lineRule="atLeast"/>
              <w:jc w:val="center"/>
              <w:rPr>
                <w:sz w:val="18"/>
              </w:rPr>
            </w:pPr>
          </w:p>
        </w:tc>
      </w:tr>
      <w:tr w:rsidR="00923D1D" w:rsidRPr="00A71DA6" w14:paraId="52D97311" w14:textId="77777777" w:rsidTr="00D75D51">
        <w:trPr>
          <w:jc w:val="center"/>
        </w:trPr>
        <w:tc>
          <w:tcPr>
            <w:tcW w:w="1417" w:type="dxa"/>
            <w:vMerge w:val="restart"/>
            <w:hideMark/>
          </w:tcPr>
          <w:p w14:paraId="3FBC14DF" w14:textId="77777777" w:rsidR="00923D1D" w:rsidRPr="00A71DA6" w:rsidRDefault="00923D1D" w:rsidP="00AD5A06">
            <w:pPr>
              <w:spacing w:before="0" w:after="0" w:line="260" w:lineRule="atLeast"/>
              <w:rPr>
                <w:b/>
                <w:bCs/>
                <w:sz w:val="18"/>
              </w:rPr>
            </w:pPr>
            <w:r w:rsidRPr="00A71DA6">
              <w:rPr>
                <w:b/>
                <w:bCs/>
                <w:sz w:val="18"/>
              </w:rPr>
              <w:t>Katagiri et al 2017</w:t>
            </w:r>
          </w:p>
        </w:tc>
        <w:tc>
          <w:tcPr>
            <w:tcW w:w="2353" w:type="dxa"/>
            <w:hideMark/>
          </w:tcPr>
          <w:p w14:paraId="2D79979D"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2CBA2B64"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7D1F6E7F"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39DEEFCE"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hideMark/>
          </w:tcPr>
          <w:p w14:paraId="38A27A71"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5262CDDA" w14:textId="78304D52" w:rsidR="00923D1D" w:rsidRDefault="00923D1D" w:rsidP="00AD5A06">
            <w:pPr>
              <w:spacing w:before="0" w:after="0" w:line="260" w:lineRule="atLeast"/>
              <w:jc w:val="center"/>
              <w:rPr>
                <w:sz w:val="18"/>
              </w:rPr>
            </w:pPr>
            <w:r w:rsidRPr="00A71DA6">
              <w:rPr>
                <w:sz w:val="18"/>
              </w:rPr>
              <w:t>Concerns raised should be considered when interpreting and applying findings. The fundamental methodology appears sound, although some concerns that data extraction and quality appraisal have not been performed in duplicate. Concerns about review currency should also be considered.</w:t>
            </w:r>
          </w:p>
          <w:p w14:paraId="7DEE1F5D" w14:textId="77777777" w:rsidR="00ED2123" w:rsidRDefault="00ED2123" w:rsidP="00AD5A06">
            <w:pPr>
              <w:spacing w:before="0" w:after="0" w:line="260" w:lineRule="atLeast"/>
              <w:jc w:val="center"/>
              <w:rPr>
                <w:sz w:val="18"/>
              </w:rPr>
            </w:pPr>
          </w:p>
          <w:p w14:paraId="401873A0" w14:textId="77777777" w:rsidR="00ED2123" w:rsidRPr="00A71DA6" w:rsidRDefault="00ED2123" w:rsidP="00AD5A06">
            <w:pPr>
              <w:spacing w:before="0" w:after="0" w:line="260" w:lineRule="atLeast"/>
              <w:jc w:val="center"/>
              <w:rPr>
                <w:sz w:val="18"/>
              </w:rPr>
            </w:pPr>
          </w:p>
          <w:p w14:paraId="33800F58" w14:textId="77777777" w:rsidR="00923D1D" w:rsidRPr="00A71DA6" w:rsidRDefault="00923D1D" w:rsidP="00AD5A06">
            <w:pPr>
              <w:spacing w:before="0" w:after="0" w:line="260" w:lineRule="atLeast"/>
              <w:jc w:val="center"/>
              <w:rPr>
                <w:sz w:val="18"/>
              </w:rPr>
            </w:pPr>
          </w:p>
        </w:tc>
      </w:tr>
      <w:tr w:rsidR="00923D1D" w:rsidRPr="00A71DA6" w14:paraId="68517BCB" w14:textId="77777777" w:rsidTr="00D75D51">
        <w:trPr>
          <w:jc w:val="center"/>
        </w:trPr>
        <w:tc>
          <w:tcPr>
            <w:tcW w:w="1417" w:type="dxa"/>
            <w:vMerge/>
          </w:tcPr>
          <w:p w14:paraId="7B2033AE" w14:textId="77777777" w:rsidR="00923D1D" w:rsidRPr="00A71DA6" w:rsidRDefault="00923D1D" w:rsidP="00AD5A06">
            <w:pPr>
              <w:spacing w:before="0" w:after="0" w:line="260" w:lineRule="atLeast"/>
              <w:rPr>
                <w:b/>
                <w:bCs/>
                <w:sz w:val="18"/>
              </w:rPr>
            </w:pPr>
          </w:p>
        </w:tc>
        <w:tc>
          <w:tcPr>
            <w:tcW w:w="2353" w:type="dxa"/>
          </w:tcPr>
          <w:p w14:paraId="1D6B989E"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43CAA95C" w14:textId="77777777" w:rsidR="00923D1D" w:rsidRPr="00A71DA6" w:rsidRDefault="00923D1D" w:rsidP="00AD5A06">
            <w:pPr>
              <w:spacing w:before="0" w:after="0" w:line="260" w:lineRule="atLeast"/>
              <w:jc w:val="center"/>
              <w:rPr>
                <w:i/>
                <w:iCs/>
                <w:sz w:val="18"/>
              </w:rPr>
            </w:pPr>
            <w:r w:rsidRPr="00A71DA6">
              <w:rPr>
                <w:i/>
                <w:iCs/>
                <w:sz w:val="18"/>
              </w:rPr>
              <w:t>Language restrictions were applied, limiting the search to articles in English or Japanese.</w:t>
            </w:r>
          </w:p>
        </w:tc>
        <w:tc>
          <w:tcPr>
            <w:tcW w:w="2353" w:type="dxa"/>
          </w:tcPr>
          <w:p w14:paraId="50CFFE98" w14:textId="77777777" w:rsidR="00923D1D" w:rsidRPr="00A71DA6" w:rsidRDefault="00923D1D" w:rsidP="00AD5A06">
            <w:pPr>
              <w:spacing w:before="0" w:after="0" w:line="260" w:lineRule="atLeast"/>
              <w:jc w:val="center"/>
              <w:rPr>
                <w:i/>
                <w:iCs/>
                <w:sz w:val="18"/>
              </w:rPr>
            </w:pPr>
            <w:r w:rsidRPr="00A71DA6">
              <w:rPr>
                <w:i/>
                <w:iCs/>
                <w:sz w:val="18"/>
              </w:rPr>
              <w:t>Data extraction and quality assessment of selected papers were conducted by one author.</w:t>
            </w:r>
          </w:p>
        </w:tc>
        <w:tc>
          <w:tcPr>
            <w:tcW w:w="2353" w:type="dxa"/>
          </w:tcPr>
          <w:p w14:paraId="5666F4B2"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46C62495"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3A7652C1" w14:textId="77777777" w:rsidR="00923D1D" w:rsidRPr="00A71DA6" w:rsidRDefault="00923D1D" w:rsidP="00AD5A06">
            <w:pPr>
              <w:spacing w:before="0" w:after="0" w:line="260" w:lineRule="atLeast"/>
              <w:jc w:val="center"/>
              <w:rPr>
                <w:sz w:val="18"/>
              </w:rPr>
            </w:pPr>
          </w:p>
        </w:tc>
      </w:tr>
      <w:tr w:rsidR="00923D1D" w:rsidRPr="00A71DA6" w14:paraId="47491F27" w14:textId="77777777" w:rsidTr="00D75D51">
        <w:trPr>
          <w:trHeight w:val="227"/>
          <w:jc w:val="center"/>
        </w:trPr>
        <w:tc>
          <w:tcPr>
            <w:tcW w:w="1417" w:type="dxa"/>
            <w:vMerge w:val="restart"/>
            <w:hideMark/>
          </w:tcPr>
          <w:p w14:paraId="1907181B" w14:textId="77777777" w:rsidR="00923D1D" w:rsidRPr="00A71DA6" w:rsidRDefault="00923D1D" w:rsidP="00AD5A06">
            <w:pPr>
              <w:spacing w:before="0" w:after="0" w:line="260" w:lineRule="atLeast"/>
              <w:rPr>
                <w:b/>
                <w:bCs/>
                <w:sz w:val="18"/>
              </w:rPr>
            </w:pPr>
            <w:r w:rsidRPr="00A71DA6">
              <w:rPr>
                <w:b/>
                <w:bCs/>
                <w:sz w:val="18"/>
              </w:rPr>
              <w:lastRenderedPageBreak/>
              <w:t>Lee et al 2017</w:t>
            </w:r>
          </w:p>
        </w:tc>
        <w:tc>
          <w:tcPr>
            <w:tcW w:w="2353" w:type="dxa"/>
            <w:hideMark/>
          </w:tcPr>
          <w:p w14:paraId="403472DD"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372764D3"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7D53B2A3"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hideMark/>
          </w:tcPr>
          <w:p w14:paraId="0EF91C11"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hideMark/>
          </w:tcPr>
          <w:p w14:paraId="05B66D9B"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429773FA" w14:textId="77777777"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 in particular noting concerns about the comprehensiveness of search strategy. Review currency is also a relevant consideration.</w:t>
            </w:r>
          </w:p>
        </w:tc>
      </w:tr>
      <w:tr w:rsidR="00923D1D" w:rsidRPr="00A71DA6" w14:paraId="0090D547" w14:textId="77777777" w:rsidTr="00D75D51">
        <w:trPr>
          <w:jc w:val="center"/>
        </w:trPr>
        <w:tc>
          <w:tcPr>
            <w:tcW w:w="1417" w:type="dxa"/>
            <w:vMerge/>
          </w:tcPr>
          <w:p w14:paraId="5B3CF322" w14:textId="77777777" w:rsidR="00923D1D" w:rsidRPr="00A71DA6" w:rsidRDefault="00923D1D" w:rsidP="00AD5A06">
            <w:pPr>
              <w:spacing w:before="0" w:after="0" w:line="260" w:lineRule="atLeast"/>
              <w:rPr>
                <w:b/>
                <w:bCs/>
                <w:sz w:val="18"/>
              </w:rPr>
            </w:pPr>
          </w:p>
        </w:tc>
        <w:tc>
          <w:tcPr>
            <w:tcW w:w="2353" w:type="dxa"/>
          </w:tcPr>
          <w:p w14:paraId="4C4842A2" w14:textId="77777777" w:rsidR="00923D1D" w:rsidRPr="00A71DA6" w:rsidRDefault="00923D1D" w:rsidP="00AD5A06">
            <w:pPr>
              <w:spacing w:before="0" w:after="0" w:line="260" w:lineRule="atLeast"/>
              <w:jc w:val="center"/>
              <w:rPr>
                <w:i/>
                <w:iCs/>
                <w:sz w:val="18"/>
              </w:rPr>
            </w:pPr>
            <w:r w:rsidRPr="00A71DA6">
              <w:rPr>
                <w:i/>
                <w:iCs/>
                <w:sz w:val="18"/>
              </w:rPr>
              <w:t>Only case-control studies published in English were included.</w:t>
            </w:r>
          </w:p>
        </w:tc>
        <w:tc>
          <w:tcPr>
            <w:tcW w:w="2353" w:type="dxa"/>
          </w:tcPr>
          <w:p w14:paraId="0B310E2E" w14:textId="77777777" w:rsidR="00923D1D" w:rsidRPr="00A71DA6" w:rsidRDefault="00923D1D" w:rsidP="00AD5A06">
            <w:pPr>
              <w:spacing w:before="0" w:after="0" w:line="260" w:lineRule="atLeast"/>
              <w:jc w:val="center"/>
              <w:rPr>
                <w:i/>
                <w:iCs/>
                <w:sz w:val="18"/>
              </w:rPr>
            </w:pPr>
            <w:r w:rsidRPr="00A71DA6">
              <w:rPr>
                <w:i/>
                <w:iCs/>
                <w:sz w:val="18"/>
              </w:rPr>
              <w:t>Attempts to find additional citations to complement the database search were not made. The search terms were provided but full details of the search strategy were not reported.</w:t>
            </w:r>
          </w:p>
        </w:tc>
        <w:tc>
          <w:tcPr>
            <w:tcW w:w="2353" w:type="dxa"/>
          </w:tcPr>
          <w:p w14:paraId="73F9BF91" w14:textId="77777777" w:rsidR="00923D1D" w:rsidRPr="00A71DA6" w:rsidRDefault="00923D1D" w:rsidP="00AD5A06">
            <w:pPr>
              <w:spacing w:before="0" w:after="0" w:line="260" w:lineRule="atLeast"/>
              <w:jc w:val="center"/>
              <w:rPr>
                <w:i/>
                <w:iCs/>
                <w:sz w:val="18"/>
              </w:rPr>
            </w:pPr>
            <w:r w:rsidRPr="00A71DA6">
              <w:rPr>
                <w:i/>
                <w:iCs/>
                <w:sz w:val="18"/>
              </w:rPr>
              <w:t>The number of reviewers involved in the methodological quality assessment were not reported.</w:t>
            </w:r>
          </w:p>
        </w:tc>
        <w:tc>
          <w:tcPr>
            <w:tcW w:w="2353" w:type="dxa"/>
          </w:tcPr>
          <w:p w14:paraId="4F371B1B"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1017B759"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78E19151" w14:textId="77777777" w:rsidR="00923D1D" w:rsidRPr="00A71DA6" w:rsidRDefault="00923D1D" w:rsidP="00AD5A06">
            <w:pPr>
              <w:spacing w:before="0" w:after="0" w:line="260" w:lineRule="atLeast"/>
              <w:jc w:val="center"/>
              <w:rPr>
                <w:sz w:val="18"/>
              </w:rPr>
            </w:pPr>
          </w:p>
        </w:tc>
      </w:tr>
      <w:tr w:rsidR="00923D1D" w:rsidRPr="00A71DA6" w14:paraId="5358F688" w14:textId="77777777" w:rsidTr="00D75D51">
        <w:trPr>
          <w:jc w:val="center"/>
        </w:trPr>
        <w:tc>
          <w:tcPr>
            <w:tcW w:w="1417" w:type="dxa"/>
            <w:vMerge w:val="restart"/>
          </w:tcPr>
          <w:p w14:paraId="4F52BA37" w14:textId="77777777" w:rsidR="00923D1D" w:rsidRPr="00A71DA6" w:rsidRDefault="00923D1D" w:rsidP="00AD5A06">
            <w:pPr>
              <w:spacing w:before="0" w:after="0" w:line="260" w:lineRule="atLeast"/>
              <w:rPr>
                <w:b/>
                <w:bCs/>
                <w:sz w:val="18"/>
              </w:rPr>
            </w:pPr>
            <w:r w:rsidRPr="00A71DA6">
              <w:rPr>
                <w:b/>
                <w:bCs/>
                <w:sz w:val="18"/>
              </w:rPr>
              <w:t>Li et al 2022</w:t>
            </w:r>
          </w:p>
        </w:tc>
        <w:tc>
          <w:tcPr>
            <w:tcW w:w="2353" w:type="dxa"/>
          </w:tcPr>
          <w:p w14:paraId="33BEBD61" w14:textId="77777777" w:rsidR="00923D1D" w:rsidRPr="00A71DA6" w:rsidRDefault="00923D1D" w:rsidP="00AD5A06">
            <w:pPr>
              <w:spacing w:before="0" w:after="0" w:line="260" w:lineRule="atLeast"/>
              <w:jc w:val="center"/>
              <w:rPr>
                <w:sz w:val="18"/>
              </w:rPr>
            </w:pPr>
            <w:r w:rsidRPr="00A71DA6">
              <w:rPr>
                <w:sz w:val="18"/>
              </w:rPr>
              <w:t>LOW</w:t>
            </w:r>
          </w:p>
        </w:tc>
        <w:tc>
          <w:tcPr>
            <w:tcW w:w="2353" w:type="dxa"/>
          </w:tcPr>
          <w:p w14:paraId="3773F8AC"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7717AE6E"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628BAAE5"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tcPr>
          <w:p w14:paraId="2327F3A0"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tcPr>
          <w:p w14:paraId="4EBA1232" w14:textId="77777777" w:rsidR="00923D1D" w:rsidRPr="00A71DA6" w:rsidRDefault="00923D1D" w:rsidP="00AD5A06">
            <w:pPr>
              <w:spacing w:before="0" w:after="0" w:line="260" w:lineRule="atLeast"/>
              <w:jc w:val="center"/>
              <w:rPr>
                <w:sz w:val="18"/>
              </w:rPr>
            </w:pPr>
            <w:r w:rsidRPr="00A71DA6">
              <w:rPr>
                <w:sz w:val="18"/>
              </w:rPr>
              <w:t>Findings to be interpreted with caution given uncertainties/ limitations raised.</w:t>
            </w:r>
          </w:p>
        </w:tc>
      </w:tr>
      <w:tr w:rsidR="00923D1D" w:rsidRPr="00A71DA6" w14:paraId="1C68B3D0" w14:textId="77777777" w:rsidTr="00D75D51">
        <w:trPr>
          <w:jc w:val="center"/>
        </w:trPr>
        <w:tc>
          <w:tcPr>
            <w:tcW w:w="1417" w:type="dxa"/>
            <w:vMerge/>
          </w:tcPr>
          <w:p w14:paraId="16F6AE9A" w14:textId="77777777" w:rsidR="00923D1D" w:rsidRPr="00A71DA6" w:rsidRDefault="00923D1D" w:rsidP="00AD5A06">
            <w:pPr>
              <w:spacing w:before="0" w:after="0" w:line="260" w:lineRule="atLeast"/>
              <w:rPr>
                <w:b/>
                <w:bCs/>
                <w:sz w:val="18"/>
              </w:rPr>
            </w:pPr>
          </w:p>
        </w:tc>
        <w:tc>
          <w:tcPr>
            <w:tcW w:w="2353" w:type="dxa"/>
          </w:tcPr>
          <w:p w14:paraId="109512B4"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41FB452E" w14:textId="77777777" w:rsidR="00923D1D" w:rsidRPr="00A71DA6" w:rsidRDefault="00923D1D" w:rsidP="00AD5A06">
            <w:pPr>
              <w:spacing w:before="0" w:after="0" w:line="260" w:lineRule="atLeast"/>
              <w:jc w:val="center"/>
              <w:rPr>
                <w:i/>
                <w:iCs/>
                <w:sz w:val="18"/>
              </w:rPr>
            </w:pPr>
            <w:r w:rsidRPr="00A71DA6">
              <w:rPr>
                <w:i/>
                <w:iCs/>
                <w:sz w:val="18"/>
              </w:rPr>
              <w:t>Some keywords were provided, but no full search strategy. Study selection was by two independent reviewers. Methods additional to database searching were not mentioned.</w:t>
            </w:r>
          </w:p>
        </w:tc>
        <w:tc>
          <w:tcPr>
            <w:tcW w:w="2353" w:type="dxa"/>
          </w:tcPr>
          <w:p w14:paraId="5F99BB9E" w14:textId="77777777" w:rsidR="00923D1D" w:rsidRPr="00A71DA6" w:rsidRDefault="00923D1D" w:rsidP="00AD5A06">
            <w:pPr>
              <w:spacing w:before="0" w:after="0" w:line="260" w:lineRule="atLeast"/>
              <w:jc w:val="center"/>
              <w:rPr>
                <w:i/>
                <w:iCs/>
                <w:sz w:val="18"/>
              </w:rPr>
            </w:pPr>
            <w:r w:rsidRPr="00A71DA6">
              <w:rPr>
                <w:i/>
                <w:iCs/>
                <w:sz w:val="18"/>
              </w:rPr>
              <w:t>The number of reviewers involved in data-extraction and risk of bias assessment was not mentioned. Some study characteristics were reported, but insufficient information about possible confounders.</w:t>
            </w:r>
          </w:p>
        </w:tc>
        <w:tc>
          <w:tcPr>
            <w:tcW w:w="2353" w:type="dxa"/>
          </w:tcPr>
          <w:p w14:paraId="27BF884C"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79DC94A9"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1E401B6C" w14:textId="77777777" w:rsidR="00923D1D" w:rsidRPr="00A71DA6" w:rsidRDefault="00923D1D" w:rsidP="00AD5A06">
            <w:pPr>
              <w:spacing w:before="0" w:after="0" w:line="260" w:lineRule="atLeast"/>
              <w:jc w:val="center"/>
              <w:rPr>
                <w:sz w:val="18"/>
              </w:rPr>
            </w:pPr>
          </w:p>
        </w:tc>
      </w:tr>
      <w:tr w:rsidR="00923D1D" w:rsidRPr="00A71DA6" w14:paraId="66A97D21" w14:textId="77777777" w:rsidTr="00D75D51">
        <w:trPr>
          <w:jc w:val="center"/>
        </w:trPr>
        <w:tc>
          <w:tcPr>
            <w:tcW w:w="1417" w:type="dxa"/>
            <w:vMerge w:val="restart"/>
            <w:hideMark/>
          </w:tcPr>
          <w:p w14:paraId="77C6E12A" w14:textId="77777777" w:rsidR="00923D1D" w:rsidRPr="00A71DA6" w:rsidRDefault="00923D1D" w:rsidP="00AD5A06">
            <w:pPr>
              <w:spacing w:before="0" w:after="0" w:line="260" w:lineRule="atLeast"/>
              <w:rPr>
                <w:b/>
                <w:bCs/>
                <w:sz w:val="18"/>
              </w:rPr>
            </w:pPr>
            <w:r w:rsidRPr="00A71DA6">
              <w:rPr>
                <w:b/>
                <w:bCs/>
                <w:sz w:val="18"/>
              </w:rPr>
              <w:t>Liu et al 2022</w:t>
            </w:r>
          </w:p>
        </w:tc>
        <w:tc>
          <w:tcPr>
            <w:tcW w:w="2353" w:type="dxa"/>
            <w:hideMark/>
          </w:tcPr>
          <w:p w14:paraId="23B907B7"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0C69A9E9"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4CA80C7C"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65F3DDC4" w14:textId="77777777" w:rsidR="00923D1D" w:rsidRPr="00A71DA6" w:rsidRDefault="00923D1D" w:rsidP="00AD5A06">
            <w:pPr>
              <w:spacing w:before="0" w:after="0" w:line="260" w:lineRule="atLeast"/>
              <w:jc w:val="center"/>
              <w:rPr>
                <w:sz w:val="18"/>
              </w:rPr>
            </w:pPr>
            <w:r w:rsidRPr="00A71DA6">
              <w:rPr>
                <w:sz w:val="18"/>
              </w:rPr>
              <w:t>HIGH</w:t>
            </w:r>
          </w:p>
        </w:tc>
        <w:tc>
          <w:tcPr>
            <w:tcW w:w="1215" w:type="dxa"/>
            <w:vMerge w:val="restart"/>
            <w:vAlign w:val="center"/>
            <w:hideMark/>
          </w:tcPr>
          <w:p w14:paraId="578F978C"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3AB5AC8D" w14:textId="77777777"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w:t>
            </w:r>
          </w:p>
        </w:tc>
      </w:tr>
      <w:tr w:rsidR="00923D1D" w:rsidRPr="00A71DA6" w14:paraId="0508DB31" w14:textId="77777777" w:rsidTr="00D75D51">
        <w:trPr>
          <w:jc w:val="center"/>
        </w:trPr>
        <w:tc>
          <w:tcPr>
            <w:tcW w:w="1417" w:type="dxa"/>
            <w:vMerge/>
          </w:tcPr>
          <w:p w14:paraId="0F324803" w14:textId="77777777" w:rsidR="00923D1D" w:rsidRPr="00A71DA6" w:rsidRDefault="00923D1D" w:rsidP="00AD5A06">
            <w:pPr>
              <w:spacing w:before="0" w:after="0" w:line="260" w:lineRule="atLeast"/>
              <w:rPr>
                <w:b/>
                <w:bCs/>
                <w:sz w:val="18"/>
              </w:rPr>
            </w:pPr>
          </w:p>
        </w:tc>
        <w:tc>
          <w:tcPr>
            <w:tcW w:w="2353" w:type="dxa"/>
          </w:tcPr>
          <w:p w14:paraId="17015995" w14:textId="77777777" w:rsidR="00923D1D" w:rsidRPr="00A71DA6" w:rsidRDefault="00923D1D" w:rsidP="00AD5A06">
            <w:pPr>
              <w:spacing w:before="0" w:after="0" w:line="260" w:lineRule="atLeast"/>
              <w:jc w:val="center"/>
              <w:rPr>
                <w:i/>
                <w:iCs/>
                <w:sz w:val="18"/>
              </w:rPr>
            </w:pPr>
            <w:r w:rsidRPr="00A71DA6">
              <w:rPr>
                <w:i/>
                <w:iCs/>
                <w:sz w:val="18"/>
              </w:rPr>
              <w:t>Non-English language studies were excluded.</w:t>
            </w:r>
          </w:p>
        </w:tc>
        <w:tc>
          <w:tcPr>
            <w:tcW w:w="2353" w:type="dxa"/>
          </w:tcPr>
          <w:p w14:paraId="1AAD7689" w14:textId="77777777" w:rsidR="00923D1D" w:rsidRDefault="00923D1D" w:rsidP="00AD5A06">
            <w:pPr>
              <w:spacing w:before="0" w:after="0" w:line="260" w:lineRule="atLeast"/>
              <w:jc w:val="center"/>
              <w:rPr>
                <w:i/>
                <w:iCs/>
                <w:sz w:val="18"/>
              </w:rPr>
            </w:pPr>
            <w:r w:rsidRPr="00A71DA6">
              <w:rPr>
                <w:i/>
                <w:iCs/>
                <w:sz w:val="18"/>
              </w:rPr>
              <w:t>The search terms were provided but full details of the search strategy were not reported. The number of reviewers involved in the study selection was not reported.</w:t>
            </w:r>
          </w:p>
          <w:p w14:paraId="29D66F57" w14:textId="77777777" w:rsidR="00ED2123" w:rsidRPr="00A71DA6" w:rsidRDefault="00ED2123" w:rsidP="00AD5A06">
            <w:pPr>
              <w:spacing w:before="0" w:after="0" w:line="260" w:lineRule="atLeast"/>
              <w:jc w:val="center"/>
              <w:rPr>
                <w:i/>
                <w:iCs/>
                <w:sz w:val="18"/>
              </w:rPr>
            </w:pPr>
          </w:p>
        </w:tc>
        <w:tc>
          <w:tcPr>
            <w:tcW w:w="2353" w:type="dxa"/>
          </w:tcPr>
          <w:p w14:paraId="227A17A7" w14:textId="77777777" w:rsidR="00923D1D" w:rsidRPr="00A71DA6" w:rsidRDefault="00923D1D" w:rsidP="00AD5A06">
            <w:pPr>
              <w:spacing w:before="0" w:after="0" w:line="260" w:lineRule="atLeast"/>
              <w:jc w:val="center"/>
              <w:rPr>
                <w:i/>
                <w:iCs/>
                <w:sz w:val="18"/>
              </w:rPr>
            </w:pPr>
            <w:r w:rsidRPr="00A71DA6">
              <w:rPr>
                <w:i/>
                <w:iCs/>
                <w:sz w:val="18"/>
              </w:rPr>
              <w:t xml:space="preserve">Inappropriate/ outdated tool used for appraisal (Jadad) and the number of reviewers involved in </w:t>
            </w:r>
            <w:proofErr w:type="spellStart"/>
            <w:r w:rsidRPr="00A71DA6">
              <w:rPr>
                <w:i/>
                <w:iCs/>
                <w:sz w:val="18"/>
              </w:rPr>
              <w:t>RoB</w:t>
            </w:r>
            <w:proofErr w:type="spellEnd"/>
            <w:r w:rsidRPr="00A71DA6">
              <w:rPr>
                <w:i/>
                <w:iCs/>
                <w:sz w:val="18"/>
              </w:rPr>
              <w:t xml:space="preserve"> assessment was not reported</w:t>
            </w:r>
          </w:p>
        </w:tc>
        <w:tc>
          <w:tcPr>
            <w:tcW w:w="2353" w:type="dxa"/>
          </w:tcPr>
          <w:p w14:paraId="40EA1A3D" w14:textId="77777777" w:rsidR="00923D1D" w:rsidRPr="00A71DA6" w:rsidRDefault="00923D1D" w:rsidP="00AD5A06">
            <w:pPr>
              <w:spacing w:before="0" w:after="0" w:line="260" w:lineRule="atLeast"/>
              <w:jc w:val="center"/>
              <w:rPr>
                <w:i/>
                <w:iCs/>
                <w:sz w:val="18"/>
              </w:rPr>
            </w:pPr>
            <w:r w:rsidRPr="00A71DA6">
              <w:rPr>
                <w:i/>
                <w:iCs/>
                <w:sz w:val="18"/>
              </w:rPr>
              <w:t>Only narrative synthesis. Heterogeneity, publication bias and risk of bias assessment not taken into consideration.</w:t>
            </w:r>
          </w:p>
        </w:tc>
        <w:tc>
          <w:tcPr>
            <w:tcW w:w="1215" w:type="dxa"/>
            <w:vMerge/>
            <w:vAlign w:val="center"/>
          </w:tcPr>
          <w:p w14:paraId="6FFD7551"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698A987D" w14:textId="77777777" w:rsidR="00923D1D" w:rsidRPr="00A71DA6" w:rsidRDefault="00923D1D" w:rsidP="00AD5A06">
            <w:pPr>
              <w:spacing w:before="0" w:after="0" w:line="260" w:lineRule="atLeast"/>
              <w:jc w:val="center"/>
              <w:rPr>
                <w:sz w:val="18"/>
              </w:rPr>
            </w:pPr>
          </w:p>
        </w:tc>
      </w:tr>
      <w:tr w:rsidR="00923D1D" w:rsidRPr="00A71DA6" w14:paraId="5480D012" w14:textId="77777777" w:rsidTr="00D75D51">
        <w:trPr>
          <w:jc w:val="center"/>
        </w:trPr>
        <w:tc>
          <w:tcPr>
            <w:tcW w:w="1417" w:type="dxa"/>
            <w:vMerge w:val="restart"/>
          </w:tcPr>
          <w:p w14:paraId="3FCD89DE" w14:textId="77777777" w:rsidR="00923D1D" w:rsidRPr="00A71DA6" w:rsidRDefault="00923D1D" w:rsidP="00AD5A06">
            <w:pPr>
              <w:spacing w:before="0" w:after="0" w:line="260" w:lineRule="atLeast"/>
              <w:rPr>
                <w:b/>
                <w:bCs/>
                <w:sz w:val="18"/>
              </w:rPr>
            </w:pPr>
            <w:proofErr w:type="spellStart"/>
            <w:r w:rsidRPr="00A71DA6">
              <w:rPr>
                <w:b/>
                <w:bCs/>
                <w:sz w:val="18"/>
              </w:rPr>
              <w:lastRenderedPageBreak/>
              <w:t>Machamba</w:t>
            </w:r>
            <w:proofErr w:type="spellEnd"/>
            <w:r w:rsidRPr="00A71DA6">
              <w:rPr>
                <w:b/>
                <w:bCs/>
                <w:sz w:val="18"/>
              </w:rPr>
              <w:t xml:space="preserve"> et al 2021</w:t>
            </w:r>
          </w:p>
        </w:tc>
        <w:tc>
          <w:tcPr>
            <w:tcW w:w="2353" w:type="dxa"/>
          </w:tcPr>
          <w:p w14:paraId="4B2EE3C9"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60E58390"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5FF51A94" w14:textId="77777777" w:rsidR="00923D1D" w:rsidRPr="00A71DA6" w:rsidRDefault="00923D1D" w:rsidP="00AD5A06">
            <w:pPr>
              <w:spacing w:before="0" w:after="0" w:line="260" w:lineRule="atLeast"/>
              <w:jc w:val="center"/>
              <w:rPr>
                <w:sz w:val="18"/>
              </w:rPr>
            </w:pPr>
            <w:r w:rsidRPr="00A71DA6">
              <w:rPr>
                <w:sz w:val="18"/>
              </w:rPr>
              <w:t>LOW</w:t>
            </w:r>
          </w:p>
        </w:tc>
        <w:tc>
          <w:tcPr>
            <w:tcW w:w="2353" w:type="dxa"/>
          </w:tcPr>
          <w:p w14:paraId="590995DA" w14:textId="77777777" w:rsidR="00923D1D" w:rsidRPr="00A71DA6" w:rsidRDefault="00923D1D" w:rsidP="00AD5A06">
            <w:pPr>
              <w:spacing w:before="0" w:after="0" w:line="260" w:lineRule="atLeast"/>
              <w:jc w:val="center"/>
              <w:rPr>
                <w:sz w:val="18"/>
              </w:rPr>
            </w:pPr>
            <w:r w:rsidRPr="00A71DA6">
              <w:rPr>
                <w:sz w:val="18"/>
              </w:rPr>
              <w:t>HIGH</w:t>
            </w:r>
          </w:p>
        </w:tc>
        <w:tc>
          <w:tcPr>
            <w:tcW w:w="1215" w:type="dxa"/>
            <w:vMerge w:val="restart"/>
            <w:vAlign w:val="center"/>
          </w:tcPr>
          <w:p w14:paraId="5FC6B039"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tcPr>
          <w:p w14:paraId="6463675A" w14:textId="77777777"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w:t>
            </w:r>
          </w:p>
        </w:tc>
      </w:tr>
      <w:tr w:rsidR="00923D1D" w:rsidRPr="00A71DA6" w14:paraId="54BD7B45" w14:textId="77777777" w:rsidTr="00D75D51">
        <w:trPr>
          <w:jc w:val="center"/>
        </w:trPr>
        <w:tc>
          <w:tcPr>
            <w:tcW w:w="1417" w:type="dxa"/>
            <w:vMerge/>
          </w:tcPr>
          <w:p w14:paraId="6CBB1D5A" w14:textId="77777777" w:rsidR="00923D1D" w:rsidRPr="00A71DA6" w:rsidRDefault="00923D1D" w:rsidP="00AD5A06">
            <w:pPr>
              <w:spacing w:before="0" w:after="0" w:line="260" w:lineRule="atLeast"/>
              <w:rPr>
                <w:b/>
                <w:bCs/>
                <w:sz w:val="18"/>
              </w:rPr>
            </w:pPr>
          </w:p>
        </w:tc>
        <w:tc>
          <w:tcPr>
            <w:tcW w:w="2353" w:type="dxa"/>
          </w:tcPr>
          <w:p w14:paraId="6161E53A" w14:textId="77777777" w:rsidR="00923D1D" w:rsidRPr="00A71DA6" w:rsidRDefault="00923D1D" w:rsidP="00AD5A06">
            <w:pPr>
              <w:spacing w:before="0" w:after="0" w:line="260" w:lineRule="atLeast"/>
              <w:jc w:val="center"/>
              <w:rPr>
                <w:i/>
                <w:iCs/>
                <w:sz w:val="18"/>
              </w:rPr>
            </w:pPr>
            <w:r w:rsidRPr="00A71DA6">
              <w:rPr>
                <w:i/>
                <w:iCs/>
                <w:sz w:val="18"/>
              </w:rPr>
              <w:t>Inclusion was limited to studies published in Portuguese, English and Spanish.</w:t>
            </w:r>
          </w:p>
        </w:tc>
        <w:tc>
          <w:tcPr>
            <w:tcW w:w="2353" w:type="dxa"/>
          </w:tcPr>
          <w:p w14:paraId="03A3D2B1" w14:textId="77777777" w:rsidR="00923D1D" w:rsidRPr="00A71DA6" w:rsidRDefault="00923D1D" w:rsidP="00AD5A06">
            <w:pPr>
              <w:spacing w:before="0" w:after="0" w:line="260" w:lineRule="atLeast"/>
              <w:jc w:val="center"/>
              <w:rPr>
                <w:i/>
                <w:iCs/>
                <w:sz w:val="18"/>
              </w:rPr>
            </w:pPr>
            <w:r w:rsidRPr="00A71DA6">
              <w:rPr>
                <w:i/>
                <w:iCs/>
                <w:sz w:val="18"/>
              </w:rPr>
              <w:t>Embase was not mentioned. Searched strategies were presented and appeared sub-optimal. The number of reviewers involved in inclusion screening was not mentioned. Methods additional to database searching were not mentioned.</w:t>
            </w:r>
          </w:p>
        </w:tc>
        <w:tc>
          <w:tcPr>
            <w:tcW w:w="2353" w:type="dxa"/>
          </w:tcPr>
          <w:p w14:paraId="3ED68400"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4692DA94" w14:textId="77777777" w:rsidR="00923D1D" w:rsidRPr="00A71DA6" w:rsidRDefault="00923D1D" w:rsidP="00AD5A06">
            <w:pPr>
              <w:spacing w:before="0" w:after="0" w:line="260" w:lineRule="atLeast"/>
              <w:jc w:val="center"/>
              <w:rPr>
                <w:i/>
                <w:iCs/>
                <w:sz w:val="18"/>
              </w:rPr>
            </w:pPr>
            <w:r w:rsidRPr="00A71DA6">
              <w:rPr>
                <w:i/>
                <w:iCs/>
                <w:sz w:val="18"/>
              </w:rPr>
              <w:t>The paper did not mention any (quantitative) analysis methods. Narrative synthesis described, but no pre-defined analyses reported.</w:t>
            </w:r>
          </w:p>
        </w:tc>
        <w:tc>
          <w:tcPr>
            <w:tcW w:w="1215" w:type="dxa"/>
            <w:vMerge/>
            <w:vAlign w:val="center"/>
          </w:tcPr>
          <w:p w14:paraId="0AD82CCC"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223B3719" w14:textId="77777777" w:rsidR="00923D1D" w:rsidRPr="00A71DA6" w:rsidRDefault="00923D1D" w:rsidP="00AD5A06">
            <w:pPr>
              <w:spacing w:before="0" w:after="0" w:line="260" w:lineRule="atLeast"/>
              <w:jc w:val="center"/>
              <w:rPr>
                <w:sz w:val="18"/>
              </w:rPr>
            </w:pPr>
          </w:p>
        </w:tc>
      </w:tr>
      <w:tr w:rsidR="00923D1D" w:rsidRPr="00A71DA6" w14:paraId="5FBC985C" w14:textId="77777777" w:rsidTr="00D75D51">
        <w:trPr>
          <w:jc w:val="center"/>
        </w:trPr>
        <w:tc>
          <w:tcPr>
            <w:tcW w:w="1417" w:type="dxa"/>
            <w:vMerge w:val="restart"/>
            <w:hideMark/>
          </w:tcPr>
          <w:p w14:paraId="042EE0F5" w14:textId="77777777" w:rsidR="00923D1D" w:rsidRPr="00A71DA6" w:rsidRDefault="00923D1D" w:rsidP="00AD5A06">
            <w:pPr>
              <w:spacing w:before="0" w:after="0" w:line="260" w:lineRule="atLeast"/>
              <w:rPr>
                <w:b/>
                <w:bCs/>
                <w:sz w:val="18"/>
              </w:rPr>
            </w:pPr>
            <w:r w:rsidRPr="00A71DA6">
              <w:rPr>
                <w:b/>
                <w:bCs/>
                <w:sz w:val="18"/>
              </w:rPr>
              <w:t>Monaghan et al 2021</w:t>
            </w:r>
          </w:p>
        </w:tc>
        <w:tc>
          <w:tcPr>
            <w:tcW w:w="2353" w:type="dxa"/>
            <w:hideMark/>
          </w:tcPr>
          <w:p w14:paraId="1578D725"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57E26C80"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24693DF9"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hideMark/>
          </w:tcPr>
          <w:p w14:paraId="747B3A44" w14:textId="77777777" w:rsidR="00923D1D" w:rsidRPr="00A71DA6" w:rsidRDefault="00923D1D" w:rsidP="00AD5A06">
            <w:pPr>
              <w:spacing w:before="0" w:after="0" w:line="260" w:lineRule="atLeast"/>
              <w:jc w:val="center"/>
              <w:rPr>
                <w:sz w:val="18"/>
              </w:rPr>
            </w:pPr>
            <w:r w:rsidRPr="00A71DA6">
              <w:rPr>
                <w:sz w:val="18"/>
              </w:rPr>
              <w:t>UNCLEAR</w:t>
            </w:r>
          </w:p>
        </w:tc>
        <w:tc>
          <w:tcPr>
            <w:tcW w:w="1215" w:type="dxa"/>
            <w:vMerge w:val="restart"/>
            <w:vAlign w:val="center"/>
            <w:hideMark/>
          </w:tcPr>
          <w:p w14:paraId="3677477A"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18FDE811" w14:textId="77777777"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 in particular noting concerns about the comprehensiveness of search methods and lack of clarity around other methods.</w:t>
            </w:r>
          </w:p>
        </w:tc>
      </w:tr>
      <w:tr w:rsidR="00923D1D" w:rsidRPr="00A71DA6" w14:paraId="392172A4" w14:textId="77777777" w:rsidTr="00D75D51">
        <w:trPr>
          <w:jc w:val="center"/>
        </w:trPr>
        <w:tc>
          <w:tcPr>
            <w:tcW w:w="1417" w:type="dxa"/>
            <w:vMerge/>
          </w:tcPr>
          <w:p w14:paraId="612DE680" w14:textId="77777777" w:rsidR="00923D1D" w:rsidRPr="00A71DA6" w:rsidRDefault="00923D1D" w:rsidP="00AD5A06">
            <w:pPr>
              <w:spacing w:before="0" w:after="0" w:line="260" w:lineRule="atLeast"/>
              <w:rPr>
                <w:b/>
                <w:bCs/>
                <w:sz w:val="18"/>
              </w:rPr>
            </w:pPr>
          </w:p>
        </w:tc>
        <w:tc>
          <w:tcPr>
            <w:tcW w:w="2353" w:type="dxa"/>
          </w:tcPr>
          <w:p w14:paraId="38F0979D" w14:textId="77777777" w:rsidR="00923D1D" w:rsidRPr="00A71DA6" w:rsidRDefault="00923D1D" w:rsidP="00AD5A06">
            <w:pPr>
              <w:spacing w:before="0" w:after="0" w:line="260" w:lineRule="atLeast"/>
              <w:jc w:val="center"/>
              <w:rPr>
                <w:i/>
                <w:iCs/>
                <w:sz w:val="18"/>
              </w:rPr>
            </w:pPr>
            <w:r w:rsidRPr="00A71DA6">
              <w:rPr>
                <w:i/>
                <w:iCs/>
                <w:sz w:val="18"/>
              </w:rPr>
              <w:t>Restricted to English-language publications only.</w:t>
            </w:r>
          </w:p>
        </w:tc>
        <w:tc>
          <w:tcPr>
            <w:tcW w:w="2353" w:type="dxa"/>
          </w:tcPr>
          <w:p w14:paraId="69F59F77" w14:textId="77777777" w:rsidR="00923D1D" w:rsidRDefault="00923D1D" w:rsidP="00AD5A06">
            <w:pPr>
              <w:spacing w:before="0" w:after="0" w:line="260" w:lineRule="atLeast"/>
              <w:jc w:val="center"/>
              <w:rPr>
                <w:i/>
                <w:iCs/>
                <w:sz w:val="18"/>
              </w:rPr>
            </w:pPr>
            <w:r w:rsidRPr="00A71DA6">
              <w:rPr>
                <w:i/>
                <w:iCs/>
                <w:sz w:val="18"/>
              </w:rPr>
              <w:t>Although no restrictions on publication form, language or date, the search strategy was not adequate.  Three authors were involved in the full text screening, although initial screening was conducted by single reviewer.</w:t>
            </w:r>
          </w:p>
          <w:p w14:paraId="40A78083" w14:textId="77777777" w:rsidR="00BE2F23" w:rsidRDefault="00BE2F23" w:rsidP="00AD5A06">
            <w:pPr>
              <w:spacing w:before="0" w:after="0" w:line="260" w:lineRule="atLeast"/>
              <w:jc w:val="center"/>
              <w:rPr>
                <w:i/>
                <w:iCs/>
                <w:sz w:val="18"/>
              </w:rPr>
            </w:pPr>
          </w:p>
          <w:p w14:paraId="3699AC57" w14:textId="77777777" w:rsidR="00BE2F23" w:rsidRDefault="00BE2F23" w:rsidP="00AD5A06">
            <w:pPr>
              <w:spacing w:before="0" w:after="0" w:line="260" w:lineRule="atLeast"/>
              <w:jc w:val="center"/>
              <w:rPr>
                <w:i/>
                <w:iCs/>
                <w:sz w:val="18"/>
              </w:rPr>
            </w:pPr>
          </w:p>
          <w:p w14:paraId="6EB68E4B" w14:textId="77777777" w:rsidR="00BE2F23" w:rsidRDefault="00BE2F23" w:rsidP="00AD5A06">
            <w:pPr>
              <w:spacing w:before="0" w:after="0" w:line="260" w:lineRule="atLeast"/>
              <w:jc w:val="center"/>
              <w:rPr>
                <w:i/>
                <w:iCs/>
                <w:sz w:val="18"/>
              </w:rPr>
            </w:pPr>
          </w:p>
          <w:p w14:paraId="65A5C2C7" w14:textId="77777777" w:rsidR="00364F46" w:rsidRDefault="00364F46" w:rsidP="00AD5A06">
            <w:pPr>
              <w:spacing w:before="0" w:after="0" w:line="260" w:lineRule="atLeast"/>
              <w:jc w:val="center"/>
              <w:rPr>
                <w:i/>
                <w:iCs/>
                <w:sz w:val="18"/>
              </w:rPr>
            </w:pPr>
          </w:p>
          <w:p w14:paraId="1FA07195" w14:textId="77777777" w:rsidR="00364F46" w:rsidRDefault="00364F46" w:rsidP="00AD5A06">
            <w:pPr>
              <w:spacing w:before="0" w:after="0" w:line="260" w:lineRule="atLeast"/>
              <w:jc w:val="center"/>
              <w:rPr>
                <w:i/>
                <w:iCs/>
                <w:sz w:val="18"/>
              </w:rPr>
            </w:pPr>
          </w:p>
          <w:p w14:paraId="306E200B" w14:textId="77777777" w:rsidR="00364F46" w:rsidRDefault="00364F46" w:rsidP="00AD5A06">
            <w:pPr>
              <w:spacing w:before="0" w:after="0" w:line="260" w:lineRule="atLeast"/>
              <w:jc w:val="center"/>
              <w:rPr>
                <w:i/>
                <w:iCs/>
                <w:sz w:val="18"/>
              </w:rPr>
            </w:pPr>
          </w:p>
          <w:p w14:paraId="00F53715" w14:textId="77777777" w:rsidR="00364F46" w:rsidRPr="00A71DA6" w:rsidRDefault="00364F46" w:rsidP="00AD5A06">
            <w:pPr>
              <w:spacing w:before="0" w:after="0" w:line="260" w:lineRule="atLeast"/>
              <w:jc w:val="center"/>
              <w:rPr>
                <w:i/>
                <w:iCs/>
                <w:sz w:val="18"/>
              </w:rPr>
            </w:pPr>
          </w:p>
        </w:tc>
        <w:tc>
          <w:tcPr>
            <w:tcW w:w="2353" w:type="dxa"/>
          </w:tcPr>
          <w:p w14:paraId="5A4EDA53" w14:textId="77777777" w:rsidR="00923D1D" w:rsidRPr="00A71DA6" w:rsidRDefault="00923D1D" w:rsidP="00AD5A06">
            <w:pPr>
              <w:spacing w:before="0" w:after="0" w:line="260" w:lineRule="atLeast"/>
              <w:jc w:val="center"/>
              <w:rPr>
                <w:i/>
                <w:iCs/>
                <w:sz w:val="18"/>
              </w:rPr>
            </w:pPr>
            <w:r w:rsidRPr="00A71DA6">
              <w:rPr>
                <w:i/>
                <w:iCs/>
                <w:sz w:val="18"/>
              </w:rPr>
              <w:t>The number of reviewers involved in the data extraction process and risk of bias assessment was not reported.</w:t>
            </w:r>
          </w:p>
        </w:tc>
        <w:tc>
          <w:tcPr>
            <w:tcW w:w="2353" w:type="dxa"/>
          </w:tcPr>
          <w:p w14:paraId="1E1A76C0" w14:textId="77777777" w:rsidR="00923D1D" w:rsidRPr="00A71DA6" w:rsidRDefault="00923D1D" w:rsidP="00AD5A06">
            <w:pPr>
              <w:spacing w:before="0" w:after="0" w:line="260" w:lineRule="atLeast"/>
              <w:jc w:val="center"/>
              <w:rPr>
                <w:i/>
                <w:iCs/>
                <w:sz w:val="18"/>
              </w:rPr>
            </w:pPr>
            <w:r w:rsidRPr="00A71DA6">
              <w:rPr>
                <w:i/>
                <w:iCs/>
                <w:sz w:val="18"/>
              </w:rPr>
              <w:t>Only narrative synthesis was performed. Heterogeneity assessment and publication bias assessment were not taken into consideration. Biases in primary studies were taken into consideration.</w:t>
            </w:r>
          </w:p>
        </w:tc>
        <w:tc>
          <w:tcPr>
            <w:tcW w:w="1215" w:type="dxa"/>
            <w:vMerge/>
            <w:vAlign w:val="center"/>
          </w:tcPr>
          <w:p w14:paraId="784A6576"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5923452B" w14:textId="77777777" w:rsidR="00923D1D" w:rsidRPr="00A71DA6" w:rsidRDefault="00923D1D" w:rsidP="00AD5A06">
            <w:pPr>
              <w:spacing w:before="0" w:after="0" w:line="260" w:lineRule="atLeast"/>
              <w:jc w:val="center"/>
              <w:rPr>
                <w:sz w:val="18"/>
              </w:rPr>
            </w:pPr>
          </w:p>
        </w:tc>
      </w:tr>
      <w:tr w:rsidR="00923D1D" w:rsidRPr="00A71DA6" w14:paraId="1C792ECC" w14:textId="77777777" w:rsidTr="00D75D51">
        <w:trPr>
          <w:jc w:val="center"/>
        </w:trPr>
        <w:tc>
          <w:tcPr>
            <w:tcW w:w="1417" w:type="dxa"/>
            <w:vMerge w:val="restart"/>
            <w:hideMark/>
          </w:tcPr>
          <w:p w14:paraId="5337C642" w14:textId="77777777" w:rsidR="00923D1D" w:rsidRPr="00A71DA6" w:rsidRDefault="00923D1D" w:rsidP="00364F46">
            <w:pPr>
              <w:spacing w:before="0" w:after="0" w:line="260" w:lineRule="atLeast"/>
              <w:rPr>
                <w:b/>
                <w:bCs/>
                <w:sz w:val="18"/>
              </w:rPr>
            </w:pPr>
            <w:proofErr w:type="spellStart"/>
            <w:r w:rsidRPr="00A71DA6">
              <w:rPr>
                <w:b/>
                <w:bCs/>
                <w:sz w:val="18"/>
              </w:rPr>
              <w:lastRenderedPageBreak/>
              <w:t>Nazarpour</w:t>
            </w:r>
            <w:proofErr w:type="spellEnd"/>
            <w:r w:rsidRPr="00A71DA6">
              <w:rPr>
                <w:b/>
                <w:bCs/>
                <w:sz w:val="18"/>
              </w:rPr>
              <w:t xml:space="preserve"> et al 2020</w:t>
            </w:r>
          </w:p>
        </w:tc>
        <w:tc>
          <w:tcPr>
            <w:tcW w:w="2353" w:type="dxa"/>
            <w:hideMark/>
          </w:tcPr>
          <w:p w14:paraId="1DBDB329" w14:textId="77777777" w:rsidR="00923D1D" w:rsidRPr="00A71DA6" w:rsidRDefault="00923D1D" w:rsidP="00F2203F">
            <w:pPr>
              <w:spacing w:before="0" w:after="0" w:line="240" w:lineRule="auto"/>
              <w:jc w:val="center"/>
              <w:rPr>
                <w:sz w:val="18"/>
              </w:rPr>
            </w:pPr>
            <w:r w:rsidRPr="00A71DA6">
              <w:rPr>
                <w:sz w:val="18"/>
              </w:rPr>
              <w:t>HIGH</w:t>
            </w:r>
          </w:p>
        </w:tc>
        <w:tc>
          <w:tcPr>
            <w:tcW w:w="2353" w:type="dxa"/>
            <w:hideMark/>
          </w:tcPr>
          <w:p w14:paraId="118EF5ED" w14:textId="77777777" w:rsidR="00923D1D" w:rsidRPr="00A71DA6" w:rsidRDefault="00923D1D" w:rsidP="00F2203F">
            <w:pPr>
              <w:spacing w:before="0" w:after="0" w:line="240" w:lineRule="auto"/>
              <w:jc w:val="center"/>
              <w:rPr>
                <w:sz w:val="18"/>
              </w:rPr>
            </w:pPr>
            <w:r w:rsidRPr="00A71DA6">
              <w:rPr>
                <w:sz w:val="18"/>
              </w:rPr>
              <w:t>HIGH</w:t>
            </w:r>
          </w:p>
        </w:tc>
        <w:tc>
          <w:tcPr>
            <w:tcW w:w="2353" w:type="dxa"/>
            <w:hideMark/>
          </w:tcPr>
          <w:p w14:paraId="347D4A42" w14:textId="77777777" w:rsidR="00923D1D" w:rsidRPr="00A71DA6" w:rsidRDefault="00923D1D" w:rsidP="00F2203F">
            <w:pPr>
              <w:spacing w:before="0" w:after="0" w:line="240" w:lineRule="auto"/>
              <w:jc w:val="center"/>
              <w:rPr>
                <w:sz w:val="18"/>
              </w:rPr>
            </w:pPr>
            <w:r w:rsidRPr="00A71DA6">
              <w:rPr>
                <w:sz w:val="18"/>
              </w:rPr>
              <w:t>LOW</w:t>
            </w:r>
          </w:p>
        </w:tc>
        <w:tc>
          <w:tcPr>
            <w:tcW w:w="2353" w:type="dxa"/>
            <w:hideMark/>
          </w:tcPr>
          <w:p w14:paraId="4596928E" w14:textId="77777777" w:rsidR="00923D1D" w:rsidRPr="00A71DA6" w:rsidRDefault="00923D1D" w:rsidP="00F2203F">
            <w:pPr>
              <w:spacing w:before="0" w:after="0" w:line="240" w:lineRule="auto"/>
              <w:jc w:val="center"/>
              <w:rPr>
                <w:sz w:val="18"/>
              </w:rPr>
            </w:pPr>
            <w:r w:rsidRPr="00A71DA6">
              <w:rPr>
                <w:sz w:val="18"/>
              </w:rPr>
              <w:t>LOW</w:t>
            </w:r>
          </w:p>
        </w:tc>
        <w:tc>
          <w:tcPr>
            <w:tcW w:w="1215" w:type="dxa"/>
            <w:vMerge w:val="restart"/>
            <w:vAlign w:val="center"/>
            <w:hideMark/>
          </w:tcPr>
          <w:p w14:paraId="3C811D7D" w14:textId="77777777" w:rsidR="00923D1D" w:rsidRPr="00D75D51" w:rsidRDefault="00923D1D" w:rsidP="00364F46">
            <w:pPr>
              <w:spacing w:before="0" w:after="0"/>
              <w:jc w:val="center"/>
              <w:rPr>
                <w:rFonts w:ascii="Gotham Medium" w:hAnsi="Gotham Medium"/>
                <w:sz w:val="18"/>
              </w:rPr>
            </w:pPr>
            <w:r w:rsidRPr="00D75D51">
              <w:rPr>
                <w:rFonts w:ascii="Gotham Medium" w:hAnsi="Gotham Medium"/>
                <w:sz w:val="18"/>
              </w:rPr>
              <w:t>HIGH</w:t>
            </w:r>
          </w:p>
        </w:tc>
        <w:tc>
          <w:tcPr>
            <w:tcW w:w="3260" w:type="dxa"/>
            <w:vMerge w:val="restart"/>
            <w:hideMark/>
          </w:tcPr>
          <w:p w14:paraId="40551E53" w14:textId="77777777" w:rsidR="00923D1D" w:rsidRPr="00A71DA6" w:rsidRDefault="00923D1D" w:rsidP="00364F46">
            <w:pPr>
              <w:spacing w:before="0" w:after="0" w:line="260" w:lineRule="atLeast"/>
              <w:jc w:val="center"/>
              <w:rPr>
                <w:sz w:val="18"/>
              </w:rPr>
            </w:pPr>
            <w:r w:rsidRPr="00A71DA6">
              <w:rPr>
                <w:sz w:val="18"/>
              </w:rPr>
              <w:t xml:space="preserve">Concerns raised should be considered </w:t>
            </w:r>
            <w:proofErr w:type="gramStart"/>
            <w:r w:rsidRPr="00A71DA6">
              <w:rPr>
                <w:sz w:val="18"/>
              </w:rPr>
              <w:t>when  interpreting</w:t>
            </w:r>
            <w:proofErr w:type="gramEnd"/>
            <w:r w:rsidRPr="00A71DA6">
              <w:rPr>
                <w:sz w:val="18"/>
              </w:rPr>
              <w:t xml:space="preserve"> and applying findings. Although the fundamental methodology appears sound, concerns remain regarding the comprehensiveness of searches and criteria for classifying exposure. Review currency may also be a relevant consideration.</w:t>
            </w:r>
          </w:p>
        </w:tc>
      </w:tr>
      <w:tr w:rsidR="00923D1D" w:rsidRPr="00A71DA6" w14:paraId="4AA6294F" w14:textId="77777777" w:rsidTr="00D75D51">
        <w:trPr>
          <w:jc w:val="center"/>
        </w:trPr>
        <w:tc>
          <w:tcPr>
            <w:tcW w:w="1417" w:type="dxa"/>
            <w:vMerge/>
          </w:tcPr>
          <w:p w14:paraId="7004F703" w14:textId="77777777" w:rsidR="00923D1D" w:rsidRPr="00A71DA6" w:rsidRDefault="00923D1D" w:rsidP="00AD5A06">
            <w:pPr>
              <w:spacing w:before="0" w:after="0" w:line="260" w:lineRule="atLeast"/>
              <w:rPr>
                <w:b/>
                <w:bCs/>
                <w:sz w:val="18"/>
              </w:rPr>
            </w:pPr>
          </w:p>
        </w:tc>
        <w:tc>
          <w:tcPr>
            <w:tcW w:w="2353" w:type="dxa"/>
          </w:tcPr>
          <w:p w14:paraId="0985230E" w14:textId="77777777" w:rsidR="00923D1D" w:rsidRPr="00A71DA6" w:rsidRDefault="00923D1D" w:rsidP="00F2203F">
            <w:pPr>
              <w:spacing w:before="0" w:after="0" w:line="240" w:lineRule="atLeast"/>
              <w:jc w:val="center"/>
              <w:rPr>
                <w:i/>
                <w:iCs/>
                <w:sz w:val="18"/>
              </w:rPr>
            </w:pPr>
            <w:r w:rsidRPr="00A71DA6">
              <w:rPr>
                <w:i/>
                <w:iCs/>
                <w:sz w:val="18"/>
              </w:rPr>
              <w:t>Restricted to English-language publications only. Studies were excluded if they were non-original (e.g., reviews, commentaries, case reports), lacked clear UIC classification, or had unclear or inaccurate data.</w:t>
            </w:r>
          </w:p>
        </w:tc>
        <w:tc>
          <w:tcPr>
            <w:tcW w:w="2353" w:type="dxa"/>
          </w:tcPr>
          <w:p w14:paraId="539E9864" w14:textId="77777777" w:rsidR="00923D1D" w:rsidRPr="00A71DA6" w:rsidRDefault="00923D1D" w:rsidP="00AD5A06">
            <w:pPr>
              <w:spacing w:before="0" w:after="0" w:line="260" w:lineRule="atLeast"/>
              <w:jc w:val="center"/>
              <w:rPr>
                <w:i/>
                <w:iCs/>
                <w:sz w:val="18"/>
              </w:rPr>
            </w:pPr>
            <w:r w:rsidRPr="00A71DA6">
              <w:rPr>
                <w:i/>
                <w:iCs/>
                <w:sz w:val="18"/>
              </w:rPr>
              <w:t xml:space="preserve">The search strategy did not appear to have used controlled terms such as </w:t>
            </w:r>
            <w:proofErr w:type="spellStart"/>
            <w:r w:rsidRPr="00A71DA6">
              <w:rPr>
                <w:i/>
                <w:iCs/>
                <w:sz w:val="18"/>
              </w:rPr>
              <w:t>MeSH</w:t>
            </w:r>
            <w:proofErr w:type="spellEnd"/>
            <w:r w:rsidRPr="00A71DA6">
              <w:rPr>
                <w:i/>
                <w:iCs/>
                <w:sz w:val="18"/>
              </w:rPr>
              <w:t>.</w:t>
            </w:r>
          </w:p>
        </w:tc>
        <w:tc>
          <w:tcPr>
            <w:tcW w:w="2353" w:type="dxa"/>
          </w:tcPr>
          <w:p w14:paraId="06491909"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3D52268B"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139D65C9"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185687D8" w14:textId="77777777" w:rsidR="00923D1D" w:rsidRPr="00A71DA6" w:rsidRDefault="00923D1D" w:rsidP="00AD5A06">
            <w:pPr>
              <w:spacing w:before="0" w:after="0" w:line="260" w:lineRule="atLeast"/>
              <w:jc w:val="center"/>
              <w:rPr>
                <w:sz w:val="18"/>
              </w:rPr>
            </w:pPr>
          </w:p>
        </w:tc>
      </w:tr>
      <w:tr w:rsidR="00923D1D" w:rsidRPr="00A71DA6" w14:paraId="21921CA2" w14:textId="77777777" w:rsidTr="00D75D51">
        <w:trPr>
          <w:jc w:val="center"/>
        </w:trPr>
        <w:tc>
          <w:tcPr>
            <w:tcW w:w="1417" w:type="dxa"/>
            <w:vMerge w:val="restart"/>
            <w:hideMark/>
          </w:tcPr>
          <w:p w14:paraId="638B8C3F" w14:textId="77777777" w:rsidR="00923D1D" w:rsidRPr="00A71DA6" w:rsidRDefault="00923D1D" w:rsidP="00AD5A06">
            <w:pPr>
              <w:spacing w:before="0" w:after="0" w:line="260" w:lineRule="atLeast"/>
              <w:rPr>
                <w:b/>
                <w:bCs/>
                <w:sz w:val="18"/>
              </w:rPr>
            </w:pPr>
            <w:r w:rsidRPr="00A71DA6">
              <w:rPr>
                <w:b/>
                <w:bCs/>
                <w:sz w:val="18"/>
              </w:rPr>
              <w:t>Nazeri et al 2016</w:t>
            </w:r>
          </w:p>
        </w:tc>
        <w:tc>
          <w:tcPr>
            <w:tcW w:w="2353" w:type="dxa"/>
            <w:hideMark/>
          </w:tcPr>
          <w:p w14:paraId="7B9030D6" w14:textId="77777777" w:rsidR="00923D1D" w:rsidRPr="00A71DA6" w:rsidRDefault="00923D1D" w:rsidP="00F2203F">
            <w:pPr>
              <w:spacing w:before="0" w:after="0" w:line="240" w:lineRule="auto"/>
              <w:jc w:val="center"/>
              <w:rPr>
                <w:sz w:val="18"/>
              </w:rPr>
            </w:pPr>
            <w:r w:rsidRPr="00A71DA6">
              <w:rPr>
                <w:sz w:val="18"/>
              </w:rPr>
              <w:t>HIGH</w:t>
            </w:r>
          </w:p>
        </w:tc>
        <w:tc>
          <w:tcPr>
            <w:tcW w:w="2353" w:type="dxa"/>
            <w:hideMark/>
          </w:tcPr>
          <w:p w14:paraId="65AE8DC8" w14:textId="3A8EC0F2" w:rsidR="00923D1D" w:rsidRPr="00A71DA6" w:rsidRDefault="00923D1D" w:rsidP="00F2203F">
            <w:pPr>
              <w:spacing w:before="0" w:after="0" w:line="240" w:lineRule="auto"/>
              <w:jc w:val="center"/>
              <w:rPr>
                <w:sz w:val="18"/>
              </w:rPr>
            </w:pPr>
            <w:r w:rsidRPr="00A71DA6">
              <w:rPr>
                <w:sz w:val="18"/>
              </w:rPr>
              <w:t>HIGH -</w:t>
            </w:r>
          </w:p>
        </w:tc>
        <w:tc>
          <w:tcPr>
            <w:tcW w:w="2353" w:type="dxa"/>
            <w:hideMark/>
          </w:tcPr>
          <w:p w14:paraId="74821E39" w14:textId="77777777" w:rsidR="00923D1D" w:rsidRPr="00A71DA6" w:rsidRDefault="00923D1D" w:rsidP="00F2203F">
            <w:pPr>
              <w:spacing w:before="0" w:after="0" w:line="240" w:lineRule="auto"/>
              <w:jc w:val="center"/>
              <w:rPr>
                <w:sz w:val="18"/>
              </w:rPr>
            </w:pPr>
            <w:r w:rsidRPr="00A71DA6">
              <w:rPr>
                <w:sz w:val="18"/>
              </w:rPr>
              <w:t>LOW</w:t>
            </w:r>
          </w:p>
        </w:tc>
        <w:tc>
          <w:tcPr>
            <w:tcW w:w="2353" w:type="dxa"/>
            <w:hideMark/>
          </w:tcPr>
          <w:p w14:paraId="3ECE787A" w14:textId="118CE579" w:rsidR="00923D1D" w:rsidRPr="00A71DA6" w:rsidRDefault="00923D1D" w:rsidP="00F2203F">
            <w:pPr>
              <w:spacing w:before="0" w:after="0" w:line="240" w:lineRule="auto"/>
              <w:jc w:val="center"/>
              <w:rPr>
                <w:sz w:val="18"/>
              </w:rPr>
            </w:pPr>
            <w:r w:rsidRPr="00A71DA6">
              <w:rPr>
                <w:sz w:val="18"/>
              </w:rPr>
              <w:t>HIGH -</w:t>
            </w:r>
          </w:p>
        </w:tc>
        <w:tc>
          <w:tcPr>
            <w:tcW w:w="1215" w:type="dxa"/>
            <w:vMerge w:val="restart"/>
            <w:vAlign w:val="center"/>
            <w:hideMark/>
          </w:tcPr>
          <w:p w14:paraId="11F0BF42"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5BE5FFC5" w14:textId="654C1976" w:rsidR="00923D1D" w:rsidRPr="00A71DA6" w:rsidRDefault="00923D1D" w:rsidP="00F2203F">
            <w:pPr>
              <w:spacing w:before="0" w:after="0" w:line="240" w:lineRule="atLeast"/>
              <w:jc w:val="center"/>
              <w:rPr>
                <w:sz w:val="18"/>
              </w:rPr>
            </w:pPr>
            <w:r w:rsidRPr="00A71DA6">
              <w:rPr>
                <w:sz w:val="18"/>
              </w:rPr>
              <w:t>Concerns raised should be considered when interpreting and applying findings. Although the fundamental methodology appears sound, concerns about comprehensiveness of search strategy and unexplained/ unexplored heterogeneity remain. Review currency is also a relevant consideration.</w:t>
            </w:r>
          </w:p>
        </w:tc>
      </w:tr>
      <w:tr w:rsidR="00923D1D" w:rsidRPr="00A71DA6" w14:paraId="490F1875" w14:textId="77777777" w:rsidTr="00364F46">
        <w:trPr>
          <w:trHeight w:val="2176"/>
          <w:jc w:val="center"/>
        </w:trPr>
        <w:tc>
          <w:tcPr>
            <w:tcW w:w="1417" w:type="dxa"/>
            <w:vMerge/>
          </w:tcPr>
          <w:p w14:paraId="7D613430" w14:textId="77777777" w:rsidR="00923D1D" w:rsidRPr="00A71DA6" w:rsidRDefault="00923D1D" w:rsidP="00AD5A06">
            <w:pPr>
              <w:spacing w:before="0" w:after="0" w:line="260" w:lineRule="atLeast"/>
              <w:rPr>
                <w:b/>
                <w:bCs/>
                <w:sz w:val="18"/>
              </w:rPr>
            </w:pPr>
          </w:p>
        </w:tc>
        <w:tc>
          <w:tcPr>
            <w:tcW w:w="2353" w:type="dxa"/>
          </w:tcPr>
          <w:p w14:paraId="151BFE44" w14:textId="77777777" w:rsidR="00923D1D" w:rsidRPr="00A71DA6" w:rsidRDefault="00923D1D" w:rsidP="00AD5A06">
            <w:pPr>
              <w:spacing w:before="0" w:after="0" w:line="260" w:lineRule="atLeast"/>
              <w:jc w:val="center"/>
              <w:rPr>
                <w:i/>
                <w:iCs/>
                <w:sz w:val="18"/>
              </w:rPr>
            </w:pPr>
            <w:r w:rsidRPr="00A71DA6">
              <w:rPr>
                <w:i/>
                <w:iCs/>
                <w:sz w:val="18"/>
              </w:rPr>
              <w:t>Non-English studies were excluded.</w:t>
            </w:r>
          </w:p>
        </w:tc>
        <w:tc>
          <w:tcPr>
            <w:tcW w:w="2353" w:type="dxa"/>
          </w:tcPr>
          <w:p w14:paraId="6DF62EAC" w14:textId="77777777" w:rsidR="00923D1D" w:rsidRPr="00A71DA6" w:rsidRDefault="00923D1D" w:rsidP="00AD5A06">
            <w:pPr>
              <w:spacing w:before="0" w:after="0" w:line="260" w:lineRule="atLeast"/>
              <w:jc w:val="center"/>
              <w:rPr>
                <w:i/>
                <w:iCs/>
                <w:sz w:val="18"/>
              </w:rPr>
            </w:pPr>
            <w:r w:rsidRPr="00A71DA6">
              <w:rPr>
                <w:i/>
                <w:iCs/>
                <w:sz w:val="18"/>
              </w:rPr>
              <w:t>The search terms were provided but full details of the search strategy were not reported.</w:t>
            </w:r>
          </w:p>
        </w:tc>
        <w:tc>
          <w:tcPr>
            <w:tcW w:w="2353" w:type="dxa"/>
          </w:tcPr>
          <w:p w14:paraId="186970A0"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20127295" w14:textId="77777777" w:rsidR="00923D1D" w:rsidRPr="00A71DA6" w:rsidRDefault="00923D1D" w:rsidP="00AD5A06">
            <w:pPr>
              <w:spacing w:before="0" w:after="0" w:line="260" w:lineRule="atLeast"/>
              <w:jc w:val="center"/>
              <w:rPr>
                <w:i/>
                <w:iCs/>
                <w:sz w:val="18"/>
              </w:rPr>
            </w:pPr>
            <w:r w:rsidRPr="00A71DA6">
              <w:rPr>
                <w:i/>
                <w:iCs/>
                <w:sz w:val="18"/>
              </w:rPr>
              <w:t>Heterogeneity was found to be high for all outcomes analysed and was not explored in detail.</w:t>
            </w:r>
          </w:p>
        </w:tc>
        <w:tc>
          <w:tcPr>
            <w:tcW w:w="1215" w:type="dxa"/>
            <w:vMerge/>
            <w:vAlign w:val="center"/>
          </w:tcPr>
          <w:p w14:paraId="7EC28A67"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08448E2D" w14:textId="77777777" w:rsidR="00923D1D" w:rsidRPr="00A71DA6" w:rsidRDefault="00923D1D" w:rsidP="00AD5A06">
            <w:pPr>
              <w:spacing w:before="0" w:after="0" w:line="260" w:lineRule="atLeast"/>
              <w:jc w:val="center"/>
              <w:rPr>
                <w:sz w:val="18"/>
              </w:rPr>
            </w:pPr>
          </w:p>
        </w:tc>
      </w:tr>
      <w:tr w:rsidR="00923D1D" w:rsidRPr="00A71DA6" w14:paraId="7502FF63" w14:textId="77777777" w:rsidTr="00D75D51">
        <w:trPr>
          <w:jc w:val="center"/>
        </w:trPr>
        <w:tc>
          <w:tcPr>
            <w:tcW w:w="1417" w:type="dxa"/>
            <w:vMerge w:val="restart"/>
          </w:tcPr>
          <w:p w14:paraId="632A1E9D" w14:textId="77777777" w:rsidR="00923D1D" w:rsidRPr="00A71DA6" w:rsidRDefault="00923D1D" w:rsidP="00AD5A06">
            <w:pPr>
              <w:spacing w:before="0" w:after="0" w:line="260" w:lineRule="atLeast"/>
              <w:rPr>
                <w:b/>
                <w:bCs/>
                <w:sz w:val="18"/>
              </w:rPr>
            </w:pPr>
            <w:r w:rsidRPr="00A71DA6">
              <w:rPr>
                <w:b/>
                <w:bCs/>
                <w:sz w:val="18"/>
              </w:rPr>
              <w:t>Nazeri et al 2020a</w:t>
            </w:r>
          </w:p>
        </w:tc>
        <w:tc>
          <w:tcPr>
            <w:tcW w:w="2353" w:type="dxa"/>
          </w:tcPr>
          <w:p w14:paraId="61E54C44"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34ABC7BD"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3D1A5AE1"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371D2C93"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tcPr>
          <w:p w14:paraId="7543DE23"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tcPr>
          <w:p w14:paraId="47ADE3A5" w14:textId="77777777"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 particularly potential for confounding.</w:t>
            </w:r>
          </w:p>
        </w:tc>
      </w:tr>
      <w:tr w:rsidR="00923D1D" w:rsidRPr="00A71DA6" w14:paraId="19D809FC" w14:textId="77777777" w:rsidTr="00D75D51">
        <w:trPr>
          <w:jc w:val="center"/>
        </w:trPr>
        <w:tc>
          <w:tcPr>
            <w:tcW w:w="1417" w:type="dxa"/>
            <w:vMerge/>
          </w:tcPr>
          <w:p w14:paraId="0F0C7FFD" w14:textId="77777777" w:rsidR="00923D1D" w:rsidRPr="00A71DA6" w:rsidRDefault="00923D1D" w:rsidP="00AD5A06">
            <w:pPr>
              <w:spacing w:before="0" w:after="0" w:line="260" w:lineRule="atLeast"/>
              <w:rPr>
                <w:b/>
                <w:bCs/>
                <w:sz w:val="18"/>
              </w:rPr>
            </w:pPr>
          </w:p>
        </w:tc>
        <w:tc>
          <w:tcPr>
            <w:tcW w:w="2353" w:type="dxa"/>
          </w:tcPr>
          <w:p w14:paraId="7E4A925B" w14:textId="77777777" w:rsidR="00923D1D" w:rsidRDefault="00923D1D" w:rsidP="00F2203F">
            <w:pPr>
              <w:spacing w:before="0" w:after="0" w:line="220" w:lineRule="atLeast"/>
              <w:jc w:val="center"/>
              <w:rPr>
                <w:i/>
                <w:iCs/>
                <w:sz w:val="18"/>
              </w:rPr>
            </w:pPr>
            <w:r w:rsidRPr="00A71DA6">
              <w:rPr>
                <w:i/>
                <w:iCs/>
                <w:sz w:val="18"/>
              </w:rPr>
              <w:t>Non-English studies were excluded. Inclusion criteria may not appropriately control for confounders (</w:t>
            </w:r>
            <w:proofErr w:type="spellStart"/>
            <w:r w:rsidRPr="00A71DA6">
              <w:rPr>
                <w:i/>
                <w:iCs/>
                <w:sz w:val="18"/>
              </w:rPr>
              <w:t>eg.</w:t>
            </w:r>
            <w:proofErr w:type="spellEnd"/>
            <w:r w:rsidRPr="00A71DA6">
              <w:rPr>
                <w:i/>
                <w:iCs/>
                <w:sz w:val="18"/>
              </w:rPr>
              <w:t xml:space="preserve"> included women exposed to environmental factors that influence thyroid function, thyroid disease)</w:t>
            </w:r>
          </w:p>
          <w:p w14:paraId="0922198F" w14:textId="77777777" w:rsidR="00BE2F23" w:rsidRDefault="00BE2F23" w:rsidP="00F2203F">
            <w:pPr>
              <w:spacing w:before="0" w:after="0" w:line="220" w:lineRule="atLeast"/>
              <w:jc w:val="center"/>
              <w:rPr>
                <w:i/>
                <w:iCs/>
                <w:sz w:val="18"/>
              </w:rPr>
            </w:pPr>
          </w:p>
          <w:p w14:paraId="6D96CCAC" w14:textId="77777777" w:rsidR="00BE2F23" w:rsidRPr="00A71DA6" w:rsidRDefault="00BE2F23" w:rsidP="00F2203F">
            <w:pPr>
              <w:spacing w:before="0" w:after="0" w:line="220" w:lineRule="atLeast"/>
              <w:jc w:val="center"/>
              <w:rPr>
                <w:i/>
                <w:iCs/>
                <w:sz w:val="18"/>
              </w:rPr>
            </w:pPr>
          </w:p>
        </w:tc>
        <w:tc>
          <w:tcPr>
            <w:tcW w:w="2353" w:type="dxa"/>
          </w:tcPr>
          <w:p w14:paraId="4D36D26D" w14:textId="77777777" w:rsidR="00923D1D" w:rsidRPr="00A71DA6" w:rsidRDefault="00923D1D" w:rsidP="00AD5A06">
            <w:pPr>
              <w:spacing w:before="0" w:after="0" w:line="260" w:lineRule="atLeast"/>
              <w:jc w:val="center"/>
              <w:rPr>
                <w:i/>
                <w:iCs/>
                <w:sz w:val="18"/>
              </w:rPr>
            </w:pPr>
            <w:r w:rsidRPr="00A71DA6">
              <w:rPr>
                <w:i/>
                <w:iCs/>
                <w:sz w:val="18"/>
              </w:rPr>
              <w:t>Embase was not mentioned. Some keywords were mentioned but no full search strategy was presented</w:t>
            </w:r>
          </w:p>
        </w:tc>
        <w:tc>
          <w:tcPr>
            <w:tcW w:w="2353" w:type="dxa"/>
          </w:tcPr>
          <w:p w14:paraId="4B3387D3" w14:textId="77777777" w:rsidR="00923D1D" w:rsidRPr="00A71DA6" w:rsidRDefault="00923D1D" w:rsidP="00AD5A06">
            <w:pPr>
              <w:spacing w:before="0" w:after="0" w:line="260" w:lineRule="atLeast"/>
              <w:jc w:val="center"/>
              <w:rPr>
                <w:i/>
                <w:iCs/>
                <w:sz w:val="18"/>
              </w:rPr>
            </w:pPr>
            <w:r w:rsidRPr="00A71DA6">
              <w:rPr>
                <w:i/>
                <w:iCs/>
                <w:sz w:val="18"/>
              </w:rPr>
              <w:t>The number of reviewers involved in risk of bias assessment was not mentioned. Unsuitable risk of bias assessment tool used.</w:t>
            </w:r>
          </w:p>
        </w:tc>
        <w:tc>
          <w:tcPr>
            <w:tcW w:w="2353" w:type="dxa"/>
          </w:tcPr>
          <w:p w14:paraId="12EE7688"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614600D1"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559A41B8" w14:textId="77777777" w:rsidR="00923D1D" w:rsidRPr="00A71DA6" w:rsidRDefault="00923D1D" w:rsidP="00AD5A06">
            <w:pPr>
              <w:spacing w:before="0" w:after="0" w:line="260" w:lineRule="atLeast"/>
              <w:jc w:val="center"/>
              <w:rPr>
                <w:sz w:val="18"/>
              </w:rPr>
            </w:pPr>
          </w:p>
        </w:tc>
      </w:tr>
      <w:tr w:rsidR="00923D1D" w:rsidRPr="00A71DA6" w14:paraId="675F1AAC" w14:textId="77777777" w:rsidTr="00D75D51">
        <w:trPr>
          <w:jc w:val="center"/>
        </w:trPr>
        <w:tc>
          <w:tcPr>
            <w:tcW w:w="1417" w:type="dxa"/>
            <w:vMerge w:val="restart"/>
            <w:hideMark/>
          </w:tcPr>
          <w:p w14:paraId="1003CFBB" w14:textId="77777777" w:rsidR="00923D1D" w:rsidRPr="00A71DA6" w:rsidRDefault="00923D1D" w:rsidP="00AD5A06">
            <w:pPr>
              <w:spacing w:before="0" w:after="0" w:line="260" w:lineRule="atLeast"/>
              <w:rPr>
                <w:b/>
                <w:bCs/>
                <w:sz w:val="18"/>
              </w:rPr>
            </w:pPr>
            <w:r w:rsidRPr="00A71DA6">
              <w:rPr>
                <w:b/>
                <w:bCs/>
                <w:sz w:val="18"/>
              </w:rPr>
              <w:lastRenderedPageBreak/>
              <w:t>Nazeri et al 2020b</w:t>
            </w:r>
          </w:p>
        </w:tc>
        <w:tc>
          <w:tcPr>
            <w:tcW w:w="2353" w:type="dxa"/>
            <w:hideMark/>
          </w:tcPr>
          <w:p w14:paraId="7D4501D6" w14:textId="3379C126" w:rsidR="00923D1D" w:rsidRPr="00A71DA6" w:rsidRDefault="00923D1D" w:rsidP="00AD5A06">
            <w:pPr>
              <w:spacing w:before="0" w:after="0" w:line="260" w:lineRule="atLeast"/>
              <w:jc w:val="center"/>
              <w:rPr>
                <w:sz w:val="18"/>
              </w:rPr>
            </w:pPr>
            <w:r w:rsidRPr="00A71DA6">
              <w:rPr>
                <w:sz w:val="18"/>
              </w:rPr>
              <w:t>HIGH -</w:t>
            </w:r>
          </w:p>
        </w:tc>
        <w:tc>
          <w:tcPr>
            <w:tcW w:w="2353" w:type="dxa"/>
            <w:hideMark/>
          </w:tcPr>
          <w:p w14:paraId="5B6464D4" w14:textId="60F39D41" w:rsidR="00923D1D" w:rsidRPr="00A71DA6" w:rsidRDefault="00923D1D" w:rsidP="00AD5A06">
            <w:pPr>
              <w:spacing w:before="0" w:after="0" w:line="260" w:lineRule="atLeast"/>
              <w:jc w:val="center"/>
              <w:rPr>
                <w:sz w:val="18"/>
              </w:rPr>
            </w:pPr>
            <w:r w:rsidRPr="00A71DA6">
              <w:rPr>
                <w:sz w:val="18"/>
              </w:rPr>
              <w:t>HIGH -</w:t>
            </w:r>
          </w:p>
        </w:tc>
        <w:tc>
          <w:tcPr>
            <w:tcW w:w="2353" w:type="dxa"/>
            <w:hideMark/>
          </w:tcPr>
          <w:p w14:paraId="357CFD0C" w14:textId="7CE4A744" w:rsidR="00923D1D" w:rsidRPr="00A71DA6" w:rsidRDefault="00923D1D" w:rsidP="00AD5A06">
            <w:pPr>
              <w:spacing w:before="0" w:after="0" w:line="260" w:lineRule="atLeast"/>
              <w:jc w:val="center"/>
              <w:rPr>
                <w:sz w:val="18"/>
              </w:rPr>
            </w:pPr>
            <w:r w:rsidRPr="00A71DA6">
              <w:rPr>
                <w:sz w:val="18"/>
              </w:rPr>
              <w:t>UNCLEAR -</w:t>
            </w:r>
          </w:p>
        </w:tc>
        <w:tc>
          <w:tcPr>
            <w:tcW w:w="2353" w:type="dxa"/>
            <w:hideMark/>
          </w:tcPr>
          <w:p w14:paraId="17047BA5"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hideMark/>
          </w:tcPr>
          <w:p w14:paraId="22082AF5"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2E64AD75" w14:textId="77777777" w:rsidR="00923D1D" w:rsidRPr="00A71DA6" w:rsidRDefault="00923D1D" w:rsidP="00AD5A06">
            <w:pPr>
              <w:spacing w:before="0" w:after="0" w:line="260" w:lineRule="atLeast"/>
              <w:jc w:val="center"/>
              <w:rPr>
                <w:sz w:val="18"/>
              </w:rPr>
            </w:pPr>
            <w:r w:rsidRPr="00A71DA6">
              <w:rPr>
                <w:sz w:val="18"/>
              </w:rPr>
              <w:t xml:space="preserve">Concerns raised should be considered when interpreting and applying findings, </w:t>
            </w:r>
            <w:proofErr w:type="gramStart"/>
            <w:r w:rsidRPr="00A71DA6">
              <w:rPr>
                <w:sz w:val="18"/>
              </w:rPr>
              <w:t>in particular about</w:t>
            </w:r>
            <w:proofErr w:type="gramEnd"/>
            <w:r w:rsidRPr="00A71DA6">
              <w:rPr>
                <w:sz w:val="18"/>
              </w:rPr>
              <w:t xml:space="preserve"> the comprehensiveness of search methods and lack of clarity around other methods. Review currency should also be examined.</w:t>
            </w:r>
          </w:p>
        </w:tc>
      </w:tr>
      <w:tr w:rsidR="00923D1D" w:rsidRPr="00A71DA6" w14:paraId="1661F6EB" w14:textId="77777777" w:rsidTr="00D75D51">
        <w:trPr>
          <w:jc w:val="center"/>
        </w:trPr>
        <w:tc>
          <w:tcPr>
            <w:tcW w:w="1417" w:type="dxa"/>
            <w:vMerge/>
          </w:tcPr>
          <w:p w14:paraId="468F2907" w14:textId="77777777" w:rsidR="00923D1D" w:rsidRPr="00A71DA6" w:rsidRDefault="00923D1D" w:rsidP="00AD5A06">
            <w:pPr>
              <w:spacing w:before="0" w:after="0" w:line="260" w:lineRule="atLeast"/>
              <w:rPr>
                <w:b/>
                <w:bCs/>
                <w:sz w:val="18"/>
              </w:rPr>
            </w:pPr>
          </w:p>
        </w:tc>
        <w:tc>
          <w:tcPr>
            <w:tcW w:w="2353" w:type="dxa"/>
          </w:tcPr>
          <w:p w14:paraId="7D25C4A3" w14:textId="77777777" w:rsidR="00923D1D" w:rsidRPr="00A71DA6" w:rsidRDefault="00923D1D" w:rsidP="00AD5A06">
            <w:pPr>
              <w:spacing w:before="0" w:after="0" w:line="260" w:lineRule="atLeast"/>
              <w:jc w:val="center"/>
              <w:rPr>
                <w:i/>
                <w:iCs/>
                <w:sz w:val="18"/>
              </w:rPr>
            </w:pPr>
            <w:r w:rsidRPr="00A71DA6">
              <w:rPr>
                <w:i/>
                <w:iCs/>
                <w:sz w:val="18"/>
              </w:rPr>
              <w:t>Non-English studies were excluded.</w:t>
            </w:r>
          </w:p>
        </w:tc>
        <w:tc>
          <w:tcPr>
            <w:tcW w:w="2353" w:type="dxa"/>
          </w:tcPr>
          <w:p w14:paraId="2CF58BEA" w14:textId="77777777" w:rsidR="00923D1D" w:rsidRPr="00A71DA6" w:rsidRDefault="00923D1D" w:rsidP="00AD5A06">
            <w:pPr>
              <w:spacing w:before="0" w:after="0" w:line="260" w:lineRule="atLeast"/>
              <w:jc w:val="center"/>
              <w:rPr>
                <w:i/>
                <w:iCs/>
                <w:sz w:val="18"/>
              </w:rPr>
            </w:pPr>
            <w:r w:rsidRPr="00A71DA6">
              <w:rPr>
                <w:i/>
                <w:iCs/>
                <w:sz w:val="18"/>
              </w:rPr>
              <w:t>The search terms were provided but full details of the search strategy were not reported.</w:t>
            </w:r>
          </w:p>
        </w:tc>
        <w:tc>
          <w:tcPr>
            <w:tcW w:w="2353" w:type="dxa"/>
          </w:tcPr>
          <w:p w14:paraId="63055CA8" w14:textId="77777777" w:rsidR="00923D1D" w:rsidRPr="00A71DA6" w:rsidRDefault="00923D1D" w:rsidP="00AD5A06">
            <w:pPr>
              <w:spacing w:before="0" w:after="0" w:line="260" w:lineRule="atLeast"/>
              <w:jc w:val="center"/>
              <w:rPr>
                <w:i/>
                <w:iCs/>
                <w:sz w:val="18"/>
              </w:rPr>
            </w:pPr>
            <w:r w:rsidRPr="00A71DA6">
              <w:rPr>
                <w:i/>
                <w:iCs/>
                <w:sz w:val="18"/>
              </w:rPr>
              <w:t>The number of reviewers in risk of bias assessment was not reported.</w:t>
            </w:r>
          </w:p>
        </w:tc>
        <w:tc>
          <w:tcPr>
            <w:tcW w:w="2353" w:type="dxa"/>
          </w:tcPr>
          <w:p w14:paraId="5FC09243"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79B8107E"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255DB127" w14:textId="77777777" w:rsidR="00923D1D" w:rsidRPr="00A71DA6" w:rsidRDefault="00923D1D" w:rsidP="00AD5A06">
            <w:pPr>
              <w:spacing w:before="0" w:after="0" w:line="260" w:lineRule="atLeast"/>
              <w:jc w:val="center"/>
              <w:rPr>
                <w:sz w:val="18"/>
              </w:rPr>
            </w:pPr>
          </w:p>
        </w:tc>
      </w:tr>
      <w:tr w:rsidR="00923D1D" w:rsidRPr="00A71DA6" w14:paraId="4F56E284" w14:textId="77777777" w:rsidTr="00D75D51">
        <w:trPr>
          <w:jc w:val="center"/>
        </w:trPr>
        <w:tc>
          <w:tcPr>
            <w:tcW w:w="1417" w:type="dxa"/>
            <w:vMerge w:val="restart"/>
            <w:hideMark/>
          </w:tcPr>
          <w:p w14:paraId="474A4F5E" w14:textId="77777777" w:rsidR="00923D1D" w:rsidRPr="00A71DA6" w:rsidRDefault="00923D1D" w:rsidP="00AD5A06">
            <w:pPr>
              <w:spacing w:before="0" w:after="0" w:line="260" w:lineRule="atLeast"/>
              <w:rPr>
                <w:b/>
                <w:bCs/>
                <w:sz w:val="18"/>
              </w:rPr>
            </w:pPr>
            <w:r w:rsidRPr="00A71DA6">
              <w:rPr>
                <w:b/>
                <w:bCs/>
                <w:sz w:val="18"/>
              </w:rPr>
              <w:t>Nazeri et al 2021</w:t>
            </w:r>
          </w:p>
        </w:tc>
        <w:tc>
          <w:tcPr>
            <w:tcW w:w="2353" w:type="dxa"/>
          </w:tcPr>
          <w:p w14:paraId="08D39342" w14:textId="6AF1E80B" w:rsidR="00923D1D" w:rsidRPr="00A71DA6" w:rsidRDefault="00923D1D" w:rsidP="00AD5A06">
            <w:pPr>
              <w:spacing w:before="0" w:after="0" w:line="260" w:lineRule="atLeast"/>
              <w:jc w:val="center"/>
              <w:rPr>
                <w:sz w:val="18"/>
              </w:rPr>
            </w:pPr>
            <w:r w:rsidRPr="00A71DA6">
              <w:rPr>
                <w:sz w:val="18"/>
              </w:rPr>
              <w:t>HIGH</w:t>
            </w:r>
          </w:p>
        </w:tc>
        <w:tc>
          <w:tcPr>
            <w:tcW w:w="2353" w:type="dxa"/>
          </w:tcPr>
          <w:p w14:paraId="37C4F0BE" w14:textId="5D5FD013" w:rsidR="00923D1D" w:rsidRPr="00A71DA6" w:rsidRDefault="00923D1D" w:rsidP="00AD5A06">
            <w:pPr>
              <w:spacing w:before="0" w:after="0" w:line="260" w:lineRule="atLeast"/>
              <w:jc w:val="center"/>
              <w:rPr>
                <w:sz w:val="18"/>
              </w:rPr>
            </w:pPr>
            <w:r w:rsidRPr="00A71DA6">
              <w:rPr>
                <w:sz w:val="18"/>
              </w:rPr>
              <w:t>HIGH</w:t>
            </w:r>
          </w:p>
        </w:tc>
        <w:tc>
          <w:tcPr>
            <w:tcW w:w="2353" w:type="dxa"/>
          </w:tcPr>
          <w:p w14:paraId="1954717B" w14:textId="3FBE6043" w:rsidR="00923D1D" w:rsidRPr="00A71DA6" w:rsidRDefault="00923D1D" w:rsidP="00AD5A06">
            <w:pPr>
              <w:spacing w:before="0" w:after="0" w:line="260" w:lineRule="atLeast"/>
              <w:jc w:val="center"/>
              <w:rPr>
                <w:sz w:val="18"/>
              </w:rPr>
            </w:pPr>
            <w:r w:rsidRPr="00A71DA6">
              <w:rPr>
                <w:sz w:val="18"/>
              </w:rPr>
              <w:t>UNCLEAR</w:t>
            </w:r>
          </w:p>
        </w:tc>
        <w:tc>
          <w:tcPr>
            <w:tcW w:w="2353" w:type="dxa"/>
          </w:tcPr>
          <w:p w14:paraId="579247F6" w14:textId="77777777" w:rsidR="00923D1D" w:rsidRPr="00A71DA6" w:rsidRDefault="00923D1D" w:rsidP="00AD5A06">
            <w:pPr>
              <w:spacing w:before="0" w:after="0" w:line="260" w:lineRule="atLeast"/>
              <w:jc w:val="center"/>
              <w:rPr>
                <w:sz w:val="18"/>
              </w:rPr>
            </w:pPr>
            <w:r w:rsidRPr="00A71DA6">
              <w:rPr>
                <w:sz w:val="18"/>
              </w:rPr>
              <w:t>HIGH</w:t>
            </w:r>
          </w:p>
        </w:tc>
        <w:tc>
          <w:tcPr>
            <w:tcW w:w="1215" w:type="dxa"/>
            <w:vMerge w:val="restart"/>
            <w:vAlign w:val="center"/>
          </w:tcPr>
          <w:p w14:paraId="21DF7EC3"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160EC2E1" w14:textId="057FD1BF"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 in particular methodological concerns as detail of the search strategy is unavailable and there is lack of clarity around risk of bias assessment and high heterogeneity.</w:t>
            </w:r>
          </w:p>
        </w:tc>
      </w:tr>
      <w:tr w:rsidR="00923D1D" w:rsidRPr="00A71DA6" w14:paraId="1126034C" w14:textId="77777777" w:rsidTr="00D75D51">
        <w:trPr>
          <w:jc w:val="center"/>
        </w:trPr>
        <w:tc>
          <w:tcPr>
            <w:tcW w:w="1417" w:type="dxa"/>
            <w:vMerge/>
          </w:tcPr>
          <w:p w14:paraId="533CC54F" w14:textId="77777777" w:rsidR="00923D1D" w:rsidRPr="00A71DA6" w:rsidRDefault="00923D1D" w:rsidP="00AD5A06">
            <w:pPr>
              <w:spacing w:before="0" w:after="0" w:line="260" w:lineRule="atLeast"/>
              <w:rPr>
                <w:b/>
                <w:bCs/>
                <w:sz w:val="18"/>
              </w:rPr>
            </w:pPr>
          </w:p>
        </w:tc>
        <w:tc>
          <w:tcPr>
            <w:tcW w:w="2353" w:type="dxa"/>
          </w:tcPr>
          <w:p w14:paraId="5D6A3BFE" w14:textId="77777777" w:rsidR="00923D1D" w:rsidRPr="00A71DA6" w:rsidRDefault="00923D1D" w:rsidP="00AD5A06">
            <w:pPr>
              <w:spacing w:before="0" w:after="0" w:line="260" w:lineRule="atLeast"/>
              <w:jc w:val="center"/>
              <w:rPr>
                <w:i/>
                <w:iCs/>
                <w:sz w:val="18"/>
              </w:rPr>
            </w:pPr>
            <w:r w:rsidRPr="00A71DA6">
              <w:rPr>
                <w:i/>
                <w:iCs/>
                <w:sz w:val="18"/>
              </w:rPr>
              <w:t>English language only</w:t>
            </w:r>
          </w:p>
        </w:tc>
        <w:tc>
          <w:tcPr>
            <w:tcW w:w="2353" w:type="dxa"/>
          </w:tcPr>
          <w:p w14:paraId="4F8C6660" w14:textId="139E32FA" w:rsidR="00923D1D" w:rsidRPr="00A71DA6" w:rsidRDefault="00923D1D" w:rsidP="00AD5A06">
            <w:pPr>
              <w:spacing w:before="0" w:after="0" w:line="260" w:lineRule="atLeast"/>
              <w:jc w:val="center"/>
              <w:rPr>
                <w:i/>
                <w:iCs/>
                <w:sz w:val="18"/>
              </w:rPr>
            </w:pPr>
            <w:r w:rsidRPr="00A71DA6">
              <w:rPr>
                <w:i/>
                <w:iCs/>
                <w:sz w:val="18"/>
              </w:rPr>
              <w:t>Databases included MEDLINE/PubMed, Web of Science, Cochrane Library, Scopus and Google and Google Scholar. Embase was not mentioned.  The authors stated that search strategies were available in supplements, but these did not appear to be accessible.</w:t>
            </w:r>
          </w:p>
        </w:tc>
        <w:tc>
          <w:tcPr>
            <w:tcW w:w="2353" w:type="dxa"/>
          </w:tcPr>
          <w:p w14:paraId="58404851" w14:textId="77777777" w:rsidR="00923D1D" w:rsidRPr="00A71DA6" w:rsidRDefault="00923D1D" w:rsidP="00AD5A06">
            <w:pPr>
              <w:spacing w:before="0" w:after="0" w:line="260" w:lineRule="atLeast"/>
              <w:jc w:val="center"/>
              <w:rPr>
                <w:i/>
                <w:iCs/>
                <w:sz w:val="18"/>
              </w:rPr>
            </w:pPr>
            <w:r w:rsidRPr="00A71DA6">
              <w:rPr>
                <w:i/>
                <w:iCs/>
                <w:sz w:val="18"/>
              </w:rPr>
              <w:t>Two investigators extracted the trial data. Any disagreements were resolved through discussion or consultation with a third investigator. The number of reviewers involved in risk of bias assessment was not mentioned.</w:t>
            </w:r>
          </w:p>
        </w:tc>
        <w:tc>
          <w:tcPr>
            <w:tcW w:w="2353" w:type="dxa"/>
          </w:tcPr>
          <w:p w14:paraId="3523244B" w14:textId="77777777" w:rsidR="00923D1D" w:rsidRPr="00A71DA6" w:rsidRDefault="00923D1D" w:rsidP="00AD5A06">
            <w:pPr>
              <w:spacing w:before="0" w:after="0" w:line="260" w:lineRule="atLeast"/>
              <w:jc w:val="center"/>
              <w:rPr>
                <w:i/>
                <w:iCs/>
                <w:sz w:val="18"/>
              </w:rPr>
            </w:pPr>
            <w:r w:rsidRPr="00A71DA6">
              <w:rPr>
                <w:i/>
                <w:iCs/>
                <w:sz w:val="18"/>
              </w:rPr>
              <w:t>There was high heterogeneity which could not be investigated further due to low numbers of studies in the analyses.</w:t>
            </w:r>
          </w:p>
        </w:tc>
        <w:tc>
          <w:tcPr>
            <w:tcW w:w="1215" w:type="dxa"/>
            <w:vMerge/>
            <w:vAlign w:val="center"/>
          </w:tcPr>
          <w:p w14:paraId="2034150F"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0918A2B1" w14:textId="77777777" w:rsidR="00923D1D" w:rsidRPr="00A71DA6" w:rsidRDefault="00923D1D" w:rsidP="00AD5A06">
            <w:pPr>
              <w:spacing w:before="0" w:after="0" w:line="260" w:lineRule="atLeast"/>
              <w:jc w:val="center"/>
              <w:rPr>
                <w:sz w:val="18"/>
              </w:rPr>
            </w:pPr>
          </w:p>
        </w:tc>
      </w:tr>
      <w:tr w:rsidR="00923D1D" w:rsidRPr="00A71DA6" w14:paraId="296CE3F6" w14:textId="77777777" w:rsidTr="00D75D51">
        <w:trPr>
          <w:jc w:val="center"/>
        </w:trPr>
        <w:tc>
          <w:tcPr>
            <w:tcW w:w="1417" w:type="dxa"/>
            <w:vMerge w:val="restart"/>
            <w:hideMark/>
          </w:tcPr>
          <w:p w14:paraId="7A59276A" w14:textId="77777777" w:rsidR="00923D1D" w:rsidRPr="00A71DA6" w:rsidRDefault="00923D1D" w:rsidP="00AD5A06">
            <w:pPr>
              <w:spacing w:before="0" w:after="0" w:line="260" w:lineRule="atLeast"/>
              <w:rPr>
                <w:b/>
                <w:bCs/>
                <w:sz w:val="18"/>
              </w:rPr>
            </w:pPr>
            <w:r w:rsidRPr="00A71DA6">
              <w:rPr>
                <w:b/>
                <w:bCs/>
                <w:sz w:val="18"/>
              </w:rPr>
              <w:t>Nazeri et al 2024</w:t>
            </w:r>
          </w:p>
        </w:tc>
        <w:tc>
          <w:tcPr>
            <w:tcW w:w="2353" w:type="dxa"/>
          </w:tcPr>
          <w:p w14:paraId="4949FF2C" w14:textId="77777777" w:rsidR="00923D1D" w:rsidRPr="00A71DA6" w:rsidRDefault="00923D1D" w:rsidP="00AD5A06">
            <w:pPr>
              <w:spacing w:before="0" w:after="0" w:line="260" w:lineRule="atLeast"/>
              <w:jc w:val="center"/>
              <w:rPr>
                <w:sz w:val="18"/>
              </w:rPr>
            </w:pPr>
            <w:r w:rsidRPr="00A71DA6">
              <w:rPr>
                <w:sz w:val="18"/>
              </w:rPr>
              <w:t>LOW</w:t>
            </w:r>
          </w:p>
        </w:tc>
        <w:tc>
          <w:tcPr>
            <w:tcW w:w="2353" w:type="dxa"/>
          </w:tcPr>
          <w:p w14:paraId="36CF29F4"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tcPr>
          <w:p w14:paraId="44894FDB"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tcPr>
          <w:p w14:paraId="62C952B5"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tcPr>
          <w:p w14:paraId="6076D4E6"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UNCLEAR</w:t>
            </w:r>
          </w:p>
        </w:tc>
        <w:tc>
          <w:tcPr>
            <w:tcW w:w="3260" w:type="dxa"/>
            <w:vMerge w:val="restart"/>
            <w:hideMark/>
          </w:tcPr>
          <w:p w14:paraId="49D27204" w14:textId="77777777" w:rsidR="00923D1D" w:rsidRPr="00A71DA6" w:rsidRDefault="00923D1D" w:rsidP="00364F46">
            <w:pPr>
              <w:spacing w:before="0" w:after="240" w:line="260" w:lineRule="atLeast"/>
              <w:jc w:val="center"/>
              <w:rPr>
                <w:sz w:val="18"/>
              </w:rPr>
            </w:pPr>
            <w:r w:rsidRPr="00A71DA6">
              <w:rPr>
                <w:sz w:val="18"/>
              </w:rPr>
              <w:t xml:space="preserve">Review appears </w:t>
            </w:r>
            <w:proofErr w:type="gramStart"/>
            <w:r w:rsidRPr="00A71DA6">
              <w:rPr>
                <w:sz w:val="18"/>
              </w:rPr>
              <w:t>fairly comprehensive</w:t>
            </w:r>
            <w:proofErr w:type="gramEnd"/>
            <w:r w:rsidRPr="00A71DA6">
              <w:rPr>
                <w:sz w:val="18"/>
              </w:rPr>
              <w:t>, although consideration should be given to highlighted limitations when interpreting and applying findings.</w:t>
            </w:r>
          </w:p>
        </w:tc>
      </w:tr>
      <w:tr w:rsidR="00923D1D" w:rsidRPr="00A71DA6" w14:paraId="52981C99" w14:textId="77777777" w:rsidTr="00D75D51">
        <w:trPr>
          <w:jc w:val="center"/>
        </w:trPr>
        <w:tc>
          <w:tcPr>
            <w:tcW w:w="1417" w:type="dxa"/>
            <w:vMerge/>
          </w:tcPr>
          <w:p w14:paraId="51722C68" w14:textId="77777777" w:rsidR="00923D1D" w:rsidRPr="00A71DA6" w:rsidRDefault="00923D1D" w:rsidP="00AD5A06">
            <w:pPr>
              <w:spacing w:before="0" w:after="0" w:line="260" w:lineRule="atLeast"/>
              <w:rPr>
                <w:b/>
                <w:bCs/>
                <w:sz w:val="18"/>
              </w:rPr>
            </w:pPr>
          </w:p>
        </w:tc>
        <w:tc>
          <w:tcPr>
            <w:tcW w:w="2353" w:type="dxa"/>
          </w:tcPr>
          <w:p w14:paraId="241E7C08"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4089081D" w14:textId="77777777" w:rsidR="00923D1D" w:rsidRPr="00A71DA6" w:rsidRDefault="00923D1D" w:rsidP="00AD5A06">
            <w:pPr>
              <w:spacing w:before="0" w:after="0" w:line="260" w:lineRule="atLeast"/>
              <w:jc w:val="center"/>
              <w:rPr>
                <w:i/>
                <w:iCs/>
                <w:sz w:val="18"/>
              </w:rPr>
            </w:pPr>
            <w:r w:rsidRPr="00A71DA6">
              <w:rPr>
                <w:i/>
                <w:iCs/>
                <w:sz w:val="18"/>
              </w:rPr>
              <w:t>Full search strategies not provided</w:t>
            </w:r>
          </w:p>
        </w:tc>
        <w:tc>
          <w:tcPr>
            <w:tcW w:w="2353" w:type="dxa"/>
          </w:tcPr>
          <w:p w14:paraId="094D069F" w14:textId="77777777" w:rsidR="00923D1D" w:rsidRDefault="00923D1D" w:rsidP="00AD5A06">
            <w:pPr>
              <w:spacing w:before="0" w:after="0" w:line="260" w:lineRule="atLeast"/>
              <w:jc w:val="center"/>
              <w:rPr>
                <w:i/>
                <w:iCs/>
                <w:sz w:val="18"/>
              </w:rPr>
            </w:pPr>
            <w:r w:rsidRPr="00A71DA6">
              <w:rPr>
                <w:i/>
                <w:iCs/>
                <w:sz w:val="18"/>
              </w:rPr>
              <w:t>The number of reviewers involved in risk of bias assessment was not mentioned.</w:t>
            </w:r>
          </w:p>
          <w:p w14:paraId="0B5A93A9" w14:textId="77777777" w:rsidR="00BE2F23" w:rsidRDefault="00BE2F23" w:rsidP="00AD5A06">
            <w:pPr>
              <w:spacing w:before="0" w:after="0" w:line="260" w:lineRule="atLeast"/>
              <w:jc w:val="center"/>
              <w:rPr>
                <w:i/>
                <w:iCs/>
                <w:sz w:val="18"/>
              </w:rPr>
            </w:pPr>
          </w:p>
          <w:p w14:paraId="113964B0" w14:textId="77777777" w:rsidR="00BE2F23" w:rsidRDefault="00BE2F23" w:rsidP="00AD5A06">
            <w:pPr>
              <w:spacing w:before="0" w:after="0" w:line="260" w:lineRule="atLeast"/>
              <w:jc w:val="center"/>
              <w:rPr>
                <w:i/>
                <w:iCs/>
                <w:sz w:val="18"/>
              </w:rPr>
            </w:pPr>
          </w:p>
          <w:p w14:paraId="4899416F" w14:textId="77777777" w:rsidR="00BE2F23" w:rsidRDefault="00BE2F23" w:rsidP="00AD5A06">
            <w:pPr>
              <w:spacing w:before="0" w:after="0" w:line="260" w:lineRule="atLeast"/>
              <w:jc w:val="center"/>
              <w:rPr>
                <w:i/>
                <w:iCs/>
                <w:sz w:val="18"/>
              </w:rPr>
            </w:pPr>
          </w:p>
          <w:p w14:paraId="7B201F4E" w14:textId="77777777" w:rsidR="00BE2F23" w:rsidRDefault="00BE2F23" w:rsidP="00AD5A06">
            <w:pPr>
              <w:spacing w:before="0" w:after="0" w:line="260" w:lineRule="atLeast"/>
              <w:jc w:val="center"/>
              <w:rPr>
                <w:i/>
                <w:iCs/>
                <w:sz w:val="18"/>
              </w:rPr>
            </w:pPr>
          </w:p>
          <w:p w14:paraId="640905C4" w14:textId="77777777" w:rsidR="00BE2F23" w:rsidRPr="00A71DA6" w:rsidRDefault="00BE2F23" w:rsidP="00AD5A06">
            <w:pPr>
              <w:spacing w:before="0" w:after="0" w:line="260" w:lineRule="atLeast"/>
              <w:jc w:val="center"/>
              <w:rPr>
                <w:i/>
                <w:iCs/>
                <w:sz w:val="18"/>
              </w:rPr>
            </w:pPr>
          </w:p>
        </w:tc>
        <w:tc>
          <w:tcPr>
            <w:tcW w:w="2353" w:type="dxa"/>
          </w:tcPr>
          <w:p w14:paraId="492F2A1C"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316F6251"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191B97B8" w14:textId="77777777" w:rsidR="00923D1D" w:rsidRPr="00A71DA6" w:rsidRDefault="00923D1D" w:rsidP="00AD5A06">
            <w:pPr>
              <w:spacing w:before="0" w:after="0" w:line="260" w:lineRule="atLeast"/>
              <w:jc w:val="center"/>
              <w:rPr>
                <w:sz w:val="18"/>
              </w:rPr>
            </w:pPr>
          </w:p>
        </w:tc>
      </w:tr>
      <w:tr w:rsidR="00923D1D" w:rsidRPr="00A71DA6" w14:paraId="65B6E415" w14:textId="77777777" w:rsidTr="00D75D51">
        <w:trPr>
          <w:trHeight w:val="233"/>
          <w:jc w:val="center"/>
        </w:trPr>
        <w:tc>
          <w:tcPr>
            <w:tcW w:w="1417" w:type="dxa"/>
            <w:vMerge w:val="restart"/>
            <w:hideMark/>
          </w:tcPr>
          <w:p w14:paraId="308E009C" w14:textId="77777777" w:rsidR="00923D1D" w:rsidRPr="00A71DA6" w:rsidRDefault="00923D1D" w:rsidP="00AD5A06">
            <w:pPr>
              <w:spacing w:before="0" w:after="0" w:line="260" w:lineRule="atLeast"/>
              <w:rPr>
                <w:b/>
                <w:bCs/>
                <w:sz w:val="18"/>
              </w:rPr>
            </w:pPr>
            <w:proofErr w:type="spellStart"/>
            <w:r w:rsidRPr="00A71DA6">
              <w:rPr>
                <w:b/>
                <w:bCs/>
                <w:sz w:val="18"/>
              </w:rPr>
              <w:lastRenderedPageBreak/>
              <w:t>Wassie</w:t>
            </w:r>
            <w:proofErr w:type="spellEnd"/>
            <w:r w:rsidRPr="00A71DA6">
              <w:rPr>
                <w:b/>
                <w:bCs/>
                <w:sz w:val="18"/>
              </w:rPr>
              <w:t xml:space="preserve"> et al 2022</w:t>
            </w:r>
          </w:p>
        </w:tc>
        <w:tc>
          <w:tcPr>
            <w:tcW w:w="2353" w:type="dxa"/>
            <w:hideMark/>
          </w:tcPr>
          <w:p w14:paraId="52BA3125"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4BFC356D"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259A8066" w14:textId="77777777"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333C8ED0"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hideMark/>
          </w:tcPr>
          <w:p w14:paraId="353F9F86"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64D7A8FA" w14:textId="77777777"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 Although the fundamental methodology appears sound, accurate study selection and data extraction cannot be assured as duplicate screening and data extraction have not been performed.</w:t>
            </w:r>
          </w:p>
          <w:p w14:paraId="407A5BBB" w14:textId="77777777" w:rsidR="00923D1D" w:rsidRPr="00A71DA6" w:rsidRDefault="00923D1D" w:rsidP="00AD5A06">
            <w:pPr>
              <w:spacing w:before="0" w:after="0" w:line="260" w:lineRule="atLeast"/>
              <w:jc w:val="center"/>
              <w:rPr>
                <w:sz w:val="18"/>
              </w:rPr>
            </w:pPr>
          </w:p>
          <w:p w14:paraId="311DF7C4" w14:textId="77777777" w:rsidR="00923D1D" w:rsidRPr="00A71DA6" w:rsidRDefault="00923D1D" w:rsidP="00AD5A06">
            <w:pPr>
              <w:spacing w:before="0" w:after="0" w:line="260" w:lineRule="atLeast"/>
              <w:jc w:val="center"/>
              <w:rPr>
                <w:sz w:val="18"/>
              </w:rPr>
            </w:pPr>
          </w:p>
        </w:tc>
      </w:tr>
      <w:tr w:rsidR="00923D1D" w:rsidRPr="00A71DA6" w14:paraId="2B8B5468" w14:textId="77777777" w:rsidTr="00D75D51">
        <w:trPr>
          <w:jc w:val="center"/>
        </w:trPr>
        <w:tc>
          <w:tcPr>
            <w:tcW w:w="1417" w:type="dxa"/>
            <w:vMerge/>
          </w:tcPr>
          <w:p w14:paraId="3458D737" w14:textId="77777777" w:rsidR="00923D1D" w:rsidRPr="00A71DA6" w:rsidRDefault="00923D1D" w:rsidP="00AD5A06">
            <w:pPr>
              <w:spacing w:before="0" w:after="0" w:line="260" w:lineRule="atLeast"/>
              <w:rPr>
                <w:b/>
                <w:bCs/>
                <w:sz w:val="18"/>
              </w:rPr>
            </w:pPr>
          </w:p>
        </w:tc>
        <w:tc>
          <w:tcPr>
            <w:tcW w:w="2353" w:type="dxa"/>
          </w:tcPr>
          <w:p w14:paraId="4F452DCC"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2BFADCA1" w14:textId="77777777" w:rsidR="00923D1D" w:rsidRPr="00A71DA6" w:rsidRDefault="00923D1D" w:rsidP="00AD5A06">
            <w:pPr>
              <w:spacing w:before="0" w:after="0" w:line="260" w:lineRule="atLeast"/>
              <w:jc w:val="center"/>
              <w:rPr>
                <w:i/>
                <w:iCs/>
                <w:sz w:val="18"/>
              </w:rPr>
            </w:pPr>
            <w:r w:rsidRPr="00A71DA6">
              <w:rPr>
                <w:i/>
                <w:iCs/>
                <w:sz w:val="18"/>
              </w:rPr>
              <w:t>The search strategy was adequate. However, it was limited to English language articles. Only one author was involved in screening the titles and abstracts.</w:t>
            </w:r>
          </w:p>
        </w:tc>
        <w:tc>
          <w:tcPr>
            <w:tcW w:w="2353" w:type="dxa"/>
          </w:tcPr>
          <w:p w14:paraId="51EEC715" w14:textId="77777777" w:rsidR="00923D1D" w:rsidRPr="00A71DA6" w:rsidRDefault="00923D1D" w:rsidP="00AD5A06">
            <w:pPr>
              <w:spacing w:before="0" w:after="0" w:line="260" w:lineRule="atLeast"/>
              <w:jc w:val="center"/>
              <w:rPr>
                <w:i/>
                <w:iCs/>
                <w:sz w:val="18"/>
              </w:rPr>
            </w:pPr>
            <w:r w:rsidRPr="00A71DA6">
              <w:rPr>
                <w:i/>
                <w:iCs/>
                <w:sz w:val="18"/>
              </w:rPr>
              <w:t>One reviewer was involved in the data extraction process. The number of reviewers involved in risk of bias assessment was not reported.</w:t>
            </w:r>
          </w:p>
        </w:tc>
        <w:tc>
          <w:tcPr>
            <w:tcW w:w="2353" w:type="dxa"/>
          </w:tcPr>
          <w:p w14:paraId="50584C1E"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666CEC6B"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7BB6B6AF" w14:textId="77777777" w:rsidR="00923D1D" w:rsidRPr="00A71DA6" w:rsidRDefault="00923D1D" w:rsidP="00AD5A06">
            <w:pPr>
              <w:spacing w:before="0" w:after="0" w:line="260" w:lineRule="atLeast"/>
              <w:jc w:val="center"/>
              <w:rPr>
                <w:sz w:val="18"/>
              </w:rPr>
            </w:pPr>
          </w:p>
        </w:tc>
      </w:tr>
      <w:tr w:rsidR="00923D1D" w:rsidRPr="00A71DA6" w14:paraId="708F3C08" w14:textId="77777777" w:rsidTr="00D75D51">
        <w:trPr>
          <w:jc w:val="center"/>
        </w:trPr>
        <w:tc>
          <w:tcPr>
            <w:tcW w:w="1417" w:type="dxa"/>
            <w:vMerge w:val="restart"/>
          </w:tcPr>
          <w:p w14:paraId="1B31E4F0" w14:textId="77777777" w:rsidR="00923D1D" w:rsidRPr="00A71DA6" w:rsidRDefault="00923D1D" w:rsidP="00AD5A06">
            <w:pPr>
              <w:spacing w:before="0" w:after="0" w:line="260" w:lineRule="atLeast"/>
              <w:rPr>
                <w:b/>
                <w:bCs/>
                <w:sz w:val="18"/>
              </w:rPr>
            </w:pPr>
            <w:r w:rsidRPr="00A71DA6">
              <w:rPr>
                <w:b/>
                <w:bCs/>
                <w:sz w:val="18"/>
              </w:rPr>
              <w:t>Weng et al 2017</w:t>
            </w:r>
          </w:p>
        </w:tc>
        <w:tc>
          <w:tcPr>
            <w:tcW w:w="2353" w:type="dxa"/>
          </w:tcPr>
          <w:p w14:paraId="642885C8" w14:textId="77777777" w:rsidR="00923D1D" w:rsidRPr="00A71DA6" w:rsidRDefault="00923D1D" w:rsidP="00AD5A06">
            <w:pPr>
              <w:spacing w:before="0" w:after="0" w:line="260" w:lineRule="atLeast"/>
              <w:jc w:val="center"/>
              <w:rPr>
                <w:sz w:val="18"/>
              </w:rPr>
            </w:pPr>
            <w:r w:rsidRPr="00A71DA6">
              <w:rPr>
                <w:sz w:val="18"/>
              </w:rPr>
              <w:t>LOW</w:t>
            </w:r>
          </w:p>
        </w:tc>
        <w:tc>
          <w:tcPr>
            <w:tcW w:w="2353" w:type="dxa"/>
          </w:tcPr>
          <w:p w14:paraId="01A12526"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tcPr>
          <w:p w14:paraId="1E1ACDF7" w14:textId="77777777" w:rsidR="00923D1D" w:rsidRPr="00A71DA6" w:rsidRDefault="00923D1D" w:rsidP="00AD5A06">
            <w:pPr>
              <w:spacing w:before="0" w:after="0" w:line="260" w:lineRule="atLeast"/>
              <w:jc w:val="center"/>
              <w:rPr>
                <w:sz w:val="18"/>
              </w:rPr>
            </w:pPr>
            <w:r w:rsidRPr="00A71DA6">
              <w:rPr>
                <w:sz w:val="18"/>
              </w:rPr>
              <w:t>HIGH</w:t>
            </w:r>
          </w:p>
        </w:tc>
        <w:tc>
          <w:tcPr>
            <w:tcW w:w="2353" w:type="dxa"/>
          </w:tcPr>
          <w:p w14:paraId="055C4830" w14:textId="77777777" w:rsidR="00923D1D" w:rsidRPr="00A71DA6" w:rsidRDefault="00923D1D" w:rsidP="00AD5A06">
            <w:pPr>
              <w:spacing w:before="0" w:after="0" w:line="260" w:lineRule="atLeast"/>
              <w:jc w:val="center"/>
              <w:rPr>
                <w:sz w:val="18"/>
              </w:rPr>
            </w:pPr>
            <w:r w:rsidRPr="00A71DA6">
              <w:rPr>
                <w:sz w:val="18"/>
              </w:rPr>
              <w:t>HIGH</w:t>
            </w:r>
          </w:p>
        </w:tc>
        <w:tc>
          <w:tcPr>
            <w:tcW w:w="1215" w:type="dxa"/>
            <w:vMerge w:val="restart"/>
            <w:vAlign w:val="center"/>
          </w:tcPr>
          <w:p w14:paraId="404A150B"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tcPr>
          <w:p w14:paraId="751620A5" w14:textId="37166934"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w:t>
            </w:r>
          </w:p>
          <w:p w14:paraId="6CEF53C6" w14:textId="77777777" w:rsidR="00923D1D" w:rsidRPr="00A71DA6" w:rsidRDefault="00923D1D" w:rsidP="00AD5A06">
            <w:pPr>
              <w:spacing w:before="0" w:after="0" w:line="260" w:lineRule="atLeast"/>
              <w:jc w:val="center"/>
              <w:rPr>
                <w:sz w:val="18"/>
              </w:rPr>
            </w:pPr>
          </w:p>
          <w:p w14:paraId="346DBA42" w14:textId="77777777" w:rsidR="00923D1D" w:rsidRPr="00A71DA6" w:rsidRDefault="00923D1D" w:rsidP="00AD5A06">
            <w:pPr>
              <w:spacing w:before="0" w:after="0" w:line="260" w:lineRule="atLeast"/>
              <w:jc w:val="center"/>
              <w:rPr>
                <w:sz w:val="18"/>
              </w:rPr>
            </w:pPr>
            <w:proofErr w:type="gramStart"/>
            <w:r w:rsidRPr="00A71DA6">
              <w:rPr>
                <w:sz w:val="18"/>
              </w:rPr>
              <w:t>In particular, risk</w:t>
            </w:r>
            <w:proofErr w:type="gramEnd"/>
            <w:r w:rsidRPr="00A71DA6">
              <w:rPr>
                <w:sz w:val="18"/>
              </w:rPr>
              <w:t xml:space="preserve"> of bias assessments and determinations about bias in the evidence base should not be relied upon given use of an inappropriate tool. Currency of findings (searches 2016) should also be considered.</w:t>
            </w:r>
          </w:p>
        </w:tc>
      </w:tr>
      <w:tr w:rsidR="00923D1D" w:rsidRPr="00A71DA6" w14:paraId="15CE6329" w14:textId="77777777" w:rsidTr="00D75D51">
        <w:trPr>
          <w:jc w:val="center"/>
        </w:trPr>
        <w:tc>
          <w:tcPr>
            <w:tcW w:w="1417" w:type="dxa"/>
            <w:vMerge/>
          </w:tcPr>
          <w:p w14:paraId="41FEF8BD" w14:textId="77777777" w:rsidR="00923D1D" w:rsidRPr="00A71DA6" w:rsidRDefault="00923D1D" w:rsidP="00AD5A06">
            <w:pPr>
              <w:spacing w:before="0" w:after="0" w:line="260" w:lineRule="atLeast"/>
              <w:rPr>
                <w:b/>
                <w:bCs/>
                <w:sz w:val="18"/>
              </w:rPr>
            </w:pPr>
          </w:p>
        </w:tc>
        <w:tc>
          <w:tcPr>
            <w:tcW w:w="2353" w:type="dxa"/>
          </w:tcPr>
          <w:p w14:paraId="6D9951FC"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2DEB1CE5" w14:textId="77777777" w:rsidR="00923D1D" w:rsidRPr="00A71DA6" w:rsidRDefault="00923D1D" w:rsidP="00AD5A06">
            <w:pPr>
              <w:spacing w:before="0" w:after="0" w:line="260" w:lineRule="atLeast"/>
              <w:jc w:val="center"/>
              <w:rPr>
                <w:i/>
                <w:iCs/>
                <w:sz w:val="18"/>
              </w:rPr>
            </w:pPr>
            <w:r w:rsidRPr="00A71DA6">
              <w:rPr>
                <w:i/>
                <w:iCs/>
                <w:sz w:val="18"/>
              </w:rPr>
              <w:t>Some keywords were mentioned, but no full search strategies were presented. Methods additional to database searching were not mentioned.</w:t>
            </w:r>
          </w:p>
        </w:tc>
        <w:tc>
          <w:tcPr>
            <w:tcW w:w="2353" w:type="dxa"/>
          </w:tcPr>
          <w:p w14:paraId="2FC049D8" w14:textId="77777777" w:rsidR="00923D1D" w:rsidRPr="00A71DA6" w:rsidRDefault="00923D1D" w:rsidP="00AD5A06">
            <w:pPr>
              <w:spacing w:before="0" w:after="0" w:line="260" w:lineRule="atLeast"/>
              <w:jc w:val="center"/>
              <w:rPr>
                <w:i/>
                <w:iCs/>
                <w:sz w:val="18"/>
              </w:rPr>
            </w:pPr>
            <w:r w:rsidRPr="00A71DA6">
              <w:rPr>
                <w:i/>
                <w:iCs/>
                <w:sz w:val="18"/>
              </w:rPr>
              <w:t>Inappropriate risk of bias tool applied (QUADAS checklist, for diagnostic accuracy studies)</w:t>
            </w:r>
          </w:p>
        </w:tc>
        <w:tc>
          <w:tcPr>
            <w:tcW w:w="2353" w:type="dxa"/>
          </w:tcPr>
          <w:p w14:paraId="7EDDB656" w14:textId="77777777" w:rsidR="00923D1D" w:rsidRPr="00A71DA6" w:rsidRDefault="00923D1D" w:rsidP="00AD5A06">
            <w:pPr>
              <w:spacing w:before="0" w:after="0" w:line="260" w:lineRule="atLeast"/>
              <w:jc w:val="center"/>
              <w:rPr>
                <w:i/>
                <w:iCs/>
                <w:sz w:val="18"/>
              </w:rPr>
            </w:pPr>
            <w:r w:rsidRPr="00A71DA6">
              <w:rPr>
                <w:i/>
                <w:iCs/>
                <w:sz w:val="18"/>
              </w:rPr>
              <w:t>No analyses investigating heterogeneity were reported.</w:t>
            </w:r>
          </w:p>
        </w:tc>
        <w:tc>
          <w:tcPr>
            <w:tcW w:w="1215" w:type="dxa"/>
            <w:vMerge/>
            <w:vAlign w:val="center"/>
          </w:tcPr>
          <w:p w14:paraId="1AA8FD67"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600E0B25" w14:textId="77777777" w:rsidR="00923D1D" w:rsidRPr="00A71DA6" w:rsidRDefault="00923D1D" w:rsidP="00AD5A06">
            <w:pPr>
              <w:spacing w:before="0" w:after="0" w:line="260" w:lineRule="atLeast"/>
              <w:jc w:val="center"/>
              <w:rPr>
                <w:sz w:val="18"/>
              </w:rPr>
            </w:pPr>
          </w:p>
        </w:tc>
      </w:tr>
      <w:tr w:rsidR="00923D1D" w:rsidRPr="00A71DA6" w14:paraId="11180D23" w14:textId="77777777" w:rsidTr="00D75D51">
        <w:trPr>
          <w:trHeight w:val="227"/>
          <w:jc w:val="center"/>
        </w:trPr>
        <w:tc>
          <w:tcPr>
            <w:tcW w:w="1417" w:type="dxa"/>
            <w:vMerge w:val="restart"/>
            <w:hideMark/>
          </w:tcPr>
          <w:p w14:paraId="29BED1C5" w14:textId="77777777" w:rsidR="00923D1D" w:rsidRPr="00A71DA6" w:rsidRDefault="00923D1D" w:rsidP="00AD5A06">
            <w:pPr>
              <w:spacing w:before="0" w:after="0" w:line="260" w:lineRule="atLeast"/>
              <w:rPr>
                <w:b/>
                <w:bCs/>
                <w:sz w:val="18"/>
              </w:rPr>
            </w:pPr>
            <w:r w:rsidRPr="00A71DA6">
              <w:rPr>
                <w:b/>
                <w:bCs/>
                <w:sz w:val="18"/>
              </w:rPr>
              <w:t>Zhang et al 2022</w:t>
            </w:r>
          </w:p>
        </w:tc>
        <w:tc>
          <w:tcPr>
            <w:tcW w:w="2353" w:type="dxa"/>
            <w:hideMark/>
          </w:tcPr>
          <w:p w14:paraId="18823D0C" w14:textId="71CEB532" w:rsidR="00923D1D" w:rsidRPr="00A71DA6" w:rsidRDefault="00923D1D" w:rsidP="00AD5A06">
            <w:pPr>
              <w:spacing w:before="0" w:after="0" w:line="260" w:lineRule="atLeast"/>
              <w:jc w:val="center"/>
              <w:rPr>
                <w:sz w:val="18"/>
              </w:rPr>
            </w:pPr>
            <w:r w:rsidRPr="00A71DA6">
              <w:rPr>
                <w:sz w:val="18"/>
              </w:rPr>
              <w:t>HIGH</w:t>
            </w:r>
          </w:p>
        </w:tc>
        <w:tc>
          <w:tcPr>
            <w:tcW w:w="2353" w:type="dxa"/>
            <w:hideMark/>
          </w:tcPr>
          <w:p w14:paraId="576CBDF7" w14:textId="77777777" w:rsidR="00923D1D" w:rsidRPr="00A71DA6" w:rsidRDefault="00923D1D" w:rsidP="00AD5A06">
            <w:pPr>
              <w:spacing w:before="0" w:after="0" w:line="260" w:lineRule="atLeast"/>
              <w:jc w:val="center"/>
              <w:rPr>
                <w:sz w:val="18"/>
              </w:rPr>
            </w:pPr>
            <w:r w:rsidRPr="00A71DA6">
              <w:rPr>
                <w:sz w:val="18"/>
              </w:rPr>
              <w:t>UNCLEAR</w:t>
            </w:r>
          </w:p>
        </w:tc>
        <w:tc>
          <w:tcPr>
            <w:tcW w:w="2353" w:type="dxa"/>
            <w:hideMark/>
          </w:tcPr>
          <w:p w14:paraId="01C086F3" w14:textId="77777777" w:rsidR="00923D1D" w:rsidRPr="00A71DA6" w:rsidRDefault="00923D1D" w:rsidP="00AD5A06">
            <w:pPr>
              <w:spacing w:before="0" w:after="0" w:line="260" w:lineRule="atLeast"/>
              <w:jc w:val="center"/>
              <w:rPr>
                <w:sz w:val="18"/>
              </w:rPr>
            </w:pPr>
            <w:r w:rsidRPr="00A71DA6">
              <w:rPr>
                <w:sz w:val="18"/>
              </w:rPr>
              <w:t>LOW</w:t>
            </w:r>
          </w:p>
        </w:tc>
        <w:tc>
          <w:tcPr>
            <w:tcW w:w="2353" w:type="dxa"/>
            <w:hideMark/>
          </w:tcPr>
          <w:p w14:paraId="5205C010" w14:textId="77777777" w:rsidR="00923D1D" w:rsidRPr="00A71DA6" w:rsidRDefault="00923D1D" w:rsidP="00AD5A06">
            <w:pPr>
              <w:spacing w:before="0" w:after="0" w:line="260" w:lineRule="atLeast"/>
              <w:jc w:val="center"/>
              <w:rPr>
                <w:sz w:val="18"/>
              </w:rPr>
            </w:pPr>
            <w:r w:rsidRPr="00A71DA6">
              <w:rPr>
                <w:sz w:val="18"/>
              </w:rPr>
              <w:t>LOW</w:t>
            </w:r>
          </w:p>
        </w:tc>
        <w:tc>
          <w:tcPr>
            <w:tcW w:w="1215" w:type="dxa"/>
            <w:vMerge w:val="restart"/>
            <w:vAlign w:val="center"/>
            <w:hideMark/>
          </w:tcPr>
          <w:p w14:paraId="41A610F6" w14:textId="77777777" w:rsidR="00923D1D" w:rsidRPr="00D75D51" w:rsidRDefault="00923D1D" w:rsidP="00AD5A06">
            <w:pPr>
              <w:spacing w:before="0" w:after="0" w:line="260" w:lineRule="atLeast"/>
              <w:jc w:val="center"/>
              <w:rPr>
                <w:rFonts w:ascii="Gotham Medium" w:hAnsi="Gotham Medium"/>
                <w:sz w:val="18"/>
              </w:rPr>
            </w:pPr>
            <w:r w:rsidRPr="00D75D51">
              <w:rPr>
                <w:rFonts w:ascii="Gotham Medium" w:hAnsi="Gotham Medium"/>
                <w:sz w:val="18"/>
              </w:rPr>
              <w:t>HIGH</w:t>
            </w:r>
          </w:p>
        </w:tc>
        <w:tc>
          <w:tcPr>
            <w:tcW w:w="3260" w:type="dxa"/>
            <w:vMerge w:val="restart"/>
            <w:hideMark/>
          </w:tcPr>
          <w:p w14:paraId="1AE59479" w14:textId="220A400B" w:rsidR="00923D1D" w:rsidRPr="00A71DA6" w:rsidRDefault="00923D1D" w:rsidP="00AD5A06">
            <w:pPr>
              <w:spacing w:before="0" w:after="0" w:line="260" w:lineRule="atLeast"/>
              <w:jc w:val="center"/>
              <w:rPr>
                <w:sz w:val="18"/>
              </w:rPr>
            </w:pPr>
            <w:r w:rsidRPr="00A71DA6">
              <w:rPr>
                <w:sz w:val="18"/>
              </w:rPr>
              <w:t>Concerns raised should be considered when interpreting and applying findings.</w:t>
            </w:r>
          </w:p>
          <w:p w14:paraId="747D9708" w14:textId="7E47A9A7" w:rsidR="00923D1D" w:rsidRPr="00A71DA6" w:rsidRDefault="00923D1D" w:rsidP="00AD5A06">
            <w:pPr>
              <w:spacing w:before="0" w:after="0" w:line="260" w:lineRule="atLeast"/>
              <w:jc w:val="center"/>
              <w:rPr>
                <w:sz w:val="18"/>
              </w:rPr>
            </w:pPr>
            <w:r w:rsidRPr="00A71DA6">
              <w:rPr>
                <w:sz w:val="18"/>
              </w:rPr>
              <w:t>The fundamental methodology appears sound, although there is a lack of clarity regarding the comprehensiveness of the search strategy.</w:t>
            </w:r>
          </w:p>
        </w:tc>
      </w:tr>
      <w:tr w:rsidR="00923D1D" w:rsidRPr="00A71DA6" w14:paraId="25DAA9C0" w14:textId="77777777" w:rsidTr="00D75D51">
        <w:trPr>
          <w:jc w:val="center"/>
        </w:trPr>
        <w:tc>
          <w:tcPr>
            <w:tcW w:w="1417" w:type="dxa"/>
            <w:vMerge/>
          </w:tcPr>
          <w:p w14:paraId="62BCBBAC" w14:textId="77777777" w:rsidR="00923D1D" w:rsidRPr="00A71DA6" w:rsidRDefault="00923D1D" w:rsidP="00AD5A06">
            <w:pPr>
              <w:spacing w:before="0" w:after="0" w:line="260" w:lineRule="atLeast"/>
              <w:rPr>
                <w:b/>
                <w:bCs/>
                <w:sz w:val="18"/>
              </w:rPr>
            </w:pPr>
          </w:p>
        </w:tc>
        <w:tc>
          <w:tcPr>
            <w:tcW w:w="2353" w:type="dxa"/>
          </w:tcPr>
          <w:p w14:paraId="7D78AC04" w14:textId="77777777" w:rsidR="00923D1D" w:rsidRPr="00A71DA6" w:rsidRDefault="00923D1D" w:rsidP="00AD5A06">
            <w:pPr>
              <w:spacing w:before="0" w:after="0" w:line="260" w:lineRule="atLeast"/>
              <w:jc w:val="center"/>
              <w:rPr>
                <w:i/>
                <w:iCs/>
                <w:sz w:val="18"/>
              </w:rPr>
            </w:pPr>
            <w:r w:rsidRPr="00A71DA6">
              <w:rPr>
                <w:i/>
                <w:iCs/>
                <w:sz w:val="18"/>
              </w:rPr>
              <w:t>English language only</w:t>
            </w:r>
          </w:p>
        </w:tc>
        <w:tc>
          <w:tcPr>
            <w:tcW w:w="2353" w:type="dxa"/>
          </w:tcPr>
          <w:p w14:paraId="196C234C" w14:textId="77777777" w:rsidR="00923D1D" w:rsidRPr="00A71DA6" w:rsidRDefault="00923D1D" w:rsidP="00AD5A06">
            <w:pPr>
              <w:spacing w:before="0" w:after="0" w:line="260" w:lineRule="atLeast"/>
              <w:jc w:val="center"/>
              <w:rPr>
                <w:i/>
                <w:iCs/>
                <w:sz w:val="18"/>
              </w:rPr>
            </w:pPr>
            <w:r w:rsidRPr="00A71DA6">
              <w:rPr>
                <w:i/>
                <w:iCs/>
                <w:sz w:val="18"/>
              </w:rPr>
              <w:t>The search terms were provided but full details of the search strategy were not reported.</w:t>
            </w:r>
          </w:p>
        </w:tc>
        <w:tc>
          <w:tcPr>
            <w:tcW w:w="2353" w:type="dxa"/>
          </w:tcPr>
          <w:p w14:paraId="6492C83D"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2353" w:type="dxa"/>
          </w:tcPr>
          <w:p w14:paraId="6E18BDC0" w14:textId="77777777" w:rsidR="00923D1D" w:rsidRPr="00A71DA6" w:rsidRDefault="00923D1D" w:rsidP="00AD5A06">
            <w:pPr>
              <w:spacing w:before="0" w:after="0" w:line="260" w:lineRule="atLeast"/>
              <w:jc w:val="center"/>
              <w:rPr>
                <w:i/>
                <w:iCs/>
                <w:sz w:val="18"/>
              </w:rPr>
            </w:pPr>
            <w:r w:rsidRPr="00A71DA6">
              <w:rPr>
                <w:i/>
                <w:iCs/>
                <w:sz w:val="18"/>
              </w:rPr>
              <w:t>No concerns</w:t>
            </w:r>
          </w:p>
        </w:tc>
        <w:tc>
          <w:tcPr>
            <w:tcW w:w="1215" w:type="dxa"/>
            <w:vMerge/>
            <w:vAlign w:val="center"/>
          </w:tcPr>
          <w:p w14:paraId="463456AD" w14:textId="77777777" w:rsidR="00923D1D" w:rsidRPr="00D75D51" w:rsidRDefault="00923D1D" w:rsidP="00AD5A06">
            <w:pPr>
              <w:spacing w:before="0" w:after="0" w:line="260" w:lineRule="atLeast"/>
              <w:jc w:val="center"/>
              <w:rPr>
                <w:rFonts w:ascii="Gotham Medium" w:hAnsi="Gotham Medium"/>
                <w:sz w:val="18"/>
              </w:rPr>
            </w:pPr>
          </w:p>
        </w:tc>
        <w:tc>
          <w:tcPr>
            <w:tcW w:w="3260" w:type="dxa"/>
            <w:vMerge/>
          </w:tcPr>
          <w:p w14:paraId="60EE024A" w14:textId="77777777" w:rsidR="00923D1D" w:rsidRPr="00A71DA6" w:rsidRDefault="00923D1D" w:rsidP="00AD5A06">
            <w:pPr>
              <w:spacing w:before="0" w:after="0" w:line="260" w:lineRule="atLeast"/>
              <w:jc w:val="center"/>
              <w:rPr>
                <w:sz w:val="18"/>
              </w:rPr>
            </w:pPr>
          </w:p>
        </w:tc>
      </w:tr>
    </w:tbl>
    <w:p w14:paraId="43F882EE" w14:textId="57F55371" w:rsidR="00D22357" w:rsidRDefault="00D22357" w:rsidP="00D22357">
      <w:pPr>
        <w:spacing w:line="240" w:lineRule="atLeast"/>
      </w:pPr>
    </w:p>
    <w:p w14:paraId="798EF6C8" w14:textId="77777777" w:rsidR="00D22357" w:rsidRDefault="00D22357">
      <w:pPr>
        <w:spacing w:line="240" w:lineRule="atLeast"/>
      </w:pPr>
      <w:r>
        <w:br w:type="page"/>
      </w:r>
    </w:p>
    <w:p w14:paraId="7C9E4399" w14:textId="77777777" w:rsidR="00D22357" w:rsidRDefault="00D22357" w:rsidP="00D22357">
      <w:pPr>
        <w:pStyle w:val="Heading2"/>
      </w:pPr>
      <w:bookmarkStart w:id="186" w:name="_Toc212567914"/>
      <w:r>
        <w:lastRenderedPageBreak/>
        <w:t>Appendix D - Outcomes from review of primary studies</w:t>
      </w:r>
      <w:bookmarkEnd w:id="186"/>
    </w:p>
    <w:p w14:paraId="33C8007D" w14:textId="77777777" w:rsidR="00BC6309" w:rsidRDefault="00BC6309" w:rsidP="00BC6309">
      <w:pPr>
        <w:pStyle w:val="Heading3"/>
      </w:pPr>
      <w:bookmarkStart w:id="187" w:name="_Toc212567915"/>
      <w:r>
        <w:t>Identified studies</w:t>
      </w:r>
      <w:bookmarkEnd w:id="187"/>
    </w:p>
    <w:p w14:paraId="02EE3D75" w14:textId="60F05A78" w:rsidR="008343B1" w:rsidRPr="008343B1" w:rsidRDefault="002044A8" w:rsidP="008343B1">
      <w:r>
        <w:t xml:space="preserve">Outcomes reported by studies are </w:t>
      </w:r>
      <w:r w:rsidR="0042737C">
        <w:t>marked</w:t>
      </w:r>
      <w:r w:rsidR="00CB2521">
        <w:t xml:space="preserve"> b</w:t>
      </w:r>
      <w:r w:rsidR="00821C8F">
        <w:t xml:space="preserve">y </w:t>
      </w:r>
      <w:r w:rsidR="00BE2549">
        <w:t xml:space="preserve">an </w:t>
      </w:r>
      <w:r w:rsidR="00DF05BD">
        <w:t>‘</w:t>
      </w:r>
      <w:r w:rsidR="00821C8F">
        <w:t>x</w:t>
      </w:r>
      <w:r w:rsidR="00DF05BD">
        <w:t>’</w:t>
      </w:r>
      <w:r w:rsidR="00821C8F">
        <w:t xml:space="preserve"> in the</w:t>
      </w:r>
      <w:r w:rsidR="008E397D">
        <w:t xml:space="preserve"> following tables.</w:t>
      </w:r>
    </w:p>
    <w:p w14:paraId="5708A77D" w14:textId="1AC78179" w:rsidR="00BC6309" w:rsidRPr="00BC6309" w:rsidRDefault="00BC6309" w:rsidP="00BC6309">
      <w:pPr>
        <w:pStyle w:val="Heading4"/>
        <w:rPr>
          <w:i/>
          <w:iCs/>
        </w:rPr>
      </w:pPr>
      <w:bookmarkStart w:id="188" w:name="_Toc212567916"/>
      <w:r w:rsidRPr="00BC6309">
        <w:rPr>
          <w:i/>
          <w:iCs/>
        </w:rPr>
        <w:t>Balance studies</w:t>
      </w:r>
      <w:bookmarkEnd w:id="188"/>
    </w:p>
    <w:tbl>
      <w:tblPr>
        <w:tblStyle w:val="DefaultTable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firstRow="1" w:lastRow="0" w:firstColumn="0" w:lastColumn="0" w:noHBand="1" w:noVBand="1"/>
      </w:tblPr>
      <w:tblGrid>
        <w:gridCol w:w="3363"/>
        <w:gridCol w:w="1704"/>
        <w:gridCol w:w="2603"/>
        <w:gridCol w:w="5779"/>
      </w:tblGrid>
      <w:tr w:rsidR="00D22357" w14:paraId="7CE1EEC9" w14:textId="77777777">
        <w:trPr>
          <w:cnfStyle w:val="100000000000" w:firstRow="1" w:lastRow="0" w:firstColumn="0" w:lastColumn="0" w:oddVBand="0" w:evenVBand="0" w:oddHBand="0" w:evenHBand="0" w:firstRowFirstColumn="0" w:firstRowLastColumn="0" w:lastRowFirstColumn="0" w:lastRowLastColumn="0"/>
        </w:trPr>
        <w:tc>
          <w:tcPr>
            <w:tcW w:w="3363" w:type="dxa"/>
            <w:shd w:val="clear" w:color="auto" w:fill="D9D9D9" w:themeFill="background1" w:themeFillShade="D9"/>
          </w:tcPr>
          <w:p w14:paraId="43226545" w14:textId="77777777" w:rsidR="00D22357" w:rsidRPr="005A3C49" w:rsidRDefault="00D22357">
            <w:pPr>
              <w:spacing w:before="0" w:after="0"/>
              <w:rPr>
                <w:b w:val="0"/>
                <w:bCs/>
              </w:rPr>
            </w:pPr>
            <w:r w:rsidRPr="005A3C49">
              <w:rPr>
                <w:bCs/>
              </w:rPr>
              <w:t>Study design</w:t>
            </w:r>
          </w:p>
        </w:tc>
        <w:tc>
          <w:tcPr>
            <w:tcW w:w="1704" w:type="dxa"/>
            <w:shd w:val="clear" w:color="auto" w:fill="D9D9D9" w:themeFill="background1" w:themeFillShade="D9"/>
          </w:tcPr>
          <w:p w14:paraId="1993CDD4" w14:textId="77777777" w:rsidR="00D22357" w:rsidRPr="005A3C49" w:rsidRDefault="00D22357">
            <w:pPr>
              <w:spacing w:before="0" w:after="0"/>
              <w:rPr>
                <w:b w:val="0"/>
                <w:bCs/>
              </w:rPr>
            </w:pPr>
            <w:r w:rsidRPr="005A3C49">
              <w:rPr>
                <w:bCs/>
              </w:rPr>
              <w:t>Study ID</w:t>
            </w:r>
          </w:p>
        </w:tc>
        <w:tc>
          <w:tcPr>
            <w:tcW w:w="2603" w:type="dxa"/>
            <w:shd w:val="clear" w:color="auto" w:fill="D9D9D9" w:themeFill="background1" w:themeFillShade="D9"/>
          </w:tcPr>
          <w:p w14:paraId="564BF59D" w14:textId="77777777" w:rsidR="00D22357" w:rsidRPr="005A3C49" w:rsidRDefault="00D22357">
            <w:pPr>
              <w:spacing w:before="0" w:after="0"/>
              <w:rPr>
                <w:b w:val="0"/>
                <w:bCs/>
              </w:rPr>
            </w:pPr>
            <w:r w:rsidRPr="005A3C49">
              <w:rPr>
                <w:bCs/>
              </w:rPr>
              <w:t>Overall risk of bias</w:t>
            </w:r>
          </w:p>
        </w:tc>
        <w:tc>
          <w:tcPr>
            <w:tcW w:w="5779" w:type="dxa"/>
            <w:shd w:val="clear" w:color="auto" w:fill="D9D9D9" w:themeFill="background1" w:themeFillShade="D9"/>
          </w:tcPr>
          <w:p w14:paraId="3B1A5955" w14:textId="77777777" w:rsidR="00D22357" w:rsidRPr="005A3C49" w:rsidRDefault="00D22357">
            <w:pPr>
              <w:spacing w:before="0" w:after="0"/>
              <w:rPr>
                <w:b w:val="0"/>
                <w:bCs/>
              </w:rPr>
            </w:pPr>
            <w:r w:rsidRPr="005A3C49">
              <w:rPr>
                <w:bCs/>
              </w:rPr>
              <w:t>Outcomes reported</w:t>
            </w:r>
          </w:p>
        </w:tc>
      </w:tr>
      <w:tr w:rsidR="00D22357" w14:paraId="71CDCE02" w14:textId="77777777">
        <w:tc>
          <w:tcPr>
            <w:tcW w:w="3363" w:type="dxa"/>
          </w:tcPr>
          <w:p w14:paraId="02929E38" w14:textId="77777777" w:rsidR="00D22357" w:rsidRDefault="00D22357">
            <w:pPr>
              <w:spacing w:before="0" w:after="0"/>
            </w:pPr>
            <w:r w:rsidRPr="005A3C49">
              <w:rPr>
                <w:b/>
                <w:bCs/>
              </w:rPr>
              <w:t>Balance</w:t>
            </w:r>
          </w:p>
        </w:tc>
        <w:tc>
          <w:tcPr>
            <w:tcW w:w="1704" w:type="dxa"/>
          </w:tcPr>
          <w:p w14:paraId="4DCC6DEF" w14:textId="77777777" w:rsidR="00D22357" w:rsidRDefault="00D22357">
            <w:pPr>
              <w:spacing w:before="0" w:after="0"/>
            </w:pPr>
            <w:r>
              <w:t>Tan (2019)</w:t>
            </w:r>
          </w:p>
        </w:tc>
        <w:tc>
          <w:tcPr>
            <w:tcW w:w="2603" w:type="dxa"/>
          </w:tcPr>
          <w:p w14:paraId="36A24E62" w14:textId="77777777" w:rsidR="00D22357" w:rsidRDefault="00D22357">
            <w:pPr>
              <w:spacing w:before="0" w:after="0"/>
            </w:pPr>
            <w:r w:rsidRPr="00491C29">
              <w:rPr>
                <w:noProof/>
              </w:rPr>
              <w:drawing>
                <wp:anchor distT="0" distB="0" distL="114300" distR="114300" simplePos="0" relativeHeight="251658240" behindDoc="0" locked="0" layoutInCell="1" allowOverlap="1" wp14:anchorId="7F652759" wp14:editId="3558EFF4">
                  <wp:simplePos x="0" y="0"/>
                  <wp:positionH relativeFrom="column">
                    <wp:posOffset>919480</wp:posOffset>
                  </wp:positionH>
                  <wp:positionV relativeFrom="paragraph">
                    <wp:posOffset>0</wp:posOffset>
                  </wp:positionV>
                  <wp:extent cx="339799" cy="247650"/>
                  <wp:effectExtent l="0" t="0" r="3175" b="0"/>
                  <wp:wrapSquare wrapText="bothSides"/>
                  <wp:docPr id="17493676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67652"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5779" w:type="dxa"/>
          </w:tcPr>
          <w:p w14:paraId="0BA5C6F1" w14:textId="77777777" w:rsidR="00D22357" w:rsidRDefault="00D22357">
            <w:pPr>
              <w:spacing w:before="0" w:after="0"/>
            </w:pPr>
            <w:r>
              <w:t>Iodine intake, excretion via 4 routes</w:t>
            </w:r>
          </w:p>
        </w:tc>
      </w:tr>
    </w:tbl>
    <w:p w14:paraId="0CD68550" w14:textId="5311FB48" w:rsidR="00950D92" w:rsidRPr="00BC6309" w:rsidRDefault="00BC6309" w:rsidP="00BC6309">
      <w:pPr>
        <w:pStyle w:val="Heading4"/>
        <w:rPr>
          <w:i/>
          <w:iCs/>
        </w:rPr>
      </w:pPr>
      <w:bookmarkStart w:id="189" w:name="_Toc212567917"/>
      <w:r w:rsidRPr="00BC6309">
        <w:rPr>
          <w:i/>
          <w:iCs/>
        </w:rPr>
        <w:t>Adults</w:t>
      </w:r>
      <w:bookmarkEnd w:id="189"/>
    </w:p>
    <w:tbl>
      <w:tblPr>
        <w:tblStyle w:val="DefaultTable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ayout w:type="fixed"/>
        <w:tblLook w:val="06A0" w:firstRow="1" w:lastRow="0" w:firstColumn="1" w:lastColumn="0" w:noHBand="1" w:noVBand="1"/>
      </w:tblPr>
      <w:tblGrid>
        <w:gridCol w:w="2405"/>
        <w:gridCol w:w="2552"/>
        <w:gridCol w:w="2268"/>
        <w:gridCol w:w="708"/>
        <w:gridCol w:w="567"/>
        <w:gridCol w:w="567"/>
        <w:gridCol w:w="993"/>
        <w:gridCol w:w="1275"/>
        <w:gridCol w:w="993"/>
        <w:gridCol w:w="1842"/>
      </w:tblGrid>
      <w:tr w:rsidR="00D22357" w14:paraId="6DB7E457" w14:textId="77777777" w:rsidTr="4D0FE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gridSpan w:val="3"/>
            <w:shd w:val="clear" w:color="auto" w:fill="D9D9D9" w:themeFill="background1" w:themeFillShade="D9"/>
          </w:tcPr>
          <w:p w14:paraId="7139DFF8" w14:textId="77777777" w:rsidR="00D22357" w:rsidRPr="001F2B58" w:rsidRDefault="00D22357">
            <w:pPr>
              <w:spacing w:before="0" w:after="0"/>
              <w:rPr>
                <w:b w:val="0"/>
                <w:bCs/>
              </w:rPr>
            </w:pPr>
            <w:r w:rsidRPr="001F2B58">
              <w:rPr>
                <w:bCs/>
              </w:rPr>
              <w:t>Study characteristics</w:t>
            </w:r>
          </w:p>
        </w:tc>
        <w:tc>
          <w:tcPr>
            <w:tcW w:w="6945" w:type="dxa"/>
            <w:gridSpan w:val="7"/>
            <w:shd w:val="clear" w:color="auto" w:fill="D9D9D9" w:themeFill="background1" w:themeFillShade="D9"/>
          </w:tcPr>
          <w:p w14:paraId="5452208F" w14:textId="77777777" w:rsidR="00D22357" w:rsidRPr="001F2B58" w:rsidRDefault="00D22357">
            <w:pPr>
              <w:spacing w:before="0" w:after="0"/>
              <w:cnfStyle w:val="100000000000" w:firstRow="1" w:lastRow="0" w:firstColumn="0" w:lastColumn="0" w:oddVBand="0" w:evenVBand="0" w:oddHBand="0" w:evenHBand="0" w:firstRowFirstColumn="0" w:firstRowLastColumn="0" w:lastRowFirstColumn="0" w:lastRowLastColumn="0"/>
              <w:rPr>
                <w:b w:val="0"/>
                <w:bCs/>
              </w:rPr>
            </w:pPr>
            <w:r w:rsidRPr="001F2B58">
              <w:rPr>
                <w:bCs/>
              </w:rPr>
              <w:t>Outcomes reported</w:t>
            </w:r>
          </w:p>
        </w:tc>
      </w:tr>
      <w:tr w:rsidR="00D22357" w14:paraId="796A94F3" w14:textId="77777777" w:rsidTr="4D0FE953">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42BFC801" w14:textId="77777777" w:rsidR="00D22357" w:rsidRPr="001F2B58" w:rsidRDefault="00D22357">
            <w:pPr>
              <w:spacing w:before="0" w:after="0"/>
              <w:rPr>
                <w:b w:val="0"/>
                <w:bCs/>
              </w:rPr>
            </w:pPr>
            <w:r>
              <w:rPr>
                <w:bCs/>
              </w:rPr>
              <w:t>Study design</w:t>
            </w:r>
          </w:p>
        </w:tc>
        <w:tc>
          <w:tcPr>
            <w:tcW w:w="2552" w:type="dxa"/>
            <w:shd w:val="clear" w:color="auto" w:fill="D9D9D9" w:themeFill="background1" w:themeFillShade="D9"/>
          </w:tcPr>
          <w:p w14:paraId="5268A581" w14:textId="77777777" w:rsidR="00D22357" w:rsidRPr="001F2B58" w:rsidRDefault="00D22357">
            <w:pPr>
              <w:spacing w:before="0" w:after="0"/>
              <w:cnfStyle w:val="000000000000" w:firstRow="0" w:lastRow="0" w:firstColumn="0" w:lastColumn="0" w:oddVBand="0" w:evenVBand="0" w:oddHBand="0" w:evenHBand="0" w:firstRowFirstColumn="0" w:firstRowLastColumn="0" w:lastRowFirstColumn="0" w:lastRowLastColumn="0"/>
              <w:rPr>
                <w:b/>
                <w:bCs/>
              </w:rPr>
            </w:pPr>
            <w:r w:rsidRPr="001F2B58">
              <w:rPr>
                <w:b/>
                <w:bCs/>
              </w:rPr>
              <w:t>Study ID</w:t>
            </w:r>
          </w:p>
        </w:tc>
        <w:tc>
          <w:tcPr>
            <w:tcW w:w="2268" w:type="dxa"/>
            <w:shd w:val="clear" w:color="auto" w:fill="D9D9D9" w:themeFill="background1" w:themeFillShade="D9"/>
          </w:tcPr>
          <w:p w14:paraId="13A22939" w14:textId="77777777" w:rsidR="00D22357" w:rsidRPr="001F2B58" w:rsidRDefault="00D22357">
            <w:pPr>
              <w:spacing w:before="0" w:after="0"/>
              <w:cnfStyle w:val="000000000000" w:firstRow="0" w:lastRow="0" w:firstColumn="0" w:lastColumn="0" w:oddVBand="0" w:evenVBand="0" w:oddHBand="0" w:evenHBand="0" w:firstRowFirstColumn="0" w:firstRowLastColumn="0" w:lastRowFirstColumn="0" w:lastRowLastColumn="0"/>
              <w:rPr>
                <w:b/>
                <w:bCs/>
              </w:rPr>
            </w:pPr>
            <w:r w:rsidRPr="001F2B58">
              <w:rPr>
                <w:b/>
                <w:bCs/>
              </w:rPr>
              <w:t>Overall risk of bias</w:t>
            </w:r>
          </w:p>
        </w:tc>
        <w:tc>
          <w:tcPr>
            <w:tcW w:w="708" w:type="dxa"/>
            <w:shd w:val="clear" w:color="auto" w:fill="D9D9D9" w:themeFill="background1" w:themeFillShade="D9"/>
          </w:tcPr>
          <w:p w14:paraId="4F141DA3" w14:textId="77777777" w:rsidR="00D22357" w:rsidRPr="00EE7DD3" w:rsidRDefault="00D22357">
            <w:pPr>
              <w:spacing w:before="0" w:after="0"/>
              <w:cnfStyle w:val="000000000000" w:firstRow="0" w:lastRow="0" w:firstColumn="0" w:lastColumn="0" w:oddVBand="0" w:evenVBand="0" w:oddHBand="0" w:evenHBand="0" w:firstRowFirstColumn="0" w:firstRowLastColumn="0" w:lastRowFirstColumn="0" w:lastRowLastColumn="0"/>
              <w:rPr>
                <w:b/>
                <w:bCs/>
              </w:rPr>
            </w:pPr>
            <w:r w:rsidRPr="00EE7DD3">
              <w:rPr>
                <w:b/>
                <w:bCs/>
              </w:rPr>
              <w:t>TSH</w:t>
            </w:r>
          </w:p>
        </w:tc>
        <w:tc>
          <w:tcPr>
            <w:tcW w:w="567" w:type="dxa"/>
            <w:shd w:val="clear" w:color="auto" w:fill="D9D9D9" w:themeFill="background1" w:themeFillShade="D9"/>
          </w:tcPr>
          <w:p w14:paraId="51C1DD51" w14:textId="77777777" w:rsidR="00D22357" w:rsidRPr="00EE7DD3" w:rsidRDefault="00D22357">
            <w:pPr>
              <w:spacing w:before="0" w:after="0"/>
              <w:cnfStyle w:val="000000000000" w:firstRow="0" w:lastRow="0" w:firstColumn="0" w:lastColumn="0" w:oddVBand="0" w:evenVBand="0" w:oddHBand="0" w:evenHBand="0" w:firstRowFirstColumn="0" w:firstRowLastColumn="0" w:lastRowFirstColumn="0" w:lastRowLastColumn="0"/>
              <w:rPr>
                <w:b/>
                <w:bCs/>
              </w:rPr>
            </w:pPr>
            <w:r w:rsidRPr="00EE7DD3">
              <w:rPr>
                <w:b/>
                <w:bCs/>
              </w:rPr>
              <w:t>FT4</w:t>
            </w:r>
          </w:p>
        </w:tc>
        <w:tc>
          <w:tcPr>
            <w:tcW w:w="567" w:type="dxa"/>
            <w:shd w:val="clear" w:color="auto" w:fill="D9D9D9" w:themeFill="background1" w:themeFillShade="D9"/>
          </w:tcPr>
          <w:p w14:paraId="155443DF" w14:textId="77777777" w:rsidR="00D22357" w:rsidRPr="00EE7DD3" w:rsidRDefault="00D22357">
            <w:pPr>
              <w:spacing w:before="0" w:after="0"/>
              <w:cnfStyle w:val="000000000000" w:firstRow="0" w:lastRow="0" w:firstColumn="0" w:lastColumn="0" w:oddVBand="0" w:evenVBand="0" w:oddHBand="0" w:evenHBand="0" w:firstRowFirstColumn="0" w:firstRowLastColumn="0" w:lastRowFirstColumn="0" w:lastRowLastColumn="0"/>
              <w:rPr>
                <w:b/>
                <w:bCs/>
              </w:rPr>
            </w:pPr>
            <w:proofErr w:type="spellStart"/>
            <w:r w:rsidRPr="00EE7DD3">
              <w:rPr>
                <w:b/>
                <w:bCs/>
              </w:rPr>
              <w:t>Tg</w:t>
            </w:r>
            <w:proofErr w:type="spellEnd"/>
          </w:p>
        </w:tc>
        <w:tc>
          <w:tcPr>
            <w:tcW w:w="993" w:type="dxa"/>
            <w:shd w:val="clear" w:color="auto" w:fill="D9D9D9" w:themeFill="background1" w:themeFillShade="D9"/>
          </w:tcPr>
          <w:p w14:paraId="5CBC7483" w14:textId="77777777" w:rsidR="00D22357" w:rsidRPr="00EE7DD3" w:rsidRDefault="00D22357">
            <w:pPr>
              <w:spacing w:before="0" w:after="0"/>
              <w:cnfStyle w:val="000000000000" w:firstRow="0" w:lastRow="0" w:firstColumn="0" w:lastColumn="0" w:oddVBand="0" w:evenVBand="0" w:oddHBand="0" w:evenHBand="0" w:firstRowFirstColumn="0" w:firstRowLastColumn="0" w:lastRowFirstColumn="0" w:lastRowLastColumn="0"/>
              <w:rPr>
                <w:b/>
                <w:bCs/>
              </w:rPr>
            </w:pPr>
            <w:r w:rsidRPr="00EE7DD3">
              <w:rPr>
                <w:b/>
                <w:bCs/>
              </w:rPr>
              <w:t>Thyroid volume</w:t>
            </w:r>
          </w:p>
        </w:tc>
        <w:tc>
          <w:tcPr>
            <w:tcW w:w="1275" w:type="dxa"/>
            <w:shd w:val="clear" w:color="auto" w:fill="D9D9D9" w:themeFill="background1" w:themeFillShade="D9"/>
          </w:tcPr>
          <w:p w14:paraId="44CEAFC3" w14:textId="77777777" w:rsidR="00D22357" w:rsidRPr="00EE7DD3" w:rsidRDefault="00D22357">
            <w:pPr>
              <w:spacing w:before="0" w:after="0"/>
              <w:cnfStyle w:val="000000000000" w:firstRow="0" w:lastRow="0" w:firstColumn="0" w:lastColumn="0" w:oddVBand="0" w:evenVBand="0" w:oddHBand="0" w:evenHBand="0" w:firstRowFirstColumn="0" w:firstRowLastColumn="0" w:lastRowFirstColumn="0" w:lastRowLastColumn="0"/>
              <w:rPr>
                <w:b/>
                <w:bCs/>
              </w:rPr>
            </w:pPr>
            <w:r w:rsidRPr="00EE7DD3">
              <w:rPr>
                <w:b/>
                <w:bCs/>
              </w:rPr>
              <w:t>Total goitre rate</w:t>
            </w:r>
          </w:p>
        </w:tc>
        <w:tc>
          <w:tcPr>
            <w:tcW w:w="993" w:type="dxa"/>
            <w:shd w:val="clear" w:color="auto" w:fill="D9D9D9" w:themeFill="background1" w:themeFillShade="D9"/>
          </w:tcPr>
          <w:p w14:paraId="4839B471" w14:textId="77777777" w:rsidR="00D22357" w:rsidRPr="00EE7DD3" w:rsidRDefault="00D22357">
            <w:pPr>
              <w:spacing w:before="0" w:after="0"/>
              <w:cnfStyle w:val="000000000000" w:firstRow="0" w:lastRow="0" w:firstColumn="0" w:lastColumn="0" w:oddVBand="0" w:evenVBand="0" w:oddHBand="0" w:evenHBand="0" w:firstRowFirstColumn="0" w:firstRowLastColumn="0" w:lastRowFirstColumn="0" w:lastRowLastColumn="0"/>
              <w:rPr>
                <w:b/>
                <w:bCs/>
              </w:rPr>
            </w:pPr>
            <w:r w:rsidRPr="00EE7DD3">
              <w:rPr>
                <w:b/>
                <w:bCs/>
              </w:rPr>
              <w:t>Thyroid cancer</w:t>
            </w:r>
          </w:p>
        </w:tc>
        <w:tc>
          <w:tcPr>
            <w:tcW w:w="1842" w:type="dxa"/>
            <w:shd w:val="clear" w:color="auto" w:fill="D9D9D9" w:themeFill="background1" w:themeFillShade="D9"/>
          </w:tcPr>
          <w:p w14:paraId="68CC1C67" w14:textId="77777777" w:rsidR="00D22357" w:rsidRPr="00EE7DD3" w:rsidRDefault="00D22357">
            <w:pPr>
              <w:spacing w:before="0" w:after="0"/>
              <w:cnfStyle w:val="000000000000" w:firstRow="0" w:lastRow="0" w:firstColumn="0" w:lastColumn="0" w:oddVBand="0" w:evenVBand="0" w:oddHBand="0" w:evenHBand="0" w:firstRowFirstColumn="0" w:firstRowLastColumn="0" w:lastRowFirstColumn="0" w:lastRowLastColumn="0"/>
              <w:rPr>
                <w:b/>
                <w:bCs/>
              </w:rPr>
            </w:pPr>
            <w:r w:rsidRPr="00EE7DD3">
              <w:rPr>
                <w:b/>
                <w:bCs/>
              </w:rPr>
              <w:t>Thyroid autoimmunity</w:t>
            </w:r>
          </w:p>
        </w:tc>
      </w:tr>
      <w:tr w:rsidR="00D22357" w:rsidRPr="00676398" w14:paraId="4C835B9B" w14:textId="77777777" w:rsidTr="00EE389F">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D9D9D9" w:themeFill="background1" w:themeFillShade="D9"/>
          </w:tcPr>
          <w:p w14:paraId="08E11FF2" w14:textId="77777777" w:rsidR="00D22357" w:rsidRPr="003D2A13" w:rsidRDefault="00D22357">
            <w:pPr>
              <w:spacing w:before="0" w:after="0"/>
              <w:rPr>
                <w:b w:val="0"/>
                <w:bCs/>
              </w:rPr>
            </w:pPr>
            <w:r w:rsidRPr="003D2A13">
              <w:rPr>
                <w:bCs/>
              </w:rPr>
              <w:t>Randomised controlled trials (RCTs)</w:t>
            </w:r>
          </w:p>
        </w:tc>
        <w:tc>
          <w:tcPr>
            <w:tcW w:w="2552" w:type="dxa"/>
            <w:shd w:val="clear" w:color="auto" w:fill="FFFFFF" w:themeFill="background1"/>
            <w:vAlign w:val="center"/>
          </w:tcPr>
          <w:p w14:paraId="3F934F85" w14:textId="77777777" w:rsidR="00D22357" w:rsidRPr="00676398" w:rsidRDefault="00D22357" w:rsidP="00BC6309">
            <w:pPr>
              <w:spacing w:before="0" w:after="0"/>
              <w:cnfStyle w:val="000000000000" w:firstRow="0" w:lastRow="0" w:firstColumn="0" w:lastColumn="0" w:oddVBand="0" w:evenVBand="0" w:oddHBand="0" w:evenHBand="0" w:firstRowFirstColumn="0" w:firstRowLastColumn="0" w:lastRowFirstColumn="0" w:lastRowLastColumn="0"/>
            </w:pPr>
            <w:r>
              <w:t>Clark 2003</w:t>
            </w:r>
          </w:p>
        </w:tc>
        <w:tc>
          <w:tcPr>
            <w:tcW w:w="2268" w:type="dxa"/>
            <w:shd w:val="clear" w:color="auto" w:fill="FFFFFF" w:themeFill="background1"/>
            <w:vAlign w:val="center"/>
          </w:tcPr>
          <w:p w14:paraId="115E7B89" w14:textId="0532CCCF" w:rsidR="00D22357" w:rsidRPr="00676398" w:rsidRDefault="00BC6309" w:rsidP="00BC630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48" behindDoc="0" locked="0" layoutInCell="1" allowOverlap="1" wp14:anchorId="60A220B3" wp14:editId="2FFA2521">
                  <wp:simplePos x="0" y="0"/>
                  <wp:positionH relativeFrom="column">
                    <wp:posOffset>1073150</wp:posOffset>
                  </wp:positionH>
                  <wp:positionV relativeFrom="paragraph">
                    <wp:posOffset>-19050</wp:posOffset>
                  </wp:positionV>
                  <wp:extent cx="339725" cy="247650"/>
                  <wp:effectExtent l="0" t="0" r="3175" b="0"/>
                  <wp:wrapSquare wrapText="bothSides"/>
                  <wp:docPr id="18903551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55154"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25" cy="247650"/>
                          </a:xfrm>
                          <a:prstGeom prst="rect">
                            <a:avLst/>
                          </a:prstGeom>
                        </pic:spPr>
                      </pic:pic>
                    </a:graphicData>
                  </a:graphic>
                  <wp14:sizeRelH relativeFrom="margin">
                    <wp14:pctWidth>0</wp14:pctWidth>
                  </wp14:sizeRelH>
                  <wp14:sizeRelV relativeFrom="margin">
                    <wp14:pctHeight>0</wp14:pctHeight>
                  </wp14:sizeRelV>
                </wp:anchor>
              </w:drawing>
            </w:r>
            <w:r w:rsidR="00D22357">
              <w:t>High</w:t>
            </w:r>
          </w:p>
        </w:tc>
        <w:tc>
          <w:tcPr>
            <w:tcW w:w="708" w:type="dxa"/>
            <w:shd w:val="clear" w:color="auto" w:fill="auto"/>
          </w:tcPr>
          <w:p w14:paraId="70B5DE8E" w14:textId="5A16AF11"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567" w:type="dxa"/>
            <w:shd w:val="clear" w:color="auto" w:fill="auto"/>
          </w:tcPr>
          <w:p w14:paraId="0C27D8BD" w14:textId="458D49EE"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6FB2748B"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2C2DE6F1"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shd w:val="clear" w:color="auto" w:fill="auto"/>
          </w:tcPr>
          <w:p w14:paraId="78017B7F"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6BEBB012"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842" w:type="dxa"/>
            <w:shd w:val="clear" w:color="auto" w:fill="auto"/>
          </w:tcPr>
          <w:p w14:paraId="4BCE82F9"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r>
      <w:tr w:rsidR="00D22357" w:rsidRPr="00676398" w14:paraId="7760A74A" w14:textId="77777777" w:rsidTr="00EE389F">
        <w:tc>
          <w:tcPr>
            <w:cnfStyle w:val="001000000000" w:firstRow="0" w:lastRow="0" w:firstColumn="1" w:lastColumn="0" w:oddVBand="0" w:evenVBand="0" w:oddHBand="0" w:evenHBand="0" w:firstRowFirstColumn="0" w:firstRowLastColumn="0" w:lastRowFirstColumn="0" w:lastRowLastColumn="0"/>
            <w:tcW w:w="2405" w:type="dxa"/>
            <w:vMerge/>
          </w:tcPr>
          <w:p w14:paraId="665E1848" w14:textId="77777777" w:rsidR="00D22357" w:rsidRPr="003D2A13" w:rsidRDefault="00D22357">
            <w:pPr>
              <w:spacing w:before="0" w:after="0"/>
              <w:rPr>
                <w:b w:val="0"/>
                <w:bCs/>
              </w:rPr>
            </w:pPr>
          </w:p>
        </w:tc>
        <w:tc>
          <w:tcPr>
            <w:tcW w:w="2552" w:type="dxa"/>
            <w:shd w:val="clear" w:color="auto" w:fill="FFFFFF" w:themeFill="background1"/>
            <w:vAlign w:val="center"/>
          </w:tcPr>
          <w:p w14:paraId="42D66D3B" w14:textId="008119FE" w:rsidR="00D22357" w:rsidRPr="00676398" w:rsidRDefault="00D22357" w:rsidP="00BC6309">
            <w:pPr>
              <w:spacing w:before="0" w:after="0"/>
              <w:cnfStyle w:val="000000000000" w:firstRow="0" w:lastRow="0" w:firstColumn="0" w:lastColumn="0" w:oddVBand="0" w:evenVBand="0" w:oddHBand="0" w:evenHBand="0" w:firstRowFirstColumn="0" w:firstRowLastColumn="0" w:lastRowFirstColumn="0" w:lastRowLastColumn="0"/>
            </w:pPr>
            <w:r>
              <w:t>Gardner 1988</w:t>
            </w:r>
          </w:p>
        </w:tc>
        <w:tc>
          <w:tcPr>
            <w:tcW w:w="2268" w:type="dxa"/>
            <w:shd w:val="clear" w:color="auto" w:fill="FFFFFF" w:themeFill="background1"/>
            <w:vAlign w:val="center"/>
          </w:tcPr>
          <w:p w14:paraId="37293991" w14:textId="73CEDDC4" w:rsidR="00D22357" w:rsidRPr="00676398" w:rsidRDefault="00BC6309" w:rsidP="00BC6309">
            <w:pPr>
              <w:spacing w:before="0" w:after="0"/>
              <w:cnfStyle w:val="000000000000" w:firstRow="0" w:lastRow="0" w:firstColumn="0" w:lastColumn="0" w:oddVBand="0" w:evenVBand="0" w:oddHBand="0" w:evenHBand="0" w:firstRowFirstColumn="0" w:firstRowLastColumn="0" w:lastRowFirstColumn="0" w:lastRowLastColumn="0"/>
            </w:pPr>
            <w:r w:rsidRPr="009D6D00">
              <w:rPr>
                <w:noProof/>
              </w:rPr>
              <w:drawing>
                <wp:anchor distT="0" distB="0" distL="114300" distR="114300" simplePos="0" relativeHeight="251658247" behindDoc="0" locked="0" layoutInCell="1" allowOverlap="1" wp14:anchorId="38DDF667" wp14:editId="2A6F3363">
                  <wp:simplePos x="0" y="0"/>
                  <wp:positionH relativeFrom="column">
                    <wp:posOffset>1096010</wp:posOffset>
                  </wp:positionH>
                  <wp:positionV relativeFrom="paragraph">
                    <wp:posOffset>19050</wp:posOffset>
                  </wp:positionV>
                  <wp:extent cx="301625" cy="282575"/>
                  <wp:effectExtent l="0" t="0" r="3175" b="3175"/>
                  <wp:wrapSquare wrapText="bothSides"/>
                  <wp:docPr id="5802425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42528" name="Picture 1">
                            <a:extLst>
                              <a:ext uri="{C183D7F6-B498-43B3-948B-1728B52AA6E4}">
                                <adec:decorative xmlns:adec="http://schemas.microsoft.com/office/drawing/2017/decorative" val="1"/>
                              </a:ext>
                            </a:extLst>
                          </pic:cNvPr>
                          <pic:cNvPicPr/>
                        </pic:nvPicPr>
                        <pic:blipFill>
                          <a:blip r:embed="rId92">
                            <a:extLst>
                              <a:ext uri="{28A0092B-C50C-407E-A947-70E740481C1C}">
                                <a14:useLocalDpi xmlns:a14="http://schemas.microsoft.com/office/drawing/2010/main" val="0"/>
                              </a:ext>
                            </a:extLst>
                          </a:blip>
                          <a:stretch>
                            <a:fillRect/>
                          </a:stretch>
                        </pic:blipFill>
                        <pic:spPr>
                          <a:xfrm>
                            <a:off x="0" y="0"/>
                            <a:ext cx="301625" cy="282575"/>
                          </a:xfrm>
                          <a:prstGeom prst="rect">
                            <a:avLst/>
                          </a:prstGeom>
                        </pic:spPr>
                      </pic:pic>
                    </a:graphicData>
                  </a:graphic>
                  <wp14:sizeRelH relativeFrom="margin">
                    <wp14:pctWidth>0</wp14:pctWidth>
                  </wp14:sizeRelH>
                  <wp14:sizeRelV relativeFrom="margin">
                    <wp14:pctHeight>0</wp14:pctHeight>
                  </wp14:sizeRelV>
                </wp:anchor>
              </w:drawing>
            </w:r>
            <w:r w:rsidR="00D22357">
              <w:t xml:space="preserve">Some concerns </w:t>
            </w:r>
          </w:p>
        </w:tc>
        <w:tc>
          <w:tcPr>
            <w:tcW w:w="708" w:type="dxa"/>
            <w:shd w:val="clear" w:color="auto" w:fill="auto"/>
          </w:tcPr>
          <w:p w14:paraId="43922DF1" w14:textId="5FD30972"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59F94E37" w14:textId="1248EA76"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4C3A81C0"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7B90808F"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shd w:val="clear" w:color="auto" w:fill="auto"/>
          </w:tcPr>
          <w:p w14:paraId="71A0D7AC"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427EC6B6"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842" w:type="dxa"/>
            <w:shd w:val="clear" w:color="auto" w:fill="auto"/>
          </w:tcPr>
          <w:p w14:paraId="149A1D3F"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r>
      <w:tr w:rsidR="00D22357" w:rsidRPr="00676398" w14:paraId="4387A216" w14:textId="77777777" w:rsidTr="00EE389F">
        <w:tc>
          <w:tcPr>
            <w:cnfStyle w:val="001000000000" w:firstRow="0" w:lastRow="0" w:firstColumn="1" w:lastColumn="0" w:oddVBand="0" w:evenVBand="0" w:oddHBand="0" w:evenHBand="0" w:firstRowFirstColumn="0" w:firstRowLastColumn="0" w:lastRowFirstColumn="0" w:lastRowLastColumn="0"/>
            <w:tcW w:w="2405" w:type="dxa"/>
            <w:vMerge/>
          </w:tcPr>
          <w:p w14:paraId="51FEC4EE" w14:textId="77777777" w:rsidR="00D22357" w:rsidRPr="003D2A13" w:rsidRDefault="00D22357">
            <w:pPr>
              <w:spacing w:before="0" w:after="0"/>
              <w:rPr>
                <w:b w:val="0"/>
                <w:bCs/>
              </w:rPr>
            </w:pPr>
          </w:p>
        </w:tc>
        <w:tc>
          <w:tcPr>
            <w:tcW w:w="2552" w:type="dxa"/>
            <w:shd w:val="clear" w:color="auto" w:fill="FFFFFF" w:themeFill="background1"/>
            <w:vAlign w:val="center"/>
          </w:tcPr>
          <w:p w14:paraId="35D5D2D3" w14:textId="77777777" w:rsidR="00D22357" w:rsidRPr="00676398" w:rsidRDefault="00D22357" w:rsidP="00BC6309">
            <w:pPr>
              <w:spacing w:before="0" w:after="0"/>
              <w:cnfStyle w:val="000000000000" w:firstRow="0" w:lastRow="0" w:firstColumn="0" w:lastColumn="0" w:oddVBand="0" w:evenVBand="0" w:oddHBand="0" w:evenHBand="0" w:firstRowFirstColumn="0" w:firstRowLastColumn="0" w:lastRowFirstColumn="0" w:lastRowLastColumn="0"/>
            </w:pPr>
            <w:r>
              <w:t>Sang 2012</w:t>
            </w:r>
          </w:p>
        </w:tc>
        <w:tc>
          <w:tcPr>
            <w:tcW w:w="2268" w:type="dxa"/>
            <w:shd w:val="clear" w:color="auto" w:fill="FFFFFF" w:themeFill="background1"/>
            <w:vAlign w:val="center"/>
          </w:tcPr>
          <w:p w14:paraId="6705C5DC" w14:textId="43599C04" w:rsidR="00D22357" w:rsidRPr="00676398" w:rsidRDefault="00D22357" w:rsidP="00BC6309">
            <w:pPr>
              <w:spacing w:before="0" w:after="0"/>
              <w:cnfStyle w:val="000000000000" w:firstRow="0" w:lastRow="0" w:firstColumn="0" w:lastColumn="0" w:oddVBand="0" w:evenVBand="0" w:oddHBand="0" w:evenHBand="0" w:firstRowFirstColumn="0" w:firstRowLastColumn="0" w:lastRowFirstColumn="0" w:lastRowLastColumn="0"/>
            </w:pPr>
            <w:r w:rsidRPr="00A34F7B">
              <w:rPr>
                <w:noProof/>
              </w:rPr>
              <w:drawing>
                <wp:anchor distT="0" distB="0" distL="114300" distR="114300" simplePos="0" relativeHeight="251658246" behindDoc="0" locked="0" layoutInCell="1" allowOverlap="1" wp14:anchorId="3F06BD7A" wp14:editId="071332FC">
                  <wp:simplePos x="0" y="0"/>
                  <wp:positionH relativeFrom="column">
                    <wp:posOffset>1109980</wp:posOffset>
                  </wp:positionH>
                  <wp:positionV relativeFrom="paragraph">
                    <wp:posOffset>76200</wp:posOffset>
                  </wp:positionV>
                  <wp:extent cx="273050" cy="278765"/>
                  <wp:effectExtent l="0" t="0" r="0" b="6985"/>
                  <wp:wrapSquare wrapText="bothSides"/>
                  <wp:docPr id="20297854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85447" name="Picture 1">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Lst>
                          </a:blip>
                          <a:stretch>
                            <a:fillRect/>
                          </a:stretch>
                        </pic:blipFill>
                        <pic:spPr>
                          <a:xfrm>
                            <a:off x="0" y="0"/>
                            <a:ext cx="273050" cy="278765"/>
                          </a:xfrm>
                          <a:prstGeom prst="rect">
                            <a:avLst/>
                          </a:prstGeom>
                        </pic:spPr>
                      </pic:pic>
                    </a:graphicData>
                  </a:graphic>
                  <wp14:sizeRelH relativeFrom="margin">
                    <wp14:pctWidth>0</wp14:pctWidth>
                  </wp14:sizeRelH>
                  <wp14:sizeRelV relativeFrom="margin">
                    <wp14:pctHeight>0</wp14:pctHeight>
                  </wp14:sizeRelV>
                </wp:anchor>
              </w:drawing>
            </w:r>
            <w:r>
              <w:t>Low</w:t>
            </w:r>
            <w:r>
              <w:rPr>
                <w:rStyle w:val="FootnoteReference"/>
              </w:rPr>
              <w:footnoteReference w:id="6"/>
            </w:r>
          </w:p>
        </w:tc>
        <w:tc>
          <w:tcPr>
            <w:tcW w:w="708" w:type="dxa"/>
            <w:shd w:val="clear" w:color="auto" w:fill="auto"/>
          </w:tcPr>
          <w:p w14:paraId="638487A0" w14:textId="2A318E7C"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6E53E4E1" w14:textId="46B260E6"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23809130" w14:textId="5C1DFD28"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164EA53F" w14:textId="53A48859" w:rsidR="00D22357" w:rsidRPr="00676398" w:rsidRDefault="009A2D5F">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1275" w:type="dxa"/>
            <w:shd w:val="clear" w:color="auto" w:fill="auto"/>
          </w:tcPr>
          <w:p w14:paraId="62262E50"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6DCB9764"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842" w:type="dxa"/>
            <w:shd w:val="clear" w:color="auto" w:fill="auto"/>
          </w:tcPr>
          <w:p w14:paraId="367BB97C"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r>
      <w:tr w:rsidR="00D22357" w:rsidRPr="00676398" w14:paraId="24E92B10" w14:textId="77777777" w:rsidTr="00EE389F">
        <w:tc>
          <w:tcPr>
            <w:cnfStyle w:val="001000000000" w:firstRow="0" w:lastRow="0" w:firstColumn="1" w:lastColumn="0" w:oddVBand="0" w:evenVBand="0" w:oddHBand="0" w:evenHBand="0" w:firstRowFirstColumn="0" w:firstRowLastColumn="0" w:lastRowFirstColumn="0" w:lastRowLastColumn="0"/>
            <w:tcW w:w="2405" w:type="dxa"/>
            <w:vMerge/>
          </w:tcPr>
          <w:p w14:paraId="4562103E" w14:textId="77777777" w:rsidR="00D22357" w:rsidRPr="003D2A13" w:rsidRDefault="00D22357">
            <w:pPr>
              <w:spacing w:before="0" w:after="0"/>
              <w:rPr>
                <w:b w:val="0"/>
                <w:bCs/>
              </w:rPr>
            </w:pPr>
          </w:p>
        </w:tc>
        <w:tc>
          <w:tcPr>
            <w:tcW w:w="2552" w:type="dxa"/>
            <w:shd w:val="clear" w:color="auto" w:fill="FFFFFF" w:themeFill="background1"/>
            <w:vAlign w:val="center"/>
          </w:tcPr>
          <w:p w14:paraId="5E15E3BA" w14:textId="77777777" w:rsidR="00D22357" w:rsidRPr="00676398" w:rsidRDefault="00D22357" w:rsidP="00BC6309">
            <w:pPr>
              <w:spacing w:before="0" w:after="0"/>
              <w:cnfStyle w:val="000000000000" w:firstRow="0" w:lastRow="0" w:firstColumn="0" w:lastColumn="0" w:oddVBand="0" w:evenVBand="0" w:oddHBand="0" w:evenHBand="0" w:firstRowFirstColumn="0" w:firstRowLastColumn="0" w:lastRowFirstColumn="0" w:lastRowLastColumn="0"/>
            </w:pPr>
            <w:proofErr w:type="spellStart"/>
            <w:r>
              <w:t>Soriguer</w:t>
            </w:r>
            <w:proofErr w:type="spellEnd"/>
            <w:r>
              <w:t xml:space="preserve"> 2011</w:t>
            </w:r>
          </w:p>
        </w:tc>
        <w:tc>
          <w:tcPr>
            <w:tcW w:w="2268" w:type="dxa"/>
            <w:shd w:val="clear" w:color="auto" w:fill="FFFFFF" w:themeFill="background1"/>
            <w:vAlign w:val="center"/>
          </w:tcPr>
          <w:p w14:paraId="08CE422C" w14:textId="77777777" w:rsidR="00D22357" w:rsidRPr="00676398" w:rsidRDefault="00D22357" w:rsidP="00BC630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42" behindDoc="0" locked="0" layoutInCell="1" allowOverlap="1" wp14:anchorId="424F0E3B" wp14:editId="0697B51B">
                  <wp:simplePos x="0" y="0"/>
                  <wp:positionH relativeFrom="column">
                    <wp:posOffset>1068705</wp:posOffset>
                  </wp:positionH>
                  <wp:positionV relativeFrom="paragraph">
                    <wp:posOffset>-68580</wp:posOffset>
                  </wp:positionV>
                  <wp:extent cx="339725" cy="247650"/>
                  <wp:effectExtent l="0" t="0" r="3175" b="0"/>
                  <wp:wrapSquare wrapText="bothSides"/>
                  <wp:docPr id="10175601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60143"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25" cy="247650"/>
                          </a:xfrm>
                          <a:prstGeom prst="rect">
                            <a:avLst/>
                          </a:prstGeom>
                        </pic:spPr>
                      </pic:pic>
                    </a:graphicData>
                  </a:graphic>
                  <wp14:sizeRelH relativeFrom="margin">
                    <wp14:pctWidth>0</wp14:pctWidth>
                  </wp14:sizeRelH>
                  <wp14:sizeRelV relativeFrom="margin">
                    <wp14:pctHeight>0</wp14:pctHeight>
                  </wp14:sizeRelV>
                </wp:anchor>
              </w:drawing>
            </w:r>
            <w:r>
              <w:t>High</w:t>
            </w:r>
          </w:p>
        </w:tc>
        <w:tc>
          <w:tcPr>
            <w:tcW w:w="708" w:type="dxa"/>
            <w:shd w:val="clear" w:color="auto" w:fill="auto"/>
          </w:tcPr>
          <w:p w14:paraId="6BCD3F2A" w14:textId="72172F9F"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3BFD1C67" w14:textId="7E99359A"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783775DA" w14:textId="5E7D70F7" w:rsidR="00D22357" w:rsidRPr="00676398" w:rsidRDefault="009A2D5F">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993" w:type="dxa"/>
            <w:shd w:val="clear" w:color="auto" w:fill="auto"/>
          </w:tcPr>
          <w:p w14:paraId="02B1359E" w14:textId="4200EBC5" w:rsidR="00D22357" w:rsidRPr="00676398" w:rsidRDefault="009A2D5F">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1275" w:type="dxa"/>
            <w:shd w:val="clear" w:color="auto" w:fill="auto"/>
          </w:tcPr>
          <w:p w14:paraId="6362A6F8"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5AAC5741"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842" w:type="dxa"/>
            <w:shd w:val="clear" w:color="auto" w:fill="auto"/>
          </w:tcPr>
          <w:p w14:paraId="209C3D52"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r>
      <w:tr w:rsidR="00D22357" w:rsidRPr="00676398" w14:paraId="7B523B39" w14:textId="77777777" w:rsidTr="00EE389F">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2025C81A" w14:textId="77777777" w:rsidR="00D22357" w:rsidRPr="003D2A13" w:rsidRDefault="00D22357">
            <w:pPr>
              <w:spacing w:before="0" w:after="0"/>
              <w:rPr>
                <w:b w:val="0"/>
                <w:bCs/>
              </w:rPr>
            </w:pPr>
            <w:r w:rsidRPr="003D2A13">
              <w:rPr>
                <w:bCs/>
              </w:rPr>
              <w:t>Non-randomised studies of interventions (NRSIs)</w:t>
            </w:r>
          </w:p>
        </w:tc>
        <w:tc>
          <w:tcPr>
            <w:tcW w:w="2552" w:type="dxa"/>
            <w:shd w:val="clear" w:color="auto" w:fill="FFFFFF" w:themeFill="background1"/>
          </w:tcPr>
          <w:p w14:paraId="647A4544"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r>
              <w:t>Paul 1988</w:t>
            </w:r>
          </w:p>
        </w:tc>
        <w:tc>
          <w:tcPr>
            <w:tcW w:w="2268" w:type="dxa"/>
            <w:shd w:val="clear" w:color="auto" w:fill="FFFFFF" w:themeFill="background1"/>
          </w:tcPr>
          <w:p w14:paraId="41C027E8" w14:textId="5EB627E7" w:rsidR="00D22357" w:rsidRPr="00676398" w:rsidRDefault="00BC630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41" behindDoc="0" locked="0" layoutInCell="1" allowOverlap="1" wp14:anchorId="0778F332" wp14:editId="050B9232">
                  <wp:simplePos x="0" y="0"/>
                  <wp:positionH relativeFrom="column">
                    <wp:posOffset>1057910</wp:posOffset>
                  </wp:positionH>
                  <wp:positionV relativeFrom="paragraph">
                    <wp:posOffset>0</wp:posOffset>
                  </wp:positionV>
                  <wp:extent cx="339799" cy="247650"/>
                  <wp:effectExtent l="0" t="0" r="3175" b="0"/>
                  <wp:wrapSquare wrapText="bothSides"/>
                  <wp:docPr id="18528557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55786"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rsidR="00D22357">
              <w:t>Serious</w:t>
            </w:r>
          </w:p>
        </w:tc>
        <w:tc>
          <w:tcPr>
            <w:tcW w:w="708" w:type="dxa"/>
            <w:shd w:val="clear" w:color="auto" w:fill="auto"/>
          </w:tcPr>
          <w:p w14:paraId="03C7BFD5" w14:textId="15B0718A"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21170BF9" w14:textId="0463CB10"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0C330EC6"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1DCA8811"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shd w:val="clear" w:color="auto" w:fill="auto"/>
          </w:tcPr>
          <w:p w14:paraId="7DD2A83F"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158D824F"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842" w:type="dxa"/>
            <w:shd w:val="clear" w:color="auto" w:fill="auto"/>
          </w:tcPr>
          <w:p w14:paraId="70CCC944"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r>
      <w:tr w:rsidR="00D22357" w:rsidRPr="00676398" w14:paraId="6B766C34" w14:textId="77777777" w:rsidTr="00EE389F">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D9D9D9" w:themeFill="background1" w:themeFillShade="D9"/>
          </w:tcPr>
          <w:p w14:paraId="1CB6EDEC" w14:textId="77777777" w:rsidR="00D22357" w:rsidRPr="003D2A13" w:rsidRDefault="00D22357">
            <w:pPr>
              <w:spacing w:before="0" w:after="0"/>
              <w:rPr>
                <w:b w:val="0"/>
                <w:bCs/>
              </w:rPr>
            </w:pPr>
            <w:r w:rsidRPr="003D2A13">
              <w:rPr>
                <w:bCs/>
              </w:rPr>
              <w:t>Observational studies</w:t>
            </w:r>
          </w:p>
        </w:tc>
        <w:tc>
          <w:tcPr>
            <w:tcW w:w="2552" w:type="dxa"/>
            <w:shd w:val="clear" w:color="auto" w:fill="FFFFFF" w:themeFill="background1"/>
          </w:tcPr>
          <w:p w14:paraId="30D24616"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r>
              <w:t>Andersen 2001</w:t>
            </w:r>
          </w:p>
        </w:tc>
        <w:tc>
          <w:tcPr>
            <w:tcW w:w="2268" w:type="dxa"/>
            <w:shd w:val="clear" w:color="auto" w:fill="FFFFFF" w:themeFill="background1"/>
          </w:tcPr>
          <w:p w14:paraId="0DD77B2F"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43" behindDoc="0" locked="0" layoutInCell="1" allowOverlap="1" wp14:anchorId="662208A1" wp14:editId="27F44349">
                  <wp:simplePos x="0" y="0"/>
                  <wp:positionH relativeFrom="column">
                    <wp:posOffset>1057910</wp:posOffset>
                  </wp:positionH>
                  <wp:positionV relativeFrom="paragraph">
                    <wp:posOffset>0</wp:posOffset>
                  </wp:positionV>
                  <wp:extent cx="339799" cy="247650"/>
                  <wp:effectExtent l="0" t="0" r="3175" b="0"/>
                  <wp:wrapSquare wrapText="bothSides"/>
                  <wp:docPr id="20682580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58055"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708" w:type="dxa"/>
            <w:shd w:val="clear" w:color="auto" w:fill="auto"/>
          </w:tcPr>
          <w:p w14:paraId="1E9D6E9A" w14:textId="42EAB064"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18A8CA16" w14:textId="31A16E64"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1E5D740D"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0239EA32"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shd w:val="clear" w:color="auto" w:fill="auto"/>
          </w:tcPr>
          <w:p w14:paraId="02DA40FB"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09FB953C"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842" w:type="dxa"/>
            <w:shd w:val="clear" w:color="auto" w:fill="auto"/>
          </w:tcPr>
          <w:p w14:paraId="1398E42E"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r>
      <w:tr w:rsidR="00D22357" w:rsidRPr="00676398" w14:paraId="46D69A59" w14:textId="77777777" w:rsidTr="00EE389F">
        <w:tc>
          <w:tcPr>
            <w:cnfStyle w:val="001000000000" w:firstRow="0" w:lastRow="0" w:firstColumn="1" w:lastColumn="0" w:oddVBand="0" w:evenVBand="0" w:oddHBand="0" w:evenHBand="0" w:firstRowFirstColumn="0" w:firstRowLastColumn="0" w:lastRowFirstColumn="0" w:lastRowLastColumn="0"/>
            <w:tcW w:w="2405" w:type="dxa"/>
            <w:vMerge/>
          </w:tcPr>
          <w:p w14:paraId="3921F714" w14:textId="77777777" w:rsidR="00D22357" w:rsidRDefault="00D22357">
            <w:pPr>
              <w:spacing w:before="0" w:after="0"/>
            </w:pPr>
          </w:p>
        </w:tc>
        <w:tc>
          <w:tcPr>
            <w:tcW w:w="2552" w:type="dxa"/>
            <w:shd w:val="clear" w:color="auto" w:fill="FFFFFF" w:themeFill="background1"/>
          </w:tcPr>
          <w:p w14:paraId="6710892A"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r>
              <w:t>Gutierrez-</w:t>
            </w:r>
            <w:proofErr w:type="spellStart"/>
            <w:r>
              <w:t>Repiso</w:t>
            </w:r>
            <w:proofErr w:type="spellEnd"/>
            <w:r>
              <w:t xml:space="preserve"> 2015</w:t>
            </w:r>
          </w:p>
        </w:tc>
        <w:tc>
          <w:tcPr>
            <w:tcW w:w="2268" w:type="dxa"/>
            <w:shd w:val="clear" w:color="auto" w:fill="FFFFFF" w:themeFill="background1"/>
          </w:tcPr>
          <w:p w14:paraId="006AF45E"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44" behindDoc="0" locked="0" layoutInCell="1" allowOverlap="1" wp14:anchorId="3FCE24F6" wp14:editId="60C6070F">
                  <wp:simplePos x="0" y="0"/>
                  <wp:positionH relativeFrom="column">
                    <wp:posOffset>1057910</wp:posOffset>
                  </wp:positionH>
                  <wp:positionV relativeFrom="paragraph">
                    <wp:posOffset>0</wp:posOffset>
                  </wp:positionV>
                  <wp:extent cx="339799" cy="247650"/>
                  <wp:effectExtent l="0" t="0" r="3175" b="0"/>
                  <wp:wrapSquare wrapText="bothSides"/>
                  <wp:docPr id="20601122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12262"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708" w:type="dxa"/>
            <w:shd w:val="clear" w:color="auto" w:fill="auto"/>
          </w:tcPr>
          <w:p w14:paraId="222D610A" w14:textId="08024864" w:rsidR="00D22357" w:rsidRPr="00D22357" w:rsidRDefault="009A2D5F">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41F07A86" w14:textId="3ED98605" w:rsidR="00D22357" w:rsidRPr="00D22357" w:rsidRDefault="005504A3">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41994D5F"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3139F9D9"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shd w:val="clear" w:color="auto" w:fill="auto"/>
          </w:tcPr>
          <w:p w14:paraId="1832C67D"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993" w:type="dxa"/>
            <w:shd w:val="clear" w:color="auto" w:fill="auto"/>
          </w:tcPr>
          <w:p w14:paraId="6EF555EA"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842" w:type="dxa"/>
            <w:shd w:val="clear" w:color="auto" w:fill="auto"/>
          </w:tcPr>
          <w:p w14:paraId="54EDEE2A"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r>
      <w:tr w:rsidR="00D22357" w:rsidRPr="00676398" w14:paraId="771DCF71" w14:textId="77777777" w:rsidTr="00EE389F">
        <w:tc>
          <w:tcPr>
            <w:cnfStyle w:val="001000000000" w:firstRow="0" w:lastRow="0" w:firstColumn="1" w:lastColumn="0" w:oddVBand="0" w:evenVBand="0" w:oddHBand="0" w:evenHBand="0" w:firstRowFirstColumn="0" w:firstRowLastColumn="0" w:lastRowFirstColumn="0" w:lastRowLastColumn="0"/>
            <w:tcW w:w="2405" w:type="dxa"/>
            <w:vMerge/>
          </w:tcPr>
          <w:p w14:paraId="31EC210C" w14:textId="77777777" w:rsidR="00D22357" w:rsidRDefault="00D22357">
            <w:pPr>
              <w:spacing w:before="0" w:after="0"/>
            </w:pPr>
          </w:p>
        </w:tc>
        <w:tc>
          <w:tcPr>
            <w:tcW w:w="2552" w:type="dxa"/>
            <w:shd w:val="clear" w:color="auto" w:fill="FFFFFF" w:themeFill="background1"/>
          </w:tcPr>
          <w:p w14:paraId="4ABCA599"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r>
              <w:t>Teng 2006</w:t>
            </w:r>
          </w:p>
        </w:tc>
        <w:tc>
          <w:tcPr>
            <w:tcW w:w="2268" w:type="dxa"/>
            <w:shd w:val="clear" w:color="auto" w:fill="FFFFFF" w:themeFill="background1"/>
          </w:tcPr>
          <w:p w14:paraId="4229A910"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45" behindDoc="0" locked="0" layoutInCell="1" allowOverlap="1" wp14:anchorId="01131512" wp14:editId="2809A57D">
                  <wp:simplePos x="0" y="0"/>
                  <wp:positionH relativeFrom="column">
                    <wp:posOffset>1057910</wp:posOffset>
                  </wp:positionH>
                  <wp:positionV relativeFrom="paragraph">
                    <wp:posOffset>0</wp:posOffset>
                  </wp:positionV>
                  <wp:extent cx="339799" cy="247650"/>
                  <wp:effectExtent l="0" t="0" r="3175" b="0"/>
                  <wp:wrapSquare wrapText="bothSides"/>
                  <wp:docPr id="16542819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81915"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708" w:type="dxa"/>
            <w:shd w:val="clear" w:color="auto" w:fill="auto"/>
          </w:tcPr>
          <w:p w14:paraId="5347936B" w14:textId="5E93290E" w:rsidR="00D22357" w:rsidRPr="00D22357" w:rsidRDefault="005504A3">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7BEF4A15" w14:textId="27F272E6" w:rsidR="00D22357" w:rsidRPr="00D22357" w:rsidRDefault="005504A3">
            <w:pPr>
              <w:spacing w:before="0" w:after="0"/>
              <w:cnfStyle w:val="000000000000" w:firstRow="0" w:lastRow="0" w:firstColumn="0" w:lastColumn="0" w:oddVBand="0" w:evenVBand="0" w:oddHBand="0" w:evenHBand="0" w:firstRowFirstColumn="0" w:firstRowLastColumn="0" w:lastRowFirstColumn="0" w:lastRowLastColumn="0"/>
              <w:rPr>
                <w:color w:val="92D050"/>
              </w:rPr>
            </w:pPr>
            <w:r>
              <w:rPr>
                <w:color w:val="auto"/>
              </w:rPr>
              <w:t>x</w:t>
            </w:r>
          </w:p>
        </w:tc>
        <w:tc>
          <w:tcPr>
            <w:tcW w:w="567" w:type="dxa"/>
            <w:shd w:val="clear" w:color="auto" w:fill="auto"/>
          </w:tcPr>
          <w:p w14:paraId="25F9FC25" w14:textId="6617FA11" w:rsidR="00D22357" w:rsidRPr="00676398" w:rsidRDefault="005504A3">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993" w:type="dxa"/>
            <w:shd w:val="clear" w:color="auto" w:fill="auto"/>
          </w:tcPr>
          <w:p w14:paraId="024ADC4E" w14:textId="77777777" w:rsidR="00D22357" w:rsidRPr="00676398" w:rsidRDefault="00D22357">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shd w:val="clear" w:color="auto" w:fill="auto"/>
          </w:tcPr>
          <w:p w14:paraId="0CF24D0B" w14:textId="1DA446CE" w:rsidR="00D22357" w:rsidRPr="00676398" w:rsidRDefault="005504A3">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993" w:type="dxa"/>
            <w:shd w:val="clear" w:color="auto" w:fill="auto"/>
          </w:tcPr>
          <w:p w14:paraId="46825506" w14:textId="3BEB1016" w:rsidR="00D22357" w:rsidRPr="00676398" w:rsidRDefault="005504A3">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1842" w:type="dxa"/>
            <w:shd w:val="clear" w:color="auto" w:fill="auto"/>
          </w:tcPr>
          <w:p w14:paraId="1104903B" w14:textId="5932FD38" w:rsidR="00D22357" w:rsidRPr="00676398" w:rsidRDefault="005504A3">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r>
    </w:tbl>
    <w:p w14:paraId="6FD9BEEC" w14:textId="77777777" w:rsidR="00BC6309" w:rsidRPr="00BC6309" w:rsidRDefault="00BC6309" w:rsidP="00BC6309">
      <w:pPr>
        <w:pStyle w:val="Heading4"/>
        <w:rPr>
          <w:i/>
          <w:iCs/>
        </w:rPr>
      </w:pPr>
      <w:bookmarkStart w:id="190" w:name="_Toc202956867"/>
      <w:bookmarkStart w:id="191" w:name="_Toc212567918"/>
      <w:r w:rsidRPr="00BC6309">
        <w:rPr>
          <w:i/>
          <w:iCs/>
        </w:rPr>
        <w:lastRenderedPageBreak/>
        <w:t>Pregnancy (published since 2016)</w:t>
      </w:r>
      <w:bookmarkEnd w:id="190"/>
      <w:bookmarkEnd w:id="191"/>
    </w:p>
    <w:p w14:paraId="0F7E5D32" w14:textId="77777777" w:rsidR="00BC6309" w:rsidRPr="00D34449" w:rsidRDefault="00BC6309" w:rsidP="00BC6309">
      <w:pPr>
        <w:pStyle w:val="Heading5"/>
        <w:rPr>
          <w:rFonts w:ascii="Gotham Book" w:hAnsi="Gotham Book"/>
        </w:rPr>
      </w:pPr>
      <w:r w:rsidRPr="00D34449">
        <w:rPr>
          <w:rFonts w:ascii="Gotham Book" w:hAnsi="Gotham Book"/>
        </w:rPr>
        <w:t xml:space="preserve">Maternal outcomes </w:t>
      </w:r>
    </w:p>
    <w:tbl>
      <w:tblPr>
        <w:tblStyle w:val="DefaultTable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1980"/>
        <w:gridCol w:w="2268"/>
        <w:gridCol w:w="2473"/>
        <w:gridCol w:w="683"/>
        <w:gridCol w:w="561"/>
        <w:gridCol w:w="539"/>
        <w:gridCol w:w="981"/>
        <w:gridCol w:w="1187"/>
        <w:gridCol w:w="981"/>
        <w:gridCol w:w="1796"/>
      </w:tblGrid>
      <w:tr w:rsidR="00BC6309" w14:paraId="45FAE6EE" w14:textId="77777777" w:rsidTr="00D34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1" w:type="dxa"/>
            <w:gridSpan w:val="3"/>
            <w:shd w:val="clear" w:color="auto" w:fill="D9D9D9" w:themeFill="background1" w:themeFillShade="D9"/>
          </w:tcPr>
          <w:p w14:paraId="7DCA0B92" w14:textId="77777777" w:rsidR="00BC6309" w:rsidRPr="001F2B58" w:rsidRDefault="00BC6309">
            <w:pPr>
              <w:rPr>
                <w:b w:val="0"/>
                <w:bCs/>
              </w:rPr>
            </w:pPr>
            <w:r w:rsidRPr="001F2B58">
              <w:rPr>
                <w:bCs/>
              </w:rPr>
              <w:t>Study characteristics</w:t>
            </w:r>
          </w:p>
        </w:tc>
        <w:tc>
          <w:tcPr>
            <w:tcW w:w="6728" w:type="dxa"/>
            <w:gridSpan w:val="7"/>
            <w:shd w:val="clear" w:color="auto" w:fill="D9D9D9" w:themeFill="background1" w:themeFillShade="D9"/>
          </w:tcPr>
          <w:p w14:paraId="4B2ADA06" w14:textId="77777777" w:rsidR="00BC6309" w:rsidRPr="001F2B58" w:rsidRDefault="00BC6309">
            <w:pPr>
              <w:cnfStyle w:val="100000000000" w:firstRow="1" w:lastRow="0" w:firstColumn="0" w:lastColumn="0" w:oddVBand="0" w:evenVBand="0" w:oddHBand="0" w:evenHBand="0" w:firstRowFirstColumn="0" w:firstRowLastColumn="0" w:lastRowFirstColumn="0" w:lastRowLastColumn="0"/>
              <w:rPr>
                <w:b w:val="0"/>
                <w:bCs/>
              </w:rPr>
            </w:pPr>
            <w:r w:rsidRPr="001F2B58">
              <w:rPr>
                <w:bCs/>
              </w:rPr>
              <w:t>Outcomes reported</w:t>
            </w:r>
          </w:p>
        </w:tc>
      </w:tr>
      <w:tr w:rsidR="00D34449" w14:paraId="113E4403" w14:textId="77777777" w:rsidTr="00D34449">
        <w:tc>
          <w:tcPr>
            <w:cnfStyle w:val="001000000000" w:firstRow="0" w:lastRow="0" w:firstColumn="1" w:lastColumn="0" w:oddVBand="0" w:evenVBand="0" w:oddHBand="0" w:evenHBand="0" w:firstRowFirstColumn="0" w:firstRowLastColumn="0" w:lastRowFirstColumn="0" w:lastRowLastColumn="0"/>
            <w:tcW w:w="1980" w:type="dxa"/>
            <w:shd w:val="clear" w:color="auto" w:fill="D9D9D9" w:themeFill="background1" w:themeFillShade="D9"/>
          </w:tcPr>
          <w:p w14:paraId="457A0EA1" w14:textId="77777777" w:rsidR="00BC6309" w:rsidRPr="001F2B58" w:rsidRDefault="00BC6309">
            <w:pPr>
              <w:rPr>
                <w:b w:val="0"/>
                <w:bCs/>
              </w:rPr>
            </w:pPr>
            <w:r>
              <w:rPr>
                <w:bCs/>
              </w:rPr>
              <w:t>Study type</w:t>
            </w:r>
          </w:p>
        </w:tc>
        <w:tc>
          <w:tcPr>
            <w:tcW w:w="2268" w:type="dxa"/>
            <w:shd w:val="clear" w:color="auto" w:fill="D9D9D9" w:themeFill="background1" w:themeFillShade="D9"/>
          </w:tcPr>
          <w:p w14:paraId="76900BFA" w14:textId="77777777" w:rsidR="00BC6309" w:rsidRPr="001F2B58" w:rsidRDefault="00BC6309">
            <w:pPr>
              <w:cnfStyle w:val="000000000000" w:firstRow="0" w:lastRow="0" w:firstColumn="0" w:lastColumn="0" w:oddVBand="0" w:evenVBand="0" w:oddHBand="0" w:evenHBand="0" w:firstRowFirstColumn="0" w:firstRowLastColumn="0" w:lastRowFirstColumn="0" w:lastRowLastColumn="0"/>
              <w:rPr>
                <w:b/>
                <w:bCs/>
              </w:rPr>
            </w:pPr>
            <w:r w:rsidRPr="001F2B58">
              <w:rPr>
                <w:b/>
                <w:bCs/>
              </w:rPr>
              <w:t>Study ID</w:t>
            </w:r>
          </w:p>
        </w:tc>
        <w:tc>
          <w:tcPr>
            <w:tcW w:w="2473" w:type="dxa"/>
            <w:shd w:val="clear" w:color="auto" w:fill="D9D9D9" w:themeFill="background1" w:themeFillShade="D9"/>
          </w:tcPr>
          <w:p w14:paraId="0F287FB1" w14:textId="77777777" w:rsidR="00BC6309" w:rsidRPr="001F2B58" w:rsidRDefault="00BC6309">
            <w:pPr>
              <w:cnfStyle w:val="000000000000" w:firstRow="0" w:lastRow="0" w:firstColumn="0" w:lastColumn="0" w:oddVBand="0" w:evenVBand="0" w:oddHBand="0" w:evenHBand="0" w:firstRowFirstColumn="0" w:firstRowLastColumn="0" w:lastRowFirstColumn="0" w:lastRowLastColumn="0"/>
              <w:rPr>
                <w:b/>
                <w:bCs/>
              </w:rPr>
            </w:pPr>
            <w:r w:rsidRPr="001F2B58">
              <w:rPr>
                <w:b/>
                <w:bCs/>
              </w:rPr>
              <w:t>Overall risk of bias</w:t>
            </w:r>
          </w:p>
        </w:tc>
        <w:tc>
          <w:tcPr>
            <w:tcW w:w="683" w:type="dxa"/>
            <w:shd w:val="clear" w:color="auto" w:fill="D9D9D9" w:themeFill="background1" w:themeFillShade="D9"/>
          </w:tcPr>
          <w:p w14:paraId="1FB7652C" w14:textId="77777777" w:rsidR="00BC6309" w:rsidRPr="00EE7DD3" w:rsidRDefault="00BC6309">
            <w:pPr>
              <w:cnfStyle w:val="000000000000" w:firstRow="0" w:lastRow="0" w:firstColumn="0" w:lastColumn="0" w:oddVBand="0" w:evenVBand="0" w:oddHBand="0" w:evenHBand="0" w:firstRowFirstColumn="0" w:firstRowLastColumn="0" w:lastRowFirstColumn="0" w:lastRowLastColumn="0"/>
              <w:rPr>
                <w:b/>
                <w:bCs/>
              </w:rPr>
            </w:pPr>
            <w:r w:rsidRPr="00EE7DD3">
              <w:rPr>
                <w:b/>
                <w:bCs/>
              </w:rPr>
              <w:t>TSH</w:t>
            </w:r>
          </w:p>
        </w:tc>
        <w:tc>
          <w:tcPr>
            <w:tcW w:w="561" w:type="dxa"/>
            <w:shd w:val="clear" w:color="auto" w:fill="D9D9D9" w:themeFill="background1" w:themeFillShade="D9"/>
          </w:tcPr>
          <w:p w14:paraId="59B1017B" w14:textId="77777777" w:rsidR="00BC6309" w:rsidRPr="00EE7DD3" w:rsidRDefault="00BC6309">
            <w:pPr>
              <w:cnfStyle w:val="000000000000" w:firstRow="0" w:lastRow="0" w:firstColumn="0" w:lastColumn="0" w:oddVBand="0" w:evenVBand="0" w:oddHBand="0" w:evenHBand="0" w:firstRowFirstColumn="0" w:firstRowLastColumn="0" w:lastRowFirstColumn="0" w:lastRowLastColumn="0"/>
              <w:rPr>
                <w:b/>
                <w:bCs/>
              </w:rPr>
            </w:pPr>
            <w:r w:rsidRPr="00EE7DD3">
              <w:rPr>
                <w:b/>
                <w:bCs/>
              </w:rPr>
              <w:t>FT4</w:t>
            </w:r>
          </w:p>
        </w:tc>
        <w:tc>
          <w:tcPr>
            <w:tcW w:w="539" w:type="dxa"/>
            <w:shd w:val="clear" w:color="auto" w:fill="D9D9D9" w:themeFill="background1" w:themeFillShade="D9"/>
          </w:tcPr>
          <w:p w14:paraId="7692A3DF" w14:textId="77777777" w:rsidR="00BC6309" w:rsidRPr="00EE7DD3" w:rsidRDefault="00BC6309">
            <w:pPr>
              <w:cnfStyle w:val="000000000000" w:firstRow="0" w:lastRow="0" w:firstColumn="0" w:lastColumn="0" w:oddVBand="0" w:evenVBand="0" w:oddHBand="0" w:evenHBand="0" w:firstRowFirstColumn="0" w:firstRowLastColumn="0" w:lastRowFirstColumn="0" w:lastRowLastColumn="0"/>
              <w:rPr>
                <w:b/>
                <w:bCs/>
              </w:rPr>
            </w:pPr>
            <w:proofErr w:type="spellStart"/>
            <w:r w:rsidRPr="00EE7DD3">
              <w:rPr>
                <w:b/>
                <w:bCs/>
              </w:rPr>
              <w:t>Tg</w:t>
            </w:r>
            <w:proofErr w:type="spellEnd"/>
          </w:p>
        </w:tc>
        <w:tc>
          <w:tcPr>
            <w:tcW w:w="981" w:type="dxa"/>
            <w:shd w:val="clear" w:color="auto" w:fill="D9D9D9" w:themeFill="background1" w:themeFillShade="D9"/>
          </w:tcPr>
          <w:p w14:paraId="72A59A32" w14:textId="77777777" w:rsidR="00BC6309" w:rsidRPr="00EE7DD3" w:rsidRDefault="00BC6309">
            <w:pPr>
              <w:cnfStyle w:val="000000000000" w:firstRow="0" w:lastRow="0" w:firstColumn="0" w:lastColumn="0" w:oddVBand="0" w:evenVBand="0" w:oddHBand="0" w:evenHBand="0" w:firstRowFirstColumn="0" w:firstRowLastColumn="0" w:lastRowFirstColumn="0" w:lastRowLastColumn="0"/>
              <w:rPr>
                <w:b/>
                <w:bCs/>
              </w:rPr>
            </w:pPr>
            <w:r w:rsidRPr="00EE7DD3">
              <w:rPr>
                <w:b/>
                <w:bCs/>
              </w:rPr>
              <w:t>Thyroid volume</w:t>
            </w:r>
          </w:p>
        </w:tc>
        <w:tc>
          <w:tcPr>
            <w:tcW w:w="1187" w:type="dxa"/>
            <w:shd w:val="clear" w:color="auto" w:fill="D9D9D9" w:themeFill="background1" w:themeFillShade="D9"/>
          </w:tcPr>
          <w:p w14:paraId="5619577D" w14:textId="77777777" w:rsidR="00BC6309" w:rsidRPr="00EE7DD3" w:rsidRDefault="00BC6309">
            <w:pPr>
              <w:cnfStyle w:val="000000000000" w:firstRow="0" w:lastRow="0" w:firstColumn="0" w:lastColumn="0" w:oddVBand="0" w:evenVBand="0" w:oddHBand="0" w:evenHBand="0" w:firstRowFirstColumn="0" w:firstRowLastColumn="0" w:lastRowFirstColumn="0" w:lastRowLastColumn="0"/>
              <w:rPr>
                <w:b/>
                <w:bCs/>
              </w:rPr>
            </w:pPr>
            <w:r w:rsidRPr="00EE7DD3">
              <w:rPr>
                <w:b/>
                <w:bCs/>
              </w:rPr>
              <w:t>Total goitre rate</w:t>
            </w:r>
          </w:p>
        </w:tc>
        <w:tc>
          <w:tcPr>
            <w:tcW w:w="981" w:type="dxa"/>
            <w:shd w:val="clear" w:color="auto" w:fill="D9D9D9" w:themeFill="background1" w:themeFillShade="D9"/>
          </w:tcPr>
          <w:p w14:paraId="253E42D5" w14:textId="77777777" w:rsidR="00BC6309" w:rsidRPr="00EE7DD3" w:rsidRDefault="00BC6309">
            <w:pPr>
              <w:cnfStyle w:val="000000000000" w:firstRow="0" w:lastRow="0" w:firstColumn="0" w:lastColumn="0" w:oddVBand="0" w:evenVBand="0" w:oddHBand="0" w:evenHBand="0" w:firstRowFirstColumn="0" w:firstRowLastColumn="0" w:lastRowFirstColumn="0" w:lastRowLastColumn="0"/>
              <w:rPr>
                <w:b/>
                <w:bCs/>
              </w:rPr>
            </w:pPr>
            <w:r w:rsidRPr="00EE7DD3">
              <w:rPr>
                <w:b/>
                <w:bCs/>
              </w:rPr>
              <w:t>Thyroid cancer</w:t>
            </w:r>
          </w:p>
        </w:tc>
        <w:tc>
          <w:tcPr>
            <w:tcW w:w="1796" w:type="dxa"/>
            <w:shd w:val="clear" w:color="auto" w:fill="D9D9D9" w:themeFill="background1" w:themeFillShade="D9"/>
          </w:tcPr>
          <w:p w14:paraId="6096B8D9" w14:textId="77777777" w:rsidR="00BC6309" w:rsidRPr="00EE7DD3" w:rsidRDefault="00BC6309">
            <w:pPr>
              <w:cnfStyle w:val="000000000000" w:firstRow="0" w:lastRow="0" w:firstColumn="0" w:lastColumn="0" w:oddVBand="0" w:evenVBand="0" w:oddHBand="0" w:evenHBand="0" w:firstRowFirstColumn="0" w:firstRowLastColumn="0" w:lastRowFirstColumn="0" w:lastRowLastColumn="0"/>
              <w:rPr>
                <w:b/>
                <w:bCs/>
              </w:rPr>
            </w:pPr>
            <w:r w:rsidRPr="00EE7DD3">
              <w:rPr>
                <w:b/>
                <w:bCs/>
              </w:rPr>
              <w:t>Thyroid autoimmunity</w:t>
            </w:r>
          </w:p>
        </w:tc>
      </w:tr>
      <w:tr w:rsidR="00D34449" w:rsidRPr="00676398" w14:paraId="5C5C6917"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D9D9D9" w:themeFill="background1" w:themeFillShade="D9"/>
          </w:tcPr>
          <w:p w14:paraId="1CC3DF24" w14:textId="77777777" w:rsidR="00BC6309" w:rsidRPr="003D2A13" w:rsidRDefault="00BC6309">
            <w:pPr>
              <w:spacing w:after="120"/>
              <w:rPr>
                <w:b w:val="0"/>
                <w:bCs/>
              </w:rPr>
            </w:pPr>
            <w:r w:rsidRPr="003D2A13">
              <w:rPr>
                <w:bCs/>
              </w:rPr>
              <w:t>Randomised controlled trials (RCTs)</w:t>
            </w:r>
          </w:p>
        </w:tc>
        <w:tc>
          <w:tcPr>
            <w:tcW w:w="2268" w:type="dxa"/>
          </w:tcPr>
          <w:p w14:paraId="21541676" w14:textId="77777777" w:rsidR="00BC6309" w:rsidRPr="00676398" w:rsidRDefault="00BC6309">
            <w:pPr>
              <w:spacing w:after="120"/>
              <w:cnfStyle w:val="000000000000" w:firstRow="0" w:lastRow="0" w:firstColumn="0" w:lastColumn="0" w:oddVBand="0" w:evenVBand="0" w:oddHBand="0" w:evenHBand="0" w:firstRowFirstColumn="0" w:firstRowLastColumn="0" w:lastRowFirstColumn="0" w:lastRowLastColumn="0"/>
            </w:pPr>
            <w:proofErr w:type="spellStart"/>
            <w:r w:rsidRPr="001D6AFD">
              <w:rPr>
                <w:rFonts w:eastAsia="Calibri" w:cs="Arial"/>
              </w:rPr>
              <w:t>Censi</w:t>
            </w:r>
            <w:proofErr w:type="spellEnd"/>
            <w:r w:rsidRPr="001D6AFD">
              <w:rPr>
                <w:rFonts w:eastAsia="Calibri" w:cs="Arial"/>
              </w:rPr>
              <w:t xml:space="preserve"> 2019</w:t>
            </w:r>
          </w:p>
        </w:tc>
        <w:tc>
          <w:tcPr>
            <w:tcW w:w="2473" w:type="dxa"/>
          </w:tcPr>
          <w:p w14:paraId="31EE710E" w14:textId="075E8A3B" w:rsidR="00BC6309" w:rsidRPr="00676398" w:rsidRDefault="00B02E69">
            <w:pPr>
              <w:spacing w:after="120"/>
              <w:cnfStyle w:val="000000000000" w:firstRow="0" w:lastRow="0" w:firstColumn="0" w:lastColumn="0" w:oddVBand="0" w:evenVBand="0" w:oddHBand="0" w:evenHBand="0" w:firstRowFirstColumn="0" w:firstRowLastColumn="0" w:lastRowFirstColumn="0" w:lastRowLastColumn="0"/>
            </w:pPr>
            <w:r w:rsidRPr="00A34F7B">
              <w:rPr>
                <w:noProof/>
              </w:rPr>
              <w:drawing>
                <wp:anchor distT="0" distB="0" distL="114300" distR="114300" simplePos="0" relativeHeight="251658253" behindDoc="0" locked="0" layoutInCell="1" allowOverlap="1" wp14:anchorId="0A7765FC" wp14:editId="6209A11B">
                  <wp:simplePos x="0" y="0"/>
                  <wp:positionH relativeFrom="column">
                    <wp:posOffset>1258128</wp:posOffset>
                  </wp:positionH>
                  <wp:positionV relativeFrom="paragraph">
                    <wp:posOffset>31447</wp:posOffset>
                  </wp:positionV>
                  <wp:extent cx="273050" cy="278765"/>
                  <wp:effectExtent l="0" t="0" r="0" b="6985"/>
                  <wp:wrapSquare wrapText="bothSides"/>
                  <wp:docPr id="18684278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27865" name="Picture 1">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Lst>
                          </a:blip>
                          <a:stretch>
                            <a:fillRect/>
                          </a:stretch>
                        </pic:blipFill>
                        <pic:spPr>
                          <a:xfrm>
                            <a:off x="0" y="0"/>
                            <a:ext cx="273050" cy="278765"/>
                          </a:xfrm>
                          <a:prstGeom prst="rect">
                            <a:avLst/>
                          </a:prstGeom>
                        </pic:spPr>
                      </pic:pic>
                    </a:graphicData>
                  </a:graphic>
                  <wp14:sizeRelH relativeFrom="margin">
                    <wp14:pctWidth>0</wp14:pctWidth>
                  </wp14:sizeRelH>
                  <wp14:sizeRelV relativeFrom="margin">
                    <wp14:pctHeight>0</wp14:pctHeight>
                  </wp14:sizeRelV>
                </wp:anchor>
              </w:drawing>
            </w:r>
            <w:r w:rsidR="00BC6309">
              <w:t>Low</w:t>
            </w:r>
          </w:p>
        </w:tc>
        <w:tc>
          <w:tcPr>
            <w:tcW w:w="683" w:type="dxa"/>
            <w:shd w:val="clear" w:color="auto" w:fill="auto"/>
          </w:tcPr>
          <w:p w14:paraId="2373E4CE" w14:textId="118CFABF"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61" w:type="dxa"/>
            <w:shd w:val="clear" w:color="auto" w:fill="auto"/>
          </w:tcPr>
          <w:p w14:paraId="301D6796" w14:textId="0003486A"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39" w:type="dxa"/>
            <w:shd w:val="clear" w:color="auto" w:fill="auto"/>
          </w:tcPr>
          <w:p w14:paraId="731BBA88" w14:textId="5A0C571B" w:rsidR="00BC6309" w:rsidRPr="00676398" w:rsidRDefault="005504A3">
            <w:pPr>
              <w:cnfStyle w:val="000000000000" w:firstRow="0" w:lastRow="0" w:firstColumn="0" w:lastColumn="0" w:oddVBand="0" w:evenVBand="0" w:oddHBand="0" w:evenHBand="0" w:firstRowFirstColumn="0" w:firstRowLastColumn="0" w:lastRowFirstColumn="0" w:lastRowLastColumn="0"/>
            </w:pPr>
            <w:r>
              <w:rPr>
                <w:color w:val="auto"/>
              </w:rPr>
              <w:t>x</w:t>
            </w:r>
          </w:p>
        </w:tc>
        <w:tc>
          <w:tcPr>
            <w:tcW w:w="981" w:type="dxa"/>
            <w:shd w:val="clear" w:color="auto" w:fill="auto"/>
          </w:tcPr>
          <w:p w14:paraId="09CFF9D5" w14:textId="2DBA64DA" w:rsidR="00BC6309" w:rsidRPr="00676398" w:rsidRDefault="005504A3">
            <w:pPr>
              <w:cnfStyle w:val="000000000000" w:firstRow="0" w:lastRow="0" w:firstColumn="0" w:lastColumn="0" w:oddVBand="0" w:evenVBand="0" w:oddHBand="0" w:evenHBand="0" w:firstRowFirstColumn="0" w:firstRowLastColumn="0" w:lastRowFirstColumn="0" w:lastRowLastColumn="0"/>
            </w:pPr>
            <w:r>
              <w:rPr>
                <w:color w:val="auto"/>
              </w:rPr>
              <w:t>x</w:t>
            </w:r>
          </w:p>
        </w:tc>
        <w:tc>
          <w:tcPr>
            <w:tcW w:w="1187" w:type="dxa"/>
            <w:shd w:val="clear" w:color="auto" w:fill="auto"/>
          </w:tcPr>
          <w:p w14:paraId="0AB00EC3"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1F331307"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796" w:type="dxa"/>
            <w:shd w:val="clear" w:color="auto" w:fill="auto"/>
          </w:tcPr>
          <w:p w14:paraId="056DB243"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r>
      <w:tr w:rsidR="00D34449" w:rsidRPr="00676398" w14:paraId="59259AE0"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60386C66" w14:textId="77777777" w:rsidR="00BC6309" w:rsidRPr="003D2A13" w:rsidRDefault="00BC6309">
            <w:pPr>
              <w:spacing w:after="120"/>
              <w:rPr>
                <w:b w:val="0"/>
                <w:bCs/>
              </w:rPr>
            </w:pPr>
          </w:p>
        </w:tc>
        <w:tc>
          <w:tcPr>
            <w:tcW w:w="2268" w:type="dxa"/>
          </w:tcPr>
          <w:p w14:paraId="6FA3651C" w14:textId="77777777" w:rsidR="00BC6309" w:rsidRPr="00676398" w:rsidRDefault="00BC6309">
            <w:pPr>
              <w:spacing w:after="120"/>
              <w:cnfStyle w:val="000000000000" w:firstRow="0" w:lastRow="0" w:firstColumn="0" w:lastColumn="0" w:oddVBand="0" w:evenVBand="0" w:oddHBand="0" w:evenHBand="0" w:firstRowFirstColumn="0" w:firstRowLastColumn="0" w:lastRowFirstColumn="0" w:lastRowLastColumn="0"/>
            </w:pPr>
            <w:r w:rsidRPr="001D6AFD">
              <w:rPr>
                <w:rFonts w:eastAsia="Calibri" w:cs="Arial"/>
              </w:rPr>
              <w:t>Eriksen 2020</w:t>
            </w:r>
          </w:p>
        </w:tc>
        <w:tc>
          <w:tcPr>
            <w:tcW w:w="2473" w:type="dxa"/>
          </w:tcPr>
          <w:p w14:paraId="6A6ADE20" w14:textId="7F64321E" w:rsidR="00BC6309" w:rsidRPr="00676398" w:rsidRDefault="00B02E69">
            <w:pPr>
              <w:spacing w:after="120"/>
              <w:cnfStyle w:val="000000000000" w:firstRow="0" w:lastRow="0" w:firstColumn="0" w:lastColumn="0" w:oddVBand="0" w:evenVBand="0" w:oddHBand="0" w:evenHBand="0" w:firstRowFirstColumn="0" w:firstRowLastColumn="0" w:lastRowFirstColumn="0" w:lastRowLastColumn="0"/>
            </w:pPr>
            <w:r w:rsidRPr="00A34F7B">
              <w:rPr>
                <w:noProof/>
              </w:rPr>
              <w:drawing>
                <wp:anchor distT="0" distB="0" distL="114300" distR="114300" simplePos="0" relativeHeight="251658254" behindDoc="0" locked="0" layoutInCell="1" allowOverlap="1" wp14:anchorId="3DC1AA7D" wp14:editId="151E7A7D">
                  <wp:simplePos x="0" y="0"/>
                  <wp:positionH relativeFrom="column">
                    <wp:posOffset>1257935</wp:posOffset>
                  </wp:positionH>
                  <wp:positionV relativeFrom="paragraph">
                    <wp:posOffset>7951</wp:posOffset>
                  </wp:positionV>
                  <wp:extent cx="273050" cy="278765"/>
                  <wp:effectExtent l="0" t="0" r="0" b="6985"/>
                  <wp:wrapSquare wrapText="bothSides"/>
                  <wp:docPr id="456910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1050" name="Picture 1">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Lst>
                          </a:blip>
                          <a:stretch>
                            <a:fillRect/>
                          </a:stretch>
                        </pic:blipFill>
                        <pic:spPr>
                          <a:xfrm>
                            <a:off x="0" y="0"/>
                            <a:ext cx="273050" cy="278765"/>
                          </a:xfrm>
                          <a:prstGeom prst="rect">
                            <a:avLst/>
                          </a:prstGeom>
                        </pic:spPr>
                      </pic:pic>
                    </a:graphicData>
                  </a:graphic>
                  <wp14:sizeRelH relativeFrom="margin">
                    <wp14:pctWidth>0</wp14:pctWidth>
                  </wp14:sizeRelH>
                  <wp14:sizeRelV relativeFrom="margin">
                    <wp14:pctHeight>0</wp14:pctHeight>
                  </wp14:sizeRelV>
                </wp:anchor>
              </w:drawing>
            </w:r>
            <w:r w:rsidR="00BC6309">
              <w:t>Low</w:t>
            </w:r>
          </w:p>
        </w:tc>
        <w:tc>
          <w:tcPr>
            <w:tcW w:w="683" w:type="dxa"/>
            <w:shd w:val="clear" w:color="auto" w:fill="auto"/>
          </w:tcPr>
          <w:p w14:paraId="20D874AD" w14:textId="5FC351C5"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61" w:type="dxa"/>
            <w:shd w:val="clear" w:color="auto" w:fill="auto"/>
          </w:tcPr>
          <w:p w14:paraId="2B00DEC6"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539" w:type="dxa"/>
            <w:shd w:val="clear" w:color="auto" w:fill="auto"/>
          </w:tcPr>
          <w:p w14:paraId="5B6F282C" w14:textId="5AAD4983" w:rsidR="00BC6309" w:rsidRPr="00676398" w:rsidRDefault="005504A3">
            <w:pPr>
              <w:cnfStyle w:val="000000000000" w:firstRow="0" w:lastRow="0" w:firstColumn="0" w:lastColumn="0" w:oddVBand="0" w:evenVBand="0" w:oddHBand="0" w:evenHBand="0" w:firstRowFirstColumn="0" w:firstRowLastColumn="0" w:lastRowFirstColumn="0" w:lastRowLastColumn="0"/>
            </w:pPr>
            <w:r>
              <w:rPr>
                <w:color w:val="auto"/>
              </w:rPr>
              <w:t>x</w:t>
            </w:r>
          </w:p>
        </w:tc>
        <w:tc>
          <w:tcPr>
            <w:tcW w:w="981" w:type="dxa"/>
            <w:shd w:val="clear" w:color="auto" w:fill="auto"/>
          </w:tcPr>
          <w:p w14:paraId="5264FC72"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187" w:type="dxa"/>
            <w:shd w:val="clear" w:color="auto" w:fill="auto"/>
          </w:tcPr>
          <w:p w14:paraId="073580CD"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2A9AF4B7"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796" w:type="dxa"/>
            <w:shd w:val="clear" w:color="auto" w:fill="auto"/>
          </w:tcPr>
          <w:p w14:paraId="15AAEBD2" w14:textId="195D0273" w:rsidR="00BC6309" w:rsidRPr="00676398" w:rsidRDefault="00143295">
            <w:pPr>
              <w:cnfStyle w:val="000000000000" w:firstRow="0" w:lastRow="0" w:firstColumn="0" w:lastColumn="0" w:oddVBand="0" w:evenVBand="0" w:oddHBand="0" w:evenHBand="0" w:firstRowFirstColumn="0" w:firstRowLastColumn="0" w:lastRowFirstColumn="0" w:lastRowLastColumn="0"/>
            </w:pPr>
            <w:r>
              <w:t>x</w:t>
            </w:r>
          </w:p>
        </w:tc>
      </w:tr>
      <w:tr w:rsidR="00D34449" w:rsidRPr="00676398" w14:paraId="64E538E4"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12B35713" w14:textId="77777777" w:rsidR="00BC6309" w:rsidRPr="003D2A13" w:rsidRDefault="00BC6309">
            <w:pPr>
              <w:rPr>
                <w:b w:val="0"/>
                <w:bCs/>
              </w:rPr>
            </w:pPr>
          </w:p>
        </w:tc>
        <w:tc>
          <w:tcPr>
            <w:tcW w:w="2268" w:type="dxa"/>
          </w:tcPr>
          <w:p w14:paraId="05202343" w14:textId="77777777" w:rsidR="00BC6309" w:rsidRPr="00676398" w:rsidRDefault="00BC6309">
            <w:pPr>
              <w:spacing w:after="120"/>
              <w:cnfStyle w:val="000000000000" w:firstRow="0" w:lastRow="0" w:firstColumn="0" w:lastColumn="0" w:oddVBand="0" w:evenVBand="0" w:oddHBand="0" w:evenHBand="0" w:firstRowFirstColumn="0" w:firstRowLastColumn="0" w:lastRowFirstColumn="0" w:lastRowLastColumn="0"/>
            </w:pPr>
            <w:proofErr w:type="spellStart"/>
            <w:r w:rsidRPr="001D6AFD">
              <w:rPr>
                <w:rFonts w:eastAsia="Calibri" w:cs="Arial"/>
              </w:rPr>
              <w:t>Gowachirapant</w:t>
            </w:r>
            <w:proofErr w:type="spellEnd"/>
            <w:r w:rsidRPr="001D6AFD">
              <w:rPr>
                <w:rFonts w:eastAsia="Calibri" w:cs="Arial"/>
              </w:rPr>
              <w:t xml:space="preserve"> 2017</w:t>
            </w:r>
          </w:p>
        </w:tc>
        <w:tc>
          <w:tcPr>
            <w:tcW w:w="2473" w:type="dxa"/>
          </w:tcPr>
          <w:p w14:paraId="3CF56D06" w14:textId="55A419B4" w:rsidR="00BC6309" w:rsidRPr="00676398" w:rsidRDefault="00D34449">
            <w:pPr>
              <w:spacing w:after="120"/>
              <w:cnfStyle w:val="000000000000" w:firstRow="0" w:lastRow="0" w:firstColumn="0" w:lastColumn="0" w:oddVBand="0" w:evenVBand="0" w:oddHBand="0" w:evenHBand="0" w:firstRowFirstColumn="0" w:firstRowLastColumn="0" w:lastRowFirstColumn="0" w:lastRowLastColumn="0"/>
            </w:pPr>
            <w:r w:rsidRPr="009D6D00">
              <w:rPr>
                <w:noProof/>
              </w:rPr>
              <w:drawing>
                <wp:anchor distT="0" distB="0" distL="114300" distR="114300" simplePos="0" relativeHeight="251658256" behindDoc="0" locked="0" layoutInCell="1" allowOverlap="1" wp14:anchorId="64F91423" wp14:editId="4D4DCB3A">
                  <wp:simplePos x="0" y="0"/>
                  <wp:positionH relativeFrom="column">
                    <wp:posOffset>1226599</wp:posOffset>
                  </wp:positionH>
                  <wp:positionV relativeFrom="paragraph">
                    <wp:posOffset>607</wp:posOffset>
                  </wp:positionV>
                  <wp:extent cx="301625" cy="282575"/>
                  <wp:effectExtent l="0" t="0" r="3175" b="3175"/>
                  <wp:wrapSquare wrapText="bothSides"/>
                  <wp:docPr id="10290052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05277" name="Picture 1">
                            <a:extLst>
                              <a:ext uri="{C183D7F6-B498-43B3-948B-1728B52AA6E4}">
                                <adec:decorative xmlns:adec="http://schemas.microsoft.com/office/drawing/2017/decorative" val="1"/>
                              </a:ext>
                            </a:extLst>
                          </pic:cNvPr>
                          <pic:cNvPicPr/>
                        </pic:nvPicPr>
                        <pic:blipFill>
                          <a:blip r:embed="rId92">
                            <a:extLst>
                              <a:ext uri="{28A0092B-C50C-407E-A947-70E740481C1C}">
                                <a14:useLocalDpi xmlns:a14="http://schemas.microsoft.com/office/drawing/2010/main" val="0"/>
                              </a:ext>
                            </a:extLst>
                          </a:blip>
                          <a:stretch>
                            <a:fillRect/>
                          </a:stretch>
                        </pic:blipFill>
                        <pic:spPr>
                          <a:xfrm>
                            <a:off x="0" y="0"/>
                            <a:ext cx="301625" cy="282575"/>
                          </a:xfrm>
                          <a:prstGeom prst="rect">
                            <a:avLst/>
                          </a:prstGeom>
                        </pic:spPr>
                      </pic:pic>
                    </a:graphicData>
                  </a:graphic>
                  <wp14:sizeRelH relativeFrom="margin">
                    <wp14:pctWidth>0</wp14:pctWidth>
                  </wp14:sizeRelH>
                  <wp14:sizeRelV relativeFrom="margin">
                    <wp14:pctHeight>0</wp14:pctHeight>
                  </wp14:sizeRelV>
                </wp:anchor>
              </w:drawing>
            </w:r>
            <w:r w:rsidR="00BC6309">
              <w:t>Some concerns</w:t>
            </w:r>
          </w:p>
        </w:tc>
        <w:tc>
          <w:tcPr>
            <w:tcW w:w="683" w:type="dxa"/>
            <w:shd w:val="clear" w:color="auto" w:fill="auto"/>
          </w:tcPr>
          <w:p w14:paraId="2E64550D" w14:textId="18352743"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61" w:type="dxa"/>
            <w:shd w:val="clear" w:color="auto" w:fill="auto"/>
          </w:tcPr>
          <w:p w14:paraId="5A1F8D57" w14:textId="29187456"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39" w:type="dxa"/>
            <w:shd w:val="clear" w:color="auto" w:fill="auto"/>
          </w:tcPr>
          <w:p w14:paraId="077E3699" w14:textId="230F7726" w:rsidR="00BC6309" w:rsidRPr="00676398" w:rsidRDefault="005504A3">
            <w:pPr>
              <w:cnfStyle w:val="000000000000" w:firstRow="0" w:lastRow="0" w:firstColumn="0" w:lastColumn="0" w:oddVBand="0" w:evenVBand="0" w:oddHBand="0" w:evenHBand="0" w:firstRowFirstColumn="0" w:firstRowLastColumn="0" w:lastRowFirstColumn="0" w:lastRowLastColumn="0"/>
            </w:pPr>
            <w:r>
              <w:rPr>
                <w:color w:val="auto"/>
              </w:rPr>
              <w:t>x</w:t>
            </w:r>
          </w:p>
        </w:tc>
        <w:tc>
          <w:tcPr>
            <w:tcW w:w="981" w:type="dxa"/>
            <w:shd w:val="clear" w:color="auto" w:fill="auto"/>
          </w:tcPr>
          <w:p w14:paraId="100145F4" w14:textId="68C9248C" w:rsidR="00BC6309" w:rsidRPr="00676398" w:rsidRDefault="005504A3">
            <w:pPr>
              <w:cnfStyle w:val="000000000000" w:firstRow="0" w:lastRow="0" w:firstColumn="0" w:lastColumn="0" w:oddVBand="0" w:evenVBand="0" w:oddHBand="0" w:evenHBand="0" w:firstRowFirstColumn="0" w:firstRowLastColumn="0" w:lastRowFirstColumn="0" w:lastRowLastColumn="0"/>
            </w:pPr>
            <w:r>
              <w:rPr>
                <w:color w:val="auto"/>
              </w:rPr>
              <w:t>x</w:t>
            </w:r>
          </w:p>
        </w:tc>
        <w:tc>
          <w:tcPr>
            <w:tcW w:w="1187" w:type="dxa"/>
            <w:shd w:val="clear" w:color="auto" w:fill="auto"/>
          </w:tcPr>
          <w:p w14:paraId="1BE5683A"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4ADC3098"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796" w:type="dxa"/>
            <w:shd w:val="clear" w:color="auto" w:fill="auto"/>
          </w:tcPr>
          <w:p w14:paraId="7C41018B" w14:textId="7B71F771" w:rsidR="00BC6309" w:rsidRPr="00676398" w:rsidRDefault="00143295">
            <w:pPr>
              <w:cnfStyle w:val="000000000000" w:firstRow="0" w:lastRow="0" w:firstColumn="0" w:lastColumn="0" w:oddVBand="0" w:evenVBand="0" w:oddHBand="0" w:evenHBand="0" w:firstRowFirstColumn="0" w:firstRowLastColumn="0" w:lastRowFirstColumn="0" w:lastRowLastColumn="0"/>
            </w:pPr>
            <w:r>
              <w:t>x</w:t>
            </w:r>
          </w:p>
        </w:tc>
      </w:tr>
      <w:tr w:rsidR="00D34449" w:rsidRPr="00676398" w14:paraId="2DEADD93"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48C4655C" w14:textId="77777777" w:rsidR="00BC6309" w:rsidRPr="003D2A13" w:rsidRDefault="00BC6309">
            <w:pPr>
              <w:rPr>
                <w:b w:val="0"/>
                <w:bCs/>
              </w:rPr>
            </w:pPr>
          </w:p>
        </w:tc>
        <w:tc>
          <w:tcPr>
            <w:tcW w:w="2268" w:type="dxa"/>
          </w:tcPr>
          <w:p w14:paraId="31714ECB" w14:textId="77777777" w:rsidR="00BC6309" w:rsidRPr="001D6AFD" w:rsidRDefault="00BC6309">
            <w:pPr>
              <w:spacing w:after="120"/>
              <w:cnfStyle w:val="000000000000" w:firstRow="0" w:lastRow="0" w:firstColumn="0" w:lastColumn="0" w:oddVBand="0" w:evenVBand="0" w:oddHBand="0" w:evenHBand="0" w:firstRowFirstColumn="0" w:firstRowLastColumn="0" w:lastRowFirstColumn="0" w:lastRowLastColumn="0"/>
              <w:rPr>
                <w:rFonts w:eastAsia="Calibri" w:cs="Arial"/>
              </w:rPr>
            </w:pPr>
            <w:proofErr w:type="spellStart"/>
            <w:r w:rsidRPr="001D6AFD">
              <w:rPr>
                <w:rFonts w:eastAsia="Calibri" w:cs="Arial"/>
              </w:rPr>
              <w:t>Manousou</w:t>
            </w:r>
            <w:proofErr w:type="spellEnd"/>
            <w:r w:rsidRPr="001D6AFD">
              <w:rPr>
                <w:rFonts w:eastAsia="Calibri" w:cs="Arial"/>
              </w:rPr>
              <w:t xml:space="preserve"> 2021</w:t>
            </w:r>
          </w:p>
        </w:tc>
        <w:tc>
          <w:tcPr>
            <w:tcW w:w="2473" w:type="dxa"/>
          </w:tcPr>
          <w:p w14:paraId="62E88973" w14:textId="5A7D7D04" w:rsidR="00BC6309" w:rsidRPr="00676398" w:rsidRDefault="00D34449">
            <w:pPr>
              <w:spacing w:after="120"/>
              <w:cnfStyle w:val="000000000000" w:firstRow="0" w:lastRow="0" w:firstColumn="0" w:lastColumn="0" w:oddVBand="0" w:evenVBand="0" w:oddHBand="0" w:evenHBand="0" w:firstRowFirstColumn="0" w:firstRowLastColumn="0" w:lastRowFirstColumn="0" w:lastRowLastColumn="0"/>
            </w:pPr>
            <w:r w:rsidRPr="00A34F7B">
              <w:rPr>
                <w:noProof/>
              </w:rPr>
              <w:drawing>
                <wp:anchor distT="0" distB="0" distL="114300" distR="114300" simplePos="0" relativeHeight="251658255" behindDoc="0" locked="0" layoutInCell="1" allowOverlap="1" wp14:anchorId="23CB829E" wp14:editId="3C7A444A">
                  <wp:simplePos x="0" y="0"/>
                  <wp:positionH relativeFrom="column">
                    <wp:posOffset>1246947</wp:posOffset>
                  </wp:positionH>
                  <wp:positionV relativeFrom="paragraph">
                    <wp:posOffset>552</wp:posOffset>
                  </wp:positionV>
                  <wp:extent cx="273050" cy="278765"/>
                  <wp:effectExtent l="0" t="0" r="0" b="6985"/>
                  <wp:wrapSquare wrapText="bothSides"/>
                  <wp:docPr id="17167330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33080" name="Picture 1">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Lst>
                          </a:blip>
                          <a:stretch>
                            <a:fillRect/>
                          </a:stretch>
                        </pic:blipFill>
                        <pic:spPr>
                          <a:xfrm>
                            <a:off x="0" y="0"/>
                            <a:ext cx="273050" cy="278765"/>
                          </a:xfrm>
                          <a:prstGeom prst="rect">
                            <a:avLst/>
                          </a:prstGeom>
                        </pic:spPr>
                      </pic:pic>
                    </a:graphicData>
                  </a:graphic>
                  <wp14:sizeRelH relativeFrom="margin">
                    <wp14:pctWidth>0</wp14:pctWidth>
                  </wp14:sizeRelH>
                  <wp14:sizeRelV relativeFrom="margin">
                    <wp14:pctHeight>0</wp14:pctHeight>
                  </wp14:sizeRelV>
                </wp:anchor>
              </w:drawing>
            </w:r>
            <w:r w:rsidR="00BC6309">
              <w:t>Low</w:t>
            </w:r>
          </w:p>
        </w:tc>
        <w:tc>
          <w:tcPr>
            <w:tcW w:w="683" w:type="dxa"/>
            <w:shd w:val="clear" w:color="auto" w:fill="auto"/>
          </w:tcPr>
          <w:p w14:paraId="0DEDFA77" w14:textId="2E4AC5D6"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61" w:type="dxa"/>
            <w:shd w:val="clear" w:color="auto" w:fill="auto"/>
          </w:tcPr>
          <w:p w14:paraId="7DAE5A1A" w14:textId="5C2DAD33"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39" w:type="dxa"/>
            <w:shd w:val="clear" w:color="auto" w:fill="auto"/>
          </w:tcPr>
          <w:p w14:paraId="24C3A476" w14:textId="212B0182" w:rsidR="00BC6309" w:rsidRPr="00676398" w:rsidRDefault="005504A3">
            <w:pPr>
              <w:cnfStyle w:val="000000000000" w:firstRow="0" w:lastRow="0" w:firstColumn="0" w:lastColumn="0" w:oddVBand="0" w:evenVBand="0" w:oddHBand="0" w:evenHBand="0" w:firstRowFirstColumn="0" w:firstRowLastColumn="0" w:lastRowFirstColumn="0" w:lastRowLastColumn="0"/>
            </w:pPr>
            <w:r>
              <w:rPr>
                <w:color w:val="auto"/>
              </w:rPr>
              <w:t>x</w:t>
            </w:r>
          </w:p>
        </w:tc>
        <w:tc>
          <w:tcPr>
            <w:tcW w:w="981" w:type="dxa"/>
            <w:shd w:val="clear" w:color="auto" w:fill="auto"/>
          </w:tcPr>
          <w:p w14:paraId="00891704"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187" w:type="dxa"/>
            <w:shd w:val="clear" w:color="auto" w:fill="auto"/>
          </w:tcPr>
          <w:p w14:paraId="2644A742"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32D1484D"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796" w:type="dxa"/>
            <w:shd w:val="clear" w:color="auto" w:fill="auto"/>
          </w:tcPr>
          <w:p w14:paraId="21CF6F3B" w14:textId="3F772F16" w:rsidR="00BC6309" w:rsidRPr="00676398" w:rsidRDefault="00143295">
            <w:pPr>
              <w:cnfStyle w:val="000000000000" w:firstRow="0" w:lastRow="0" w:firstColumn="0" w:lastColumn="0" w:oddVBand="0" w:evenVBand="0" w:oddHBand="0" w:evenHBand="0" w:firstRowFirstColumn="0" w:firstRowLastColumn="0" w:lastRowFirstColumn="0" w:lastRowLastColumn="0"/>
            </w:pPr>
            <w:r>
              <w:t>x</w:t>
            </w:r>
          </w:p>
        </w:tc>
      </w:tr>
      <w:tr w:rsidR="00D34449" w:rsidRPr="00676398" w14:paraId="08B1294E"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D9D9D9" w:themeFill="background1" w:themeFillShade="D9"/>
          </w:tcPr>
          <w:p w14:paraId="264315E6" w14:textId="77777777" w:rsidR="00BC6309" w:rsidRPr="003D2A13" w:rsidRDefault="00BC6309">
            <w:pPr>
              <w:spacing w:after="120"/>
              <w:rPr>
                <w:b w:val="0"/>
                <w:bCs/>
              </w:rPr>
            </w:pPr>
            <w:r w:rsidRPr="003D2A13">
              <w:rPr>
                <w:bCs/>
              </w:rPr>
              <w:t>Observational studies</w:t>
            </w:r>
          </w:p>
        </w:tc>
        <w:tc>
          <w:tcPr>
            <w:tcW w:w="2268" w:type="dxa"/>
          </w:tcPr>
          <w:p w14:paraId="76ABF14E" w14:textId="77777777" w:rsidR="00BC6309" w:rsidRPr="00676398" w:rsidRDefault="00BC6309">
            <w:pPr>
              <w:spacing w:line="259" w:lineRule="auto"/>
              <w:cnfStyle w:val="000000000000" w:firstRow="0" w:lastRow="0" w:firstColumn="0" w:lastColumn="0" w:oddVBand="0" w:evenVBand="0" w:oddHBand="0" w:evenHBand="0" w:firstRowFirstColumn="0" w:firstRowLastColumn="0" w:lastRowFirstColumn="0" w:lastRowLastColumn="0"/>
            </w:pPr>
            <w:r w:rsidRPr="001D6AFD">
              <w:rPr>
                <w:rFonts w:eastAsia="Calibri" w:cs="Arial"/>
              </w:rPr>
              <w:t>Corcino 2019/Silva De Morais 2020</w:t>
            </w:r>
          </w:p>
        </w:tc>
        <w:tc>
          <w:tcPr>
            <w:tcW w:w="2473" w:type="dxa"/>
          </w:tcPr>
          <w:p w14:paraId="3D55303D" w14:textId="048A3339" w:rsidR="00BC6309" w:rsidRPr="00676398" w:rsidRDefault="00B02E69">
            <w:pPr>
              <w:spacing w:after="12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52" behindDoc="0" locked="0" layoutInCell="1" allowOverlap="1" wp14:anchorId="2B150FCF" wp14:editId="399AAB04">
                  <wp:simplePos x="0" y="0"/>
                  <wp:positionH relativeFrom="column">
                    <wp:posOffset>1188416</wp:posOffset>
                  </wp:positionH>
                  <wp:positionV relativeFrom="paragraph">
                    <wp:posOffset>39756</wp:posOffset>
                  </wp:positionV>
                  <wp:extent cx="339799" cy="247650"/>
                  <wp:effectExtent l="0" t="0" r="3175" b="0"/>
                  <wp:wrapSquare wrapText="bothSides"/>
                  <wp:docPr id="20837369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36979"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rsidR="00BC6309">
              <w:t>Serious</w:t>
            </w:r>
          </w:p>
        </w:tc>
        <w:tc>
          <w:tcPr>
            <w:tcW w:w="683" w:type="dxa"/>
            <w:shd w:val="clear" w:color="auto" w:fill="auto"/>
          </w:tcPr>
          <w:p w14:paraId="08286FCD" w14:textId="2A4E8AE4"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61" w:type="dxa"/>
            <w:shd w:val="clear" w:color="auto" w:fill="auto"/>
          </w:tcPr>
          <w:p w14:paraId="1255C492" w14:textId="672F558B"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39" w:type="dxa"/>
            <w:shd w:val="clear" w:color="auto" w:fill="auto"/>
          </w:tcPr>
          <w:p w14:paraId="7F62D83F" w14:textId="46CE42D2"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981" w:type="dxa"/>
            <w:shd w:val="clear" w:color="auto" w:fill="auto"/>
          </w:tcPr>
          <w:p w14:paraId="0E0EE678"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187" w:type="dxa"/>
            <w:shd w:val="clear" w:color="auto" w:fill="auto"/>
          </w:tcPr>
          <w:p w14:paraId="6CAC4D8D"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292810C3"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796" w:type="dxa"/>
            <w:shd w:val="clear" w:color="auto" w:fill="auto"/>
          </w:tcPr>
          <w:p w14:paraId="0117CA1B" w14:textId="39BDAA51" w:rsidR="00BC6309" w:rsidRPr="00676398" w:rsidRDefault="00143295">
            <w:pPr>
              <w:cnfStyle w:val="000000000000" w:firstRow="0" w:lastRow="0" w:firstColumn="0" w:lastColumn="0" w:oddVBand="0" w:evenVBand="0" w:oddHBand="0" w:evenHBand="0" w:firstRowFirstColumn="0" w:firstRowLastColumn="0" w:lastRowFirstColumn="0" w:lastRowLastColumn="0"/>
            </w:pPr>
            <w:r>
              <w:t>x</w:t>
            </w:r>
          </w:p>
        </w:tc>
      </w:tr>
      <w:tr w:rsidR="00D34449" w:rsidRPr="00676398" w14:paraId="05A92C4A"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0F8A515C" w14:textId="77777777" w:rsidR="00BC6309" w:rsidRDefault="00BC6309">
            <w:pPr>
              <w:spacing w:after="120"/>
            </w:pPr>
          </w:p>
        </w:tc>
        <w:tc>
          <w:tcPr>
            <w:tcW w:w="2268" w:type="dxa"/>
          </w:tcPr>
          <w:p w14:paraId="485FE1FE" w14:textId="77777777" w:rsidR="00BC6309" w:rsidRPr="00676398" w:rsidRDefault="00BC6309">
            <w:pPr>
              <w:spacing w:after="120"/>
              <w:cnfStyle w:val="000000000000" w:firstRow="0" w:lastRow="0" w:firstColumn="0" w:lastColumn="0" w:oddVBand="0" w:evenVBand="0" w:oddHBand="0" w:evenHBand="0" w:firstRowFirstColumn="0" w:firstRowLastColumn="0" w:lastRowFirstColumn="0" w:lastRowLastColumn="0"/>
            </w:pPr>
            <w:r w:rsidRPr="001D6AFD">
              <w:rPr>
                <w:rFonts w:eastAsia="Calibri" w:cs="Arial"/>
              </w:rPr>
              <w:t>Naess 2021</w:t>
            </w:r>
          </w:p>
        </w:tc>
        <w:tc>
          <w:tcPr>
            <w:tcW w:w="2473" w:type="dxa"/>
          </w:tcPr>
          <w:p w14:paraId="216DABDF" w14:textId="601B08B6" w:rsidR="00BC6309" w:rsidRPr="00676398" w:rsidRDefault="00D34449">
            <w:pPr>
              <w:spacing w:after="120"/>
              <w:cnfStyle w:val="000000000000" w:firstRow="0" w:lastRow="0" w:firstColumn="0" w:lastColumn="0" w:oddVBand="0" w:evenVBand="0" w:oddHBand="0" w:evenHBand="0" w:firstRowFirstColumn="0" w:firstRowLastColumn="0" w:lastRowFirstColumn="0" w:lastRowLastColumn="0"/>
            </w:pPr>
            <w:r w:rsidRPr="009D6D00">
              <w:rPr>
                <w:noProof/>
              </w:rPr>
              <w:drawing>
                <wp:anchor distT="0" distB="0" distL="114300" distR="114300" simplePos="0" relativeHeight="251658257" behindDoc="0" locked="0" layoutInCell="1" allowOverlap="1" wp14:anchorId="2F85E666" wp14:editId="7D9F9403">
                  <wp:simplePos x="0" y="0"/>
                  <wp:positionH relativeFrom="column">
                    <wp:posOffset>1219586</wp:posOffset>
                  </wp:positionH>
                  <wp:positionV relativeFrom="paragraph">
                    <wp:posOffset>608</wp:posOffset>
                  </wp:positionV>
                  <wp:extent cx="301625" cy="282575"/>
                  <wp:effectExtent l="0" t="0" r="3175" b="3175"/>
                  <wp:wrapSquare wrapText="bothSides"/>
                  <wp:docPr id="4429424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42477" name="Picture 1">
                            <a:extLst>
                              <a:ext uri="{C183D7F6-B498-43B3-948B-1728B52AA6E4}">
                                <adec:decorative xmlns:adec="http://schemas.microsoft.com/office/drawing/2017/decorative" val="1"/>
                              </a:ext>
                            </a:extLst>
                          </pic:cNvPr>
                          <pic:cNvPicPr/>
                        </pic:nvPicPr>
                        <pic:blipFill>
                          <a:blip r:embed="rId92">
                            <a:extLst>
                              <a:ext uri="{28A0092B-C50C-407E-A947-70E740481C1C}">
                                <a14:useLocalDpi xmlns:a14="http://schemas.microsoft.com/office/drawing/2010/main" val="0"/>
                              </a:ext>
                            </a:extLst>
                          </a:blip>
                          <a:stretch>
                            <a:fillRect/>
                          </a:stretch>
                        </pic:blipFill>
                        <pic:spPr>
                          <a:xfrm>
                            <a:off x="0" y="0"/>
                            <a:ext cx="301625" cy="282575"/>
                          </a:xfrm>
                          <a:prstGeom prst="rect">
                            <a:avLst/>
                          </a:prstGeom>
                        </pic:spPr>
                      </pic:pic>
                    </a:graphicData>
                  </a:graphic>
                  <wp14:sizeRelH relativeFrom="margin">
                    <wp14:pctWidth>0</wp14:pctWidth>
                  </wp14:sizeRelH>
                  <wp14:sizeRelV relativeFrom="margin">
                    <wp14:pctHeight>0</wp14:pctHeight>
                  </wp14:sizeRelV>
                </wp:anchor>
              </w:drawing>
            </w:r>
            <w:r w:rsidR="00BC6309">
              <w:t>Some concerns</w:t>
            </w:r>
            <w:r>
              <w:t xml:space="preserve"> </w:t>
            </w:r>
          </w:p>
        </w:tc>
        <w:tc>
          <w:tcPr>
            <w:tcW w:w="683" w:type="dxa"/>
            <w:shd w:val="clear" w:color="auto" w:fill="auto"/>
          </w:tcPr>
          <w:p w14:paraId="07675D09" w14:textId="1E624B2D" w:rsidR="00BC6309" w:rsidRPr="00676398" w:rsidRDefault="005504A3">
            <w:pPr>
              <w:cnfStyle w:val="000000000000" w:firstRow="0" w:lastRow="0" w:firstColumn="0" w:lastColumn="0" w:oddVBand="0" w:evenVBand="0" w:oddHBand="0" w:evenHBand="0" w:firstRowFirstColumn="0" w:firstRowLastColumn="0" w:lastRowFirstColumn="0" w:lastRowLastColumn="0"/>
            </w:pPr>
            <w:r>
              <w:t>x</w:t>
            </w:r>
          </w:p>
        </w:tc>
        <w:tc>
          <w:tcPr>
            <w:tcW w:w="561" w:type="dxa"/>
            <w:shd w:val="clear" w:color="auto" w:fill="auto"/>
          </w:tcPr>
          <w:p w14:paraId="2368DFA3" w14:textId="38180319" w:rsidR="00BC6309" w:rsidRPr="00676398" w:rsidRDefault="005504A3">
            <w:pPr>
              <w:cnfStyle w:val="000000000000" w:firstRow="0" w:lastRow="0" w:firstColumn="0" w:lastColumn="0" w:oddVBand="0" w:evenVBand="0" w:oddHBand="0" w:evenHBand="0" w:firstRowFirstColumn="0" w:firstRowLastColumn="0" w:lastRowFirstColumn="0" w:lastRowLastColumn="0"/>
            </w:pPr>
            <w:r>
              <w:rPr>
                <w:color w:val="auto"/>
              </w:rPr>
              <w:t>x</w:t>
            </w:r>
          </w:p>
        </w:tc>
        <w:tc>
          <w:tcPr>
            <w:tcW w:w="539" w:type="dxa"/>
            <w:shd w:val="clear" w:color="auto" w:fill="auto"/>
          </w:tcPr>
          <w:p w14:paraId="095840FE"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19C1FC69"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187" w:type="dxa"/>
            <w:shd w:val="clear" w:color="auto" w:fill="auto"/>
          </w:tcPr>
          <w:p w14:paraId="41FCFB19"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2139B557"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796" w:type="dxa"/>
            <w:shd w:val="clear" w:color="auto" w:fill="auto"/>
          </w:tcPr>
          <w:p w14:paraId="3DEE9A7B"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r>
      <w:tr w:rsidR="00D34449" w:rsidRPr="00676398" w14:paraId="7BFAD7CD"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4614D0EC" w14:textId="77777777" w:rsidR="00BC6309" w:rsidRDefault="00BC6309">
            <w:pPr>
              <w:spacing w:after="120"/>
            </w:pPr>
          </w:p>
        </w:tc>
        <w:tc>
          <w:tcPr>
            <w:tcW w:w="2268" w:type="dxa"/>
          </w:tcPr>
          <w:p w14:paraId="279FD6DC" w14:textId="77777777" w:rsidR="00BC6309" w:rsidRPr="00676398" w:rsidRDefault="00BC6309">
            <w:pPr>
              <w:spacing w:after="120"/>
              <w:cnfStyle w:val="000000000000" w:firstRow="0" w:lastRow="0" w:firstColumn="0" w:lastColumn="0" w:oddVBand="0" w:evenVBand="0" w:oddHBand="0" w:evenHBand="0" w:firstRowFirstColumn="0" w:firstRowLastColumn="0" w:lastRowFirstColumn="0" w:lastRowLastColumn="0"/>
            </w:pPr>
            <w:r w:rsidRPr="001D6AFD">
              <w:rPr>
                <w:rFonts w:eastAsia="Calibri" w:cs="Arial"/>
              </w:rPr>
              <w:t>Olesea 2020</w:t>
            </w:r>
          </w:p>
        </w:tc>
        <w:tc>
          <w:tcPr>
            <w:tcW w:w="2473" w:type="dxa"/>
          </w:tcPr>
          <w:p w14:paraId="3A0289B1" w14:textId="1ABA8830" w:rsidR="00BC6309" w:rsidRPr="00676398" w:rsidRDefault="00BC6309">
            <w:pPr>
              <w:spacing w:after="12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49" behindDoc="0" locked="0" layoutInCell="1" allowOverlap="1" wp14:anchorId="2FC0F227" wp14:editId="6DFE35F1">
                  <wp:simplePos x="0" y="0"/>
                  <wp:positionH relativeFrom="column">
                    <wp:posOffset>1179333</wp:posOffset>
                  </wp:positionH>
                  <wp:positionV relativeFrom="paragraph">
                    <wp:posOffset>42518</wp:posOffset>
                  </wp:positionV>
                  <wp:extent cx="339799" cy="247650"/>
                  <wp:effectExtent l="0" t="0" r="3175" b="0"/>
                  <wp:wrapSquare wrapText="bothSides"/>
                  <wp:docPr id="11694887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88753"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683" w:type="dxa"/>
            <w:shd w:val="clear" w:color="auto" w:fill="auto"/>
          </w:tcPr>
          <w:p w14:paraId="0E6927FE"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561" w:type="dxa"/>
            <w:shd w:val="clear" w:color="auto" w:fill="auto"/>
          </w:tcPr>
          <w:p w14:paraId="732FE2D5"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539" w:type="dxa"/>
            <w:shd w:val="clear" w:color="auto" w:fill="auto"/>
          </w:tcPr>
          <w:p w14:paraId="0F1E01FD"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0D3EFD16"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187" w:type="dxa"/>
            <w:shd w:val="clear" w:color="auto" w:fill="auto"/>
          </w:tcPr>
          <w:p w14:paraId="447FF4FB" w14:textId="29B50A98" w:rsidR="00BC6309" w:rsidRPr="00676398" w:rsidRDefault="00143295">
            <w:pPr>
              <w:cnfStyle w:val="000000000000" w:firstRow="0" w:lastRow="0" w:firstColumn="0" w:lastColumn="0" w:oddVBand="0" w:evenVBand="0" w:oddHBand="0" w:evenHBand="0" w:firstRowFirstColumn="0" w:firstRowLastColumn="0" w:lastRowFirstColumn="0" w:lastRowLastColumn="0"/>
            </w:pPr>
            <w:r>
              <w:t>x</w:t>
            </w:r>
            <w:r w:rsidR="00BC6309">
              <w:t xml:space="preserve">  </w:t>
            </w:r>
          </w:p>
        </w:tc>
        <w:tc>
          <w:tcPr>
            <w:tcW w:w="981" w:type="dxa"/>
            <w:shd w:val="clear" w:color="auto" w:fill="auto"/>
          </w:tcPr>
          <w:p w14:paraId="7BE61FAA"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796" w:type="dxa"/>
            <w:shd w:val="clear" w:color="auto" w:fill="auto"/>
          </w:tcPr>
          <w:p w14:paraId="4659BED5"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r>
      <w:tr w:rsidR="00D34449" w:rsidRPr="00676398" w14:paraId="2C3F90DA"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6135DF4A" w14:textId="77777777" w:rsidR="00BC6309" w:rsidRDefault="00BC6309">
            <w:pPr>
              <w:spacing w:after="120"/>
            </w:pPr>
          </w:p>
        </w:tc>
        <w:tc>
          <w:tcPr>
            <w:tcW w:w="2268" w:type="dxa"/>
          </w:tcPr>
          <w:p w14:paraId="6AC3F19F" w14:textId="77777777" w:rsidR="00BC6309" w:rsidRPr="001D6AFD" w:rsidRDefault="00BC6309">
            <w:pPr>
              <w:spacing w:after="120"/>
              <w:cnfStyle w:val="000000000000" w:firstRow="0" w:lastRow="0" w:firstColumn="0" w:lastColumn="0" w:oddVBand="0" w:evenVBand="0" w:oddHBand="0" w:evenHBand="0" w:firstRowFirstColumn="0" w:firstRowLastColumn="0" w:lastRowFirstColumn="0" w:lastRowLastColumn="0"/>
              <w:rPr>
                <w:rFonts w:eastAsia="Calibri" w:cs="Arial"/>
              </w:rPr>
            </w:pPr>
            <w:r w:rsidRPr="001D6AFD">
              <w:rPr>
                <w:rFonts w:eastAsia="Calibri" w:cs="Arial"/>
              </w:rPr>
              <w:t>Ollero 2019</w:t>
            </w:r>
          </w:p>
        </w:tc>
        <w:tc>
          <w:tcPr>
            <w:tcW w:w="2473" w:type="dxa"/>
          </w:tcPr>
          <w:p w14:paraId="7A19557F" w14:textId="23A34817" w:rsidR="00BC6309" w:rsidRPr="00676398" w:rsidRDefault="00BC6309">
            <w:pPr>
              <w:spacing w:after="12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50" behindDoc="0" locked="0" layoutInCell="1" allowOverlap="1" wp14:anchorId="6E136637" wp14:editId="4C684C52">
                  <wp:simplePos x="0" y="0"/>
                  <wp:positionH relativeFrom="column">
                    <wp:posOffset>1184910</wp:posOffset>
                  </wp:positionH>
                  <wp:positionV relativeFrom="paragraph">
                    <wp:posOffset>55659</wp:posOffset>
                  </wp:positionV>
                  <wp:extent cx="339799" cy="247650"/>
                  <wp:effectExtent l="0" t="0" r="3175" b="0"/>
                  <wp:wrapSquare wrapText="bothSides"/>
                  <wp:docPr id="16332315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31557"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683" w:type="dxa"/>
            <w:shd w:val="clear" w:color="auto" w:fill="auto"/>
          </w:tcPr>
          <w:p w14:paraId="38F1E931" w14:textId="5B8FC097" w:rsidR="00BC6309" w:rsidRPr="00676398" w:rsidRDefault="00143295">
            <w:pPr>
              <w:cnfStyle w:val="000000000000" w:firstRow="0" w:lastRow="0" w:firstColumn="0" w:lastColumn="0" w:oddVBand="0" w:evenVBand="0" w:oddHBand="0" w:evenHBand="0" w:firstRowFirstColumn="0" w:firstRowLastColumn="0" w:lastRowFirstColumn="0" w:lastRowLastColumn="0"/>
            </w:pPr>
            <w:r>
              <w:t>x</w:t>
            </w:r>
          </w:p>
        </w:tc>
        <w:tc>
          <w:tcPr>
            <w:tcW w:w="561" w:type="dxa"/>
            <w:shd w:val="clear" w:color="auto" w:fill="auto"/>
          </w:tcPr>
          <w:p w14:paraId="338BC09D" w14:textId="7FD8AF6D" w:rsidR="00BC6309" w:rsidRPr="00676398" w:rsidRDefault="00143295">
            <w:pPr>
              <w:cnfStyle w:val="000000000000" w:firstRow="0" w:lastRow="0" w:firstColumn="0" w:lastColumn="0" w:oddVBand="0" w:evenVBand="0" w:oddHBand="0" w:evenHBand="0" w:firstRowFirstColumn="0" w:firstRowLastColumn="0" w:lastRowFirstColumn="0" w:lastRowLastColumn="0"/>
            </w:pPr>
            <w:r>
              <w:rPr>
                <w:color w:val="auto"/>
              </w:rPr>
              <w:t>x</w:t>
            </w:r>
          </w:p>
        </w:tc>
        <w:tc>
          <w:tcPr>
            <w:tcW w:w="539" w:type="dxa"/>
            <w:shd w:val="clear" w:color="auto" w:fill="auto"/>
          </w:tcPr>
          <w:p w14:paraId="13690946"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3F958BC9"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187" w:type="dxa"/>
            <w:shd w:val="clear" w:color="auto" w:fill="auto"/>
          </w:tcPr>
          <w:p w14:paraId="67207130"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auto"/>
          </w:tcPr>
          <w:p w14:paraId="62A3301A"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796" w:type="dxa"/>
            <w:shd w:val="clear" w:color="auto" w:fill="auto"/>
          </w:tcPr>
          <w:p w14:paraId="29794457" w14:textId="3C21A27F" w:rsidR="00BC6309" w:rsidRPr="00676398" w:rsidRDefault="00143295">
            <w:pPr>
              <w:cnfStyle w:val="000000000000" w:firstRow="0" w:lastRow="0" w:firstColumn="0" w:lastColumn="0" w:oddVBand="0" w:evenVBand="0" w:oddHBand="0" w:evenHBand="0" w:firstRowFirstColumn="0" w:firstRowLastColumn="0" w:lastRowFirstColumn="0" w:lastRowLastColumn="0"/>
            </w:pPr>
            <w:r>
              <w:rPr>
                <w:color w:val="auto"/>
              </w:rPr>
              <w:t>x</w:t>
            </w:r>
          </w:p>
        </w:tc>
      </w:tr>
      <w:tr w:rsidR="00D34449" w:rsidRPr="00676398" w14:paraId="7091D8A5"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1DA4CD78" w14:textId="77777777" w:rsidR="00BC6309" w:rsidRDefault="00BC6309">
            <w:pPr>
              <w:spacing w:after="120"/>
            </w:pPr>
          </w:p>
        </w:tc>
        <w:tc>
          <w:tcPr>
            <w:tcW w:w="2268" w:type="dxa"/>
          </w:tcPr>
          <w:p w14:paraId="566B3901" w14:textId="77777777" w:rsidR="00BC6309" w:rsidRPr="001D6AFD" w:rsidRDefault="00BC6309">
            <w:pPr>
              <w:spacing w:after="120"/>
              <w:cnfStyle w:val="000000000000" w:firstRow="0" w:lastRow="0" w:firstColumn="0" w:lastColumn="0" w:oddVBand="0" w:evenVBand="0" w:oddHBand="0" w:evenHBand="0" w:firstRowFirstColumn="0" w:firstRowLastColumn="0" w:lastRowFirstColumn="0" w:lastRowLastColumn="0"/>
              <w:rPr>
                <w:rFonts w:eastAsia="Calibri" w:cs="Arial"/>
              </w:rPr>
            </w:pPr>
            <w:r w:rsidRPr="001D6AFD">
              <w:rPr>
                <w:rFonts w:eastAsia="Calibri" w:cs="Arial"/>
              </w:rPr>
              <w:t>Threapleton 2021</w:t>
            </w:r>
          </w:p>
        </w:tc>
        <w:tc>
          <w:tcPr>
            <w:tcW w:w="2473" w:type="dxa"/>
          </w:tcPr>
          <w:p w14:paraId="6A76AEFB" w14:textId="3563D9E8" w:rsidR="00BC6309" w:rsidRPr="00676398" w:rsidRDefault="00BC6309">
            <w:pPr>
              <w:spacing w:after="12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51" behindDoc="0" locked="0" layoutInCell="1" allowOverlap="1" wp14:anchorId="6B1C473A" wp14:editId="5844C3AC">
                  <wp:simplePos x="0" y="0"/>
                  <wp:positionH relativeFrom="column">
                    <wp:posOffset>1188251</wp:posOffset>
                  </wp:positionH>
                  <wp:positionV relativeFrom="paragraph">
                    <wp:posOffset>497</wp:posOffset>
                  </wp:positionV>
                  <wp:extent cx="339799" cy="247650"/>
                  <wp:effectExtent l="0" t="0" r="3175" b="0"/>
                  <wp:wrapSquare wrapText="bothSides"/>
                  <wp:docPr id="19704732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73261"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683" w:type="dxa"/>
            <w:shd w:val="clear" w:color="auto" w:fill="auto"/>
          </w:tcPr>
          <w:p w14:paraId="6623C84B" w14:textId="1A20D824" w:rsidR="00BC6309" w:rsidRPr="00676398" w:rsidRDefault="00143295">
            <w:pPr>
              <w:cnfStyle w:val="000000000000" w:firstRow="0" w:lastRow="0" w:firstColumn="0" w:lastColumn="0" w:oddVBand="0" w:evenVBand="0" w:oddHBand="0" w:evenHBand="0" w:firstRowFirstColumn="0" w:firstRowLastColumn="0" w:lastRowFirstColumn="0" w:lastRowLastColumn="0"/>
            </w:pPr>
            <w:r>
              <w:t>x</w:t>
            </w:r>
          </w:p>
        </w:tc>
        <w:tc>
          <w:tcPr>
            <w:tcW w:w="561" w:type="dxa"/>
            <w:shd w:val="clear" w:color="auto" w:fill="auto"/>
          </w:tcPr>
          <w:p w14:paraId="05C7E1C8" w14:textId="0E8E8658" w:rsidR="00BC6309" w:rsidRPr="00676398" w:rsidRDefault="00143295">
            <w:pPr>
              <w:cnfStyle w:val="000000000000" w:firstRow="0" w:lastRow="0" w:firstColumn="0" w:lastColumn="0" w:oddVBand="0" w:evenVBand="0" w:oddHBand="0" w:evenHBand="0" w:firstRowFirstColumn="0" w:firstRowLastColumn="0" w:lastRowFirstColumn="0" w:lastRowLastColumn="0"/>
            </w:pPr>
            <w:r>
              <w:rPr>
                <w:color w:val="auto"/>
              </w:rPr>
              <w:t>x</w:t>
            </w:r>
          </w:p>
        </w:tc>
        <w:tc>
          <w:tcPr>
            <w:tcW w:w="539" w:type="dxa"/>
            <w:shd w:val="clear" w:color="auto" w:fill="auto"/>
          </w:tcPr>
          <w:p w14:paraId="602D64C9" w14:textId="6BF5951E" w:rsidR="00BC6309" w:rsidRPr="00676398" w:rsidRDefault="00143295">
            <w:pPr>
              <w:cnfStyle w:val="000000000000" w:firstRow="0" w:lastRow="0" w:firstColumn="0" w:lastColumn="0" w:oddVBand="0" w:evenVBand="0" w:oddHBand="0" w:evenHBand="0" w:firstRowFirstColumn="0" w:firstRowLastColumn="0" w:lastRowFirstColumn="0" w:lastRowLastColumn="0"/>
            </w:pPr>
            <w:r>
              <w:rPr>
                <w:color w:val="auto"/>
              </w:rPr>
              <w:t>x</w:t>
            </w:r>
          </w:p>
        </w:tc>
        <w:tc>
          <w:tcPr>
            <w:tcW w:w="981" w:type="dxa"/>
            <w:shd w:val="clear" w:color="auto" w:fill="auto"/>
          </w:tcPr>
          <w:p w14:paraId="48805686"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187" w:type="dxa"/>
            <w:shd w:val="clear" w:color="auto" w:fill="auto"/>
          </w:tcPr>
          <w:p w14:paraId="7E8434E8" w14:textId="4638A148" w:rsidR="00BC6309" w:rsidRPr="00676398" w:rsidRDefault="00143295">
            <w:pPr>
              <w:cnfStyle w:val="000000000000" w:firstRow="0" w:lastRow="0" w:firstColumn="0" w:lastColumn="0" w:oddVBand="0" w:evenVBand="0" w:oddHBand="0" w:evenHBand="0" w:firstRowFirstColumn="0" w:firstRowLastColumn="0" w:lastRowFirstColumn="0" w:lastRowLastColumn="0"/>
            </w:pPr>
            <w:r>
              <w:rPr>
                <w:color w:val="auto"/>
              </w:rPr>
              <w:t>x</w:t>
            </w:r>
          </w:p>
        </w:tc>
        <w:tc>
          <w:tcPr>
            <w:tcW w:w="981" w:type="dxa"/>
            <w:shd w:val="clear" w:color="auto" w:fill="auto"/>
          </w:tcPr>
          <w:p w14:paraId="30EEAD81"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c>
          <w:tcPr>
            <w:tcW w:w="1796" w:type="dxa"/>
            <w:shd w:val="clear" w:color="auto" w:fill="auto"/>
          </w:tcPr>
          <w:p w14:paraId="4F830634" w14:textId="77777777" w:rsidR="00BC6309" w:rsidRPr="00676398" w:rsidRDefault="00BC6309">
            <w:pPr>
              <w:cnfStyle w:val="000000000000" w:firstRow="0" w:lastRow="0" w:firstColumn="0" w:lastColumn="0" w:oddVBand="0" w:evenVBand="0" w:oddHBand="0" w:evenHBand="0" w:firstRowFirstColumn="0" w:firstRowLastColumn="0" w:lastRowFirstColumn="0" w:lastRowLastColumn="0"/>
            </w:pPr>
          </w:p>
        </w:tc>
      </w:tr>
    </w:tbl>
    <w:p w14:paraId="6045CF98" w14:textId="48119197" w:rsidR="00D34449" w:rsidRDefault="00D34449" w:rsidP="00D22357">
      <w:pPr>
        <w:spacing w:line="240" w:lineRule="atLeast"/>
      </w:pPr>
    </w:p>
    <w:p w14:paraId="650B2F69" w14:textId="77777777" w:rsidR="00D34449" w:rsidRDefault="00D34449">
      <w:pPr>
        <w:spacing w:line="240" w:lineRule="atLeast"/>
      </w:pPr>
      <w:r>
        <w:br w:type="page"/>
      </w:r>
    </w:p>
    <w:p w14:paraId="16B20B8B" w14:textId="77777777" w:rsidR="00D34449" w:rsidRPr="00D34449" w:rsidRDefault="00D34449" w:rsidP="00D34449">
      <w:pPr>
        <w:pStyle w:val="Heading5"/>
        <w:rPr>
          <w:rFonts w:ascii="Gotham Book" w:hAnsi="Gotham Book"/>
        </w:rPr>
      </w:pPr>
      <w:r w:rsidRPr="00D34449">
        <w:rPr>
          <w:rFonts w:ascii="Gotham Book" w:hAnsi="Gotham Book"/>
        </w:rPr>
        <w:lastRenderedPageBreak/>
        <w:t>Birth and child outcomes</w:t>
      </w:r>
    </w:p>
    <w:tbl>
      <w:tblPr>
        <w:tblStyle w:val="DefaultTable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1980"/>
        <w:gridCol w:w="2268"/>
        <w:gridCol w:w="2325"/>
        <w:gridCol w:w="1398"/>
        <w:gridCol w:w="897"/>
        <w:gridCol w:w="994"/>
        <w:gridCol w:w="1269"/>
        <w:gridCol w:w="2318"/>
      </w:tblGrid>
      <w:tr w:rsidR="00D34449" w:rsidRPr="001F2B58" w14:paraId="72994D61" w14:textId="77777777" w:rsidTr="00D34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3" w:type="dxa"/>
            <w:gridSpan w:val="3"/>
            <w:shd w:val="clear" w:color="auto" w:fill="D9D9D9" w:themeFill="background1" w:themeFillShade="D9"/>
          </w:tcPr>
          <w:p w14:paraId="47719090" w14:textId="77777777" w:rsidR="00D34449" w:rsidRPr="001F2B58" w:rsidRDefault="00D34449" w:rsidP="00D34449">
            <w:pPr>
              <w:spacing w:before="0" w:after="0"/>
              <w:rPr>
                <w:b w:val="0"/>
                <w:bCs/>
              </w:rPr>
            </w:pPr>
            <w:r w:rsidRPr="001F2B58">
              <w:rPr>
                <w:bCs/>
              </w:rPr>
              <w:t>Study characteristics</w:t>
            </w:r>
          </w:p>
        </w:tc>
        <w:tc>
          <w:tcPr>
            <w:tcW w:w="6876" w:type="dxa"/>
            <w:gridSpan w:val="5"/>
            <w:shd w:val="clear" w:color="auto" w:fill="D9D9D9" w:themeFill="background1" w:themeFillShade="D9"/>
          </w:tcPr>
          <w:p w14:paraId="6AC3BF93" w14:textId="77777777" w:rsidR="00D34449" w:rsidRPr="001F2B58" w:rsidRDefault="00D34449" w:rsidP="00D34449">
            <w:pPr>
              <w:spacing w:before="0" w:after="0"/>
              <w:cnfStyle w:val="100000000000" w:firstRow="1" w:lastRow="0" w:firstColumn="0" w:lastColumn="0" w:oddVBand="0" w:evenVBand="0" w:oddHBand="0" w:evenHBand="0" w:firstRowFirstColumn="0" w:firstRowLastColumn="0" w:lastRowFirstColumn="0" w:lastRowLastColumn="0"/>
              <w:rPr>
                <w:b w:val="0"/>
                <w:bCs/>
              </w:rPr>
            </w:pPr>
            <w:r w:rsidRPr="001F2B58">
              <w:rPr>
                <w:bCs/>
              </w:rPr>
              <w:t>Outcomes reported</w:t>
            </w:r>
          </w:p>
        </w:tc>
      </w:tr>
      <w:tr w:rsidR="00D34449" w:rsidRPr="00EE7DD3" w14:paraId="6BA2F56B" w14:textId="77777777" w:rsidTr="00D34449">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D9D9D9" w:themeFill="background1" w:themeFillShade="D9"/>
          </w:tcPr>
          <w:p w14:paraId="7E3A806A" w14:textId="77777777" w:rsidR="00D34449" w:rsidRPr="001F2B58" w:rsidRDefault="00D34449" w:rsidP="00D34449">
            <w:pPr>
              <w:spacing w:before="0" w:after="0"/>
              <w:rPr>
                <w:b w:val="0"/>
                <w:bCs/>
              </w:rPr>
            </w:pPr>
            <w:r>
              <w:rPr>
                <w:bCs/>
              </w:rPr>
              <w:t>Study type</w:t>
            </w:r>
          </w:p>
        </w:tc>
        <w:tc>
          <w:tcPr>
            <w:tcW w:w="2268" w:type="dxa"/>
            <w:vMerge w:val="restart"/>
            <w:shd w:val="clear" w:color="auto" w:fill="D9D9D9" w:themeFill="background1" w:themeFillShade="D9"/>
          </w:tcPr>
          <w:p w14:paraId="255D5E37" w14:textId="77777777" w:rsidR="00D34449" w:rsidRPr="001F2B58"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r w:rsidRPr="001F2B58">
              <w:rPr>
                <w:b/>
                <w:bCs/>
              </w:rPr>
              <w:t>Study ID</w:t>
            </w:r>
          </w:p>
        </w:tc>
        <w:tc>
          <w:tcPr>
            <w:tcW w:w="2325" w:type="dxa"/>
            <w:vMerge w:val="restart"/>
            <w:shd w:val="clear" w:color="auto" w:fill="D9D9D9" w:themeFill="background1" w:themeFillShade="D9"/>
          </w:tcPr>
          <w:p w14:paraId="09F439A1" w14:textId="77777777" w:rsidR="00D34449" w:rsidRPr="001F2B58"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r w:rsidRPr="001F2B58">
              <w:rPr>
                <w:b/>
                <w:bCs/>
              </w:rPr>
              <w:t>Overall risk of bias</w:t>
            </w:r>
          </w:p>
        </w:tc>
        <w:tc>
          <w:tcPr>
            <w:tcW w:w="4558" w:type="dxa"/>
            <w:gridSpan w:val="4"/>
            <w:shd w:val="clear" w:color="auto" w:fill="D9D9D9" w:themeFill="background1" w:themeFillShade="D9"/>
          </w:tcPr>
          <w:p w14:paraId="79537A33" w14:textId="77777777" w:rsidR="00D34449" w:rsidRPr="00EE7DD3"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r>
              <w:rPr>
                <w:b/>
                <w:bCs/>
              </w:rPr>
              <w:t>Pregnancy and obstetric outcomes</w:t>
            </w:r>
          </w:p>
        </w:tc>
        <w:tc>
          <w:tcPr>
            <w:tcW w:w="2318" w:type="dxa"/>
            <w:shd w:val="clear" w:color="auto" w:fill="D9D9D9" w:themeFill="background1" w:themeFillShade="D9"/>
          </w:tcPr>
          <w:p w14:paraId="1283F6E2" w14:textId="77777777" w:rsidR="00D34449" w:rsidRPr="00EE7DD3"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r>
              <w:rPr>
                <w:b/>
                <w:bCs/>
              </w:rPr>
              <w:t>Child development</w:t>
            </w:r>
          </w:p>
        </w:tc>
      </w:tr>
      <w:tr w:rsidR="00D34449" w:rsidRPr="00EE7DD3" w14:paraId="56473CC4" w14:textId="77777777" w:rsidTr="00D34449">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65AE0859" w14:textId="77777777" w:rsidR="00D34449" w:rsidRPr="001F2B58" w:rsidRDefault="00D34449" w:rsidP="00D34449">
            <w:pPr>
              <w:spacing w:before="0" w:after="0"/>
              <w:rPr>
                <w:b w:val="0"/>
                <w:bCs/>
              </w:rPr>
            </w:pPr>
          </w:p>
        </w:tc>
        <w:tc>
          <w:tcPr>
            <w:tcW w:w="2268" w:type="dxa"/>
            <w:vMerge/>
            <w:shd w:val="clear" w:color="auto" w:fill="D9D9D9" w:themeFill="background1" w:themeFillShade="D9"/>
          </w:tcPr>
          <w:p w14:paraId="60832F8C" w14:textId="77777777" w:rsidR="00D34449" w:rsidRPr="001F2B58"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p>
        </w:tc>
        <w:tc>
          <w:tcPr>
            <w:tcW w:w="2325" w:type="dxa"/>
            <w:vMerge/>
            <w:shd w:val="clear" w:color="auto" w:fill="D9D9D9" w:themeFill="background1" w:themeFillShade="D9"/>
          </w:tcPr>
          <w:p w14:paraId="23C3F94F" w14:textId="77777777" w:rsidR="00D34449" w:rsidRPr="001F2B58"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p>
        </w:tc>
        <w:tc>
          <w:tcPr>
            <w:tcW w:w="1398" w:type="dxa"/>
            <w:shd w:val="clear" w:color="auto" w:fill="D9D9D9" w:themeFill="background1" w:themeFillShade="D9"/>
          </w:tcPr>
          <w:p w14:paraId="3040114F" w14:textId="77777777" w:rsidR="00D34449" w:rsidRPr="00EE7DD3"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r>
              <w:rPr>
                <w:b/>
                <w:bCs/>
              </w:rPr>
              <w:t>Miscarriage</w:t>
            </w:r>
          </w:p>
        </w:tc>
        <w:tc>
          <w:tcPr>
            <w:tcW w:w="897" w:type="dxa"/>
            <w:shd w:val="clear" w:color="auto" w:fill="D9D9D9" w:themeFill="background1" w:themeFillShade="D9"/>
          </w:tcPr>
          <w:p w14:paraId="24E4D3BA" w14:textId="77777777" w:rsidR="00D34449" w:rsidRPr="00EE7DD3"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r>
              <w:rPr>
                <w:b/>
                <w:bCs/>
              </w:rPr>
              <w:t>Still-birth</w:t>
            </w:r>
          </w:p>
        </w:tc>
        <w:tc>
          <w:tcPr>
            <w:tcW w:w="994" w:type="dxa"/>
            <w:shd w:val="clear" w:color="auto" w:fill="D9D9D9" w:themeFill="background1" w:themeFillShade="D9"/>
          </w:tcPr>
          <w:p w14:paraId="799B39BE" w14:textId="77777777" w:rsidR="00D34449" w:rsidRPr="00EE7DD3"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r>
              <w:rPr>
                <w:b/>
                <w:bCs/>
              </w:rPr>
              <w:t>Pre-term birth</w:t>
            </w:r>
          </w:p>
        </w:tc>
        <w:tc>
          <w:tcPr>
            <w:tcW w:w="1269" w:type="dxa"/>
            <w:shd w:val="clear" w:color="auto" w:fill="D9D9D9" w:themeFill="background1" w:themeFillShade="D9"/>
          </w:tcPr>
          <w:p w14:paraId="5303308C" w14:textId="77777777" w:rsidR="00D34449" w:rsidRPr="00EE7DD3"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r>
              <w:rPr>
                <w:b/>
                <w:bCs/>
              </w:rPr>
              <w:t>Neonatal TSH</w:t>
            </w:r>
          </w:p>
        </w:tc>
        <w:tc>
          <w:tcPr>
            <w:tcW w:w="2318" w:type="dxa"/>
            <w:shd w:val="clear" w:color="auto" w:fill="D9D9D9" w:themeFill="background1" w:themeFillShade="D9"/>
          </w:tcPr>
          <w:p w14:paraId="3C6A54E2" w14:textId="77777777" w:rsidR="00D34449" w:rsidRPr="00EE7DD3"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b/>
                <w:bCs/>
              </w:rPr>
            </w:pPr>
            <w:r>
              <w:rPr>
                <w:b/>
                <w:bCs/>
              </w:rPr>
              <w:t xml:space="preserve">Neurocognitive development </w:t>
            </w:r>
            <w:r w:rsidRPr="00B1195A">
              <w:rPr>
                <w:b/>
                <w:bCs/>
                <w:i/>
                <w:iCs/>
              </w:rPr>
              <w:t>(various measures)</w:t>
            </w:r>
          </w:p>
        </w:tc>
      </w:tr>
      <w:tr w:rsidR="00D34449" w:rsidRPr="00B1195A" w14:paraId="560D5A73"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D9D9D9" w:themeFill="background1" w:themeFillShade="D9"/>
          </w:tcPr>
          <w:p w14:paraId="05F2FCCE" w14:textId="77777777" w:rsidR="00D34449" w:rsidRPr="00B1195A" w:rsidRDefault="00D34449" w:rsidP="00D34449">
            <w:pPr>
              <w:spacing w:before="0" w:after="0"/>
            </w:pPr>
            <w:r w:rsidRPr="003D2A13">
              <w:rPr>
                <w:bCs/>
              </w:rPr>
              <w:t>Randomised controlled trials (RCTs)</w:t>
            </w:r>
          </w:p>
        </w:tc>
        <w:tc>
          <w:tcPr>
            <w:tcW w:w="2268" w:type="dxa"/>
          </w:tcPr>
          <w:p w14:paraId="55D916E5"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roofErr w:type="spellStart"/>
            <w:r w:rsidRPr="001D6AFD">
              <w:rPr>
                <w:rFonts w:eastAsia="Calibri" w:cs="Arial"/>
              </w:rPr>
              <w:t>Censi</w:t>
            </w:r>
            <w:proofErr w:type="spellEnd"/>
            <w:r w:rsidRPr="001D6AFD">
              <w:rPr>
                <w:rFonts w:eastAsia="Calibri" w:cs="Arial"/>
              </w:rPr>
              <w:t xml:space="preserve"> 2019</w:t>
            </w:r>
          </w:p>
        </w:tc>
        <w:tc>
          <w:tcPr>
            <w:tcW w:w="2325" w:type="dxa"/>
          </w:tcPr>
          <w:p w14:paraId="0450218B" w14:textId="4377E80C" w:rsidR="00D34449" w:rsidRPr="00B1195A" w:rsidRDefault="00B364D5" w:rsidP="00D34449">
            <w:pPr>
              <w:spacing w:before="0" w:after="0"/>
              <w:cnfStyle w:val="000000000000" w:firstRow="0" w:lastRow="0" w:firstColumn="0" w:lastColumn="0" w:oddVBand="0" w:evenVBand="0" w:oddHBand="0" w:evenHBand="0" w:firstRowFirstColumn="0" w:firstRowLastColumn="0" w:lastRowFirstColumn="0" w:lastRowLastColumn="0"/>
            </w:pPr>
            <w:r w:rsidRPr="00A34F7B">
              <w:rPr>
                <w:noProof/>
              </w:rPr>
              <w:drawing>
                <wp:anchor distT="0" distB="0" distL="114300" distR="114300" simplePos="0" relativeHeight="251658275" behindDoc="0" locked="0" layoutInCell="1" allowOverlap="1" wp14:anchorId="4BCBF0BC" wp14:editId="61138E2D">
                  <wp:simplePos x="0" y="0"/>
                  <wp:positionH relativeFrom="column">
                    <wp:posOffset>1152451</wp:posOffset>
                  </wp:positionH>
                  <wp:positionV relativeFrom="paragraph">
                    <wp:posOffset>236</wp:posOffset>
                  </wp:positionV>
                  <wp:extent cx="273050" cy="278765"/>
                  <wp:effectExtent l="0" t="0" r="0" b="6985"/>
                  <wp:wrapSquare wrapText="bothSides"/>
                  <wp:docPr id="7573761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76119" name="Picture 1">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Lst>
                          </a:blip>
                          <a:stretch>
                            <a:fillRect/>
                          </a:stretch>
                        </pic:blipFill>
                        <pic:spPr>
                          <a:xfrm>
                            <a:off x="0" y="0"/>
                            <a:ext cx="273050" cy="278765"/>
                          </a:xfrm>
                          <a:prstGeom prst="rect">
                            <a:avLst/>
                          </a:prstGeom>
                        </pic:spPr>
                      </pic:pic>
                    </a:graphicData>
                  </a:graphic>
                  <wp14:sizeRelH relativeFrom="margin">
                    <wp14:pctWidth>0</wp14:pctWidth>
                  </wp14:sizeRelH>
                  <wp14:sizeRelV relativeFrom="margin">
                    <wp14:pctHeight>0</wp14:pctHeight>
                  </wp14:sizeRelV>
                </wp:anchor>
              </w:drawing>
            </w:r>
            <w:r w:rsidR="00D34449">
              <w:t>Low</w:t>
            </w:r>
          </w:p>
        </w:tc>
        <w:tc>
          <w:tcPr>
            <w:tcW w:w="1398" w:type="dxa"/>
            <w:shd w:val="clear" w:color="auto" w:fill="auto"/>
          </w:tcPr>
          <w:p w14:paraId="11237684"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18864F17"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994" w:type="dxa"/>
            <w:shd w:val="clear" w:color="auto" w:fill="auto"/>
          </w:tcPr>
          <w:p w14:paraId="7394F47A"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1269" w:type="dxa"/>
            <w:shd w:val="clear" w:color="auto" w:fill="auto"/>
          </w:tcPr>
          <w:p w14:paraId="3473E555" w14:textId="691E8F4F" w:rsidR="00D34449" w:rsidRPr="00B1195A" w:rsidRDefault="0028391A"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2318" w:type="dxa"/>
            <w:shd w:val="clear" w:color="auto" w:fill="auto"/>
          </w:tcPr>
          <w:p w14:paraId="5D31AED7"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r>
      <w:tr w:rsidR="00D34449" w:rsidRPr="00B1195A" w14:paraId="7E731F6F"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5953E0A4" w14:textId="77777777" w:rsidR="00D34449" w:rsidRPr="00B1195A" w:rsidRDefault="00D34449" w:rsidP="00D34449">
            <w:pPr>
              <w:spacing w:before="0" w:after="0"/>
            </w:pPr>
          </w:p>
        </w:tc>
        <w:tc>
          <w:tcPr>
            <w:tcW w:w="2268" w:type="dxa"/>
          </w:tcPr>
          <w:p w14:paraId="01DDDEE1"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1D6AFD">
              <w:rPr>
                <w:rFonts w:eastAsia="Calibri" w:cs="Arial"/>
              </w:rPr>
              <w:t>Eriksen 2020</w:t>
            </w:r>
          </w:p>
        </w:tc>
        <w:tc>
          <w:tcPr>
            <w:tcW w:w="2325" w:type="dxa"/>
          </w:tcPr>
          <w:p w14:paraId="37BC1569" w14:textId="6B7A3508" w:rsidR="00D34449" w:rsidRPr="00B1195A" w:rsidRDefault="00B364D5" w:rsidP="00D34449">
            <w:pPr>
              <w:spacing w:before="0" w:after="0"/>
              <w:cnfStyle w:val="000000000000" w:firstRow="0" w:lastRow="0" w:firstColumn="0" w:lastColumn="0" w:oddVBand="0" w:evenVBand="0" w:oddHBand="0" w:evenHBand="0" w:firstRowFirstColumn="0" w:firstRowLastColumn="0" w:lastRowFirstColumn="0" w:lastRowLastColumn="0"/>
            </w:pPr>
            <w:r w:rsidRPr="00A34F7B">
              <w:rPr>
                <w:noProof/>
              </w:rPr>
              <w:drawing>
                <wp:anchor distT="0" distB="0" distL="114300" distR="114300" simplePos="0" relativeHeight="251658276" behindDoc="0" locked="0" layoutInCell="1" allowOverlap="1" wp14:anchorId="33300F6F" wp14:editId="46423561">
                  <wp:simplePos x="0" y="0"/>
                  <wp:positionH relativeFrom="column">
                    <wp:posOffset>1158653</wp:posOffset>
                  </wp:positionH>
                  <wp:positionV relativeFrom="paragraph">
                    <wp:posOffset>251</wp:posOffset>
                  </wp:positionV>
                  <wp:extent cx="273050" cy="278765"/>
                  <wp:effectExtent l="0" t="0" r="0" b="6985"/>
                  <wp:wrapSquare wrapText="bothSides"/>
                  <wp:docPr id="9862777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77745" name="Picture 1">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Lst>
                          </a:blip>
                          <a:stretch>
                            <a:fillRect/>
                          </a:stretch>
                        </pic:blipFill>
                        <pic:spPr>
                          <a:xfrm>
                            <a:off x="0" y="0"/>
                            <a:ext cx="273050" cy="278765"/>
                          </a:xfrm>
                          <a:prstGeom prst="rect">
                            <a:avLst/>
                          </a:prstGeom>
                        </pic:spPr>
                      </pic:pic>
                    </a:graphicData>
                  </a:graphic>
                  <wp14:sizeRelH relativeFrom="margin">
                    <wp14:pctWidth>0</wp14:pctWidth>
                  </wp14:sizeRelH>
                  <wp14:sizeRelV relativeFrom="margin">
                    <wp14:pctHeight>0</wp14:pctHeight>
                  </wp14:sizeRelV>
                </wp:anchor>
              </w:drawing>
            </w:r>
            <w:r w:rsidR="00D34449">
              <w:t>Low</w:t>
            </w:r>
          </w:p>
        </w:tc>
        <w:tc>
          <w:tcPr>
            <w:tcW w:w="1398" w:type="dxa"/>
            <w:shd w:val="clear" w:color="auto" w:fill="auto"/>
          </w:tcPr>
          <w:p w14:paraId="458E356A"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7BA3ECEF"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994" w:type="dxa"/>
            <w:shd w:val="clear" w:color="auto" w:fill="auto"/>
          </w:tcPr>
          <w:p w14:paraId="5AC58D53"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1269" w:type="dxa"/>
            <w:shd w:val="clear" w:color="auto" w:fill="auto"/>
          </w:tcPr>
          <w:p w14:paraId="67CB96C5" w14:textId="69B05570" w:rsidR="00D34449" w:rsidRPr="00F1520D" w:rsidRDefault="0028391A" w:rsidP="00D34449">
            <w:pPr>
              <w:spacing w:before="0" w:after="0"/>
              <w:cnfStyle w:val="000000000000" w:firstRow="0" w:lastRow="0" w:firstColumn="0" w:lastColumn="0" w:oddVBand="0" w:evenVBand="0" w:oddHBand="0" w:evenHBand="0" w:firstRowFirstColumn="0" w:firstRowLastColumn="0" w:lastRowFirstColumn="0" w:lastRowLastColumn="0"/>
              <w:rPr>
                <w:b/>
              </w:rPr>
            </w:pPr>
            <w:r>
              <w:rPr>
                <w:b/>
                <w:bCs/>
              </w:rPr>
              <w:t>x</w:t>
            </w:r>
          </w:p>
        </w:tc>
        <w:tc>
          <w:tcPr>
            <w:tcW w:w="2318" w:type="dxa"/>
            <w:shd w:val="clear" w:color="auto" w:fill="auto"/>
          </w:tcPr>
          <w:p w14:paraId="0863F9CF"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r>
      <w:tr w:rsidR="00D34449" w:rsidRPr="00B1195A" w14:paraId="6F8797D1"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2189F018" w14:textId="77777777" w:rsidR="00D34449" w:rsidRPr="00B1195A" w:rsidRDefault="00D34449" w:rsidP="00D34449">
            <w:pPr>
              <w:spacing w:before="0" w:after="0"/>
            </w:pPr>
          </w:p>
        </w:tc>
        <w:tc>
          <w:tcPr>
            <w:tcW w:w="2268" w:type="dxa"/>
          </w:tcPr>
          <w:p w14:paraId="43CC8B7B"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roofErr w:type="spellStart"/>
            <w:r w:rsidRPr="001D6AFD">
              <w:rPr>
                <w:rFonts w:eastAsia="Calibri" w:cs="Arial"/>
              </w:rPr>
              <w:t>Gowachirapant</w:t>
            </w:r>
            <w:proofErr w:type="spellEnd"/>
            <w:r w:rsidRPr="001D6AFD">
              <w:rPr>
                <w:rFonts w:eastAsia="Calibri" w:cs="Arial"/>
              </w:rPr>
              <w:t xml:space="preserve"> 2017</w:t>
            </w:r>
          </w:p>
        </w:tc>
        <w:tc>
          <w:tcPr>
            <w:tcW w:w="2325" w:type="dxa"/>
          </w:tcPr>
          <w:p w14:paraId="190FC175" w14:textId="4B67A1EF"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9D6D00">
              <w:rPr>
                <w:noProof/>
              </w:rPr>
              <w:drawing>
                <wp:anchor distT="0" distB="0" distL="114300" distR="114300" simplePos="0" relativeHeight="251658258" behindDoc="0" locked="0" layoutInCell="1" allowOverlap="1" wp14:anchorId="6F15E718" wp14:editId="7506ACB1">
                  <wp:simplePos x="0" y="0"/>
                  <wp:positionH relativeFrom="column">
                    <wp:posOffset>1256414</wp:posOffset>
                  </wp:positionH>
                  <wp:positionV relativeFrom="paragraph">
                    <wp:posOffset>325</wp:posOffset>
                  </wp:positionV>
                  <wp:extent cx="301625" cy="282575"/>
                  <wp:effectExtent l="0" t="0" r="3175" b="3175"/>
                  <wp:wrapSquare wrapText="bothSides"/>
                  <wp:docPr id="20868397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39703" name="Picture 1">
                            <a:extLst>
                              <a:ext uri="{C183D7F6-B498-43B3-948B-1728B52AA6E4}">
                                <adec:decorative xmlns:adec="http://schemas.microsoft.com/office/drawing/2017/decorative" val="1"/>
                              </a:ext>
                            </a:extLst>
                          </pic:cNvPr>
                          <pic:cNvPicPr/>
                        </pic:nvPicPr>
                        <pic:blipFill>
                          <a:blip r:embed="rId92">
                            <a:extLst>
                              <a:ext uri="{28A0092B-C50C-407E-A947-70E740481C1C}">
                                <a14:useLocalDpi xmlns:a14="http://schemas.microsoft.com/office/drawing/2010/main" val="0"/>
                              </a:ext>
                            </a:extLst>
                          </a:blip>
                          <a:stretch>
                            <a:fillRect/>
                          </a:stretch>
                        </pic:blipFill>
                        <pic:spPr>
                          <a:xfrm>
                            <a:off x="0" y="0"/>
                            <a:ext cx="301625" cy="282575"/>
                          </a:xfrm>
                          <a:prstGeom prst="rect">
                            <a:avLst/>
                          </a:prstGeom>
                        </pic:spPr>
                      </pic:pic>
                    </a:graphicData>
                  </a:graphic>
                  <wp14:sizeRelH relativeFrom="margin">
                    <wp14:pctWidth>0</wp14:pctWidth>
                  </wp14:sizeRelH>
                  <wp14:sizeRelV relativeFrom="margin">
                    <wp14:pctHeight>0</wp14:pctHeight>
                  </wp14:sizeRelV>
                </wp:anchor>
              </w:drawing>
            </w:r>
            <w:r>
              <w:t>Some concerns</w:t>
            </w:r>
          </w:p>
        </w:tc>
        <w:tc>
          <w:tcPr>
            <w:tcW w:w="1398" w:type="dxa"/>
            <w:shd w:val="clear" w:color="auto" w:fill="auto"/>
          </w:tcPr>
          <w:p w14:paraId="0C7D5BD5"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4038A1F1"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994" w:type="dxa"/>
            <w:shd w:val="clear" w:color="auto" w:fill="auto"/>
          </w:tcPr>
          <w:p w14:paraId="57A970CB"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1269" w:type="dxa"/>
            <w:shd w:val="clear" w:color="auto" w:fill="auto"/>
          </w:tcPr>
          <w:p w14:paraId="1A58F836" w14:textId="71B7119B" w:rsidR="00D34449" w:rsidRPr="00B1195A" w:rsidRDefault="0028391A" w:rsidP="00D34449">
            <w:pPr>
              <w:spacing w:before="0" w:after="0"/>
              <w:cnfStyle w:val="000000000000" w:firstRow="0" w:lastRow="0" w:firstColumn="0" w:lastColumn="0" w:oddVBand="0" w:evenVBand="0" w:oddHBand="0" w:evenHBand="0" w:firstRowFirstColumn="0" w:firstRowLastColumn="0" w:lastRowFirstColumn="0" w:lastRowLastColumn="0"/>
            </w:pPr>
            <w:r>
              <w:t>x</w:t>
            </w:r>
          </w:p>
        </w:tc>
        <w:tc>
          <w:tcPr>
            <w:tcW w:w="2318" w:type="dxa"/>
            <w:shd w:val="clear" w:color="auto" w:fill="auto"/>
          </w:tcPr>
          <w:p w14:paraId="6236E8A3" w14:textId="76E421B2" w:rsidR="00D34449" w:rsidRPr="00B1195A" w:rsidRDefault="0028391A"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r>
      <w:tr w:rsidR="00D34449" w:rsidRPr="00B1195A" w14:paraId="6381564C"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3FD82EA1" w14:textId="77777777" w:rsidR="00D34449" w:rsidRPr="00B1195A" w:rsidRDefault="00D34449" w:rsidP="00D34449">
            <w:pPr>
              <w:spacing w:before="0" w:after="0"/>
            </w:pPr>
          </w:p>
        </w:tc>
        <w:tc>
          <w:tcPr>
            <w:tcW w:w="2268" w:type="dxa"/>
          </w:tcPr>
          <w:p w14:paraId="63819A26"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1D6AFD">
              <w:rPr>
                <w:rFonts w:eastAsia="Calibri" w:cs="Arial"/>
              </w:rPr>
              <w:t>Mohammed 2020</w:t>
            </w:r>
          </w:p>
        </w:tc>
        <w:tc>
          <w:tcPr>
            <w:tcW w:w="2325" w:type="dxa"/>
          </w:tcPr>
          <w:p w14:paraId="7E037E77" w14:textId="2B3C3ADD"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62" behindDoc="0" locked="0" layoutInCell="1" allowOverlap="1" wp14:anchorId="463FF48F" wp14:editId="1C1BF611">
                  <wp:simplePos x="0" y="0"/>
                  <wp:positionH relativeFrom="column">
                    <wp:posOffset>1094341</wp:posOffset>
                  </wp:positionH>
                  <wp:positionV relativeFrom="paragraph">
                    <wp:posOffset>74</wp:posOffset>
                  </wp:positionV>
                  <wp:extent cx="339799" cy="247650"/>
                  <wp:effectExtent l="0" t="0" r="3175" b="0"/>
                  <wp:wrapSquare wrapText="bothSides"/>
                  <wp:docPr id="114754609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46092"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High</w:t>
            </w:r>
          </w:p>
        </w:tc>
        <w:tc>
          <w:tcPr>
            <w:tcW w:w="1398" w:type="dxa"/>
            <w:shd w:val="clear" w:color="auto" w:fill="auto"/>
          </w:tcPr>
          <w:p w14:paraId="67179330"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0E76914D"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994" w:type="dxa"/>
            <w:shd w:val="clear" w:color="auto" w:fill="auto"/>
          </w:tcPr>
          <w:p w14:paraId="75B0E9EC"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1269" w:type="dxa"/>
            <w:shd w:val="clear" w:color="auto" w:fill="auto"/>
          </w:tcPr>
          <w:p w14:paraId="1F0AF05B"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2318" w:type="dxa"/>
            <w:shd w:val="clear" w:color="auto" w:fill="auto"/>
          </w:tcPr>
          <w:p w14:paraId="01B3A303" w14:textId="4063DDC7" w:rsidR="00D34449" w:rsidRPr="00B1195A" w:rsidRDefault="0028391A" w:rsidP="00D34449">
            <w:pPr>
              <w:spacing w:before="0" w:after="0"/>
              <w:cnfStyle w:val="000000000000" w:firstRow="0" w:lastRow="0" w:firstColumn="0" w:lastColumn="0" w:oddVBand="0" w:evenVBand="0" w:oddHBand="0" w:evenHBand="0" w:firstRowFirstColumn="0" w:firstRowLastColumn="0" w:lastRowFirstColumn="0" w:lastRowLastColumn="0"/>
            </w:pPr>
            <w:r>
              <w:t>x</w:t>
            </w:r>
          </w:p>
        </w:tc>
      </w:tr>
      <w:tr w:rsidR="00D34449" w:rsidRPr="00B1195A" w14:paraId="776DA1C7"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73D881E4" w14:textId="77777777" w:rsidR="00D34449" w:rsidRPr="00B1195A" w:rsidRDefault="00D34449" w:rsidP="00D34449">
            <w:pPr>
              <w:spacing w:before="0" w:after="0"/>
            </w:pPr>
          </w:p>
        </w:tc>
        <w:tc>
          <w:tcPr>
            <w:tcW w:w="2268" w:type="dxa"/>
          </w:tcPr>
          <w:p w14:paraId="53FC0854"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roofErr w:type="spellStart"/>
            <w:r w:rsidRPr="001D6AFD">
              <w:rPr>
                <w:rFonts w:eastAsia="Calibri" w:cs="Arial"/>
              </w:rPr>
              <w:t>Manousou</w:t>
            </w:r>
            <w:proofErr w:type="spellEnd"/>
            <w:r w:rsidRPr="001D6AFD">
              <w:rPr>
                <w:rFonts w:eastAsia="Calibri" w:cs="Arial"/>
              </w:rPr>
              <w:t xml:space="preserve"> 2021</w:t>
            </w:r>
          </w:p>
        </w:tc>
        <w:tc>
          <w:tcPr>
            <w:tcW w:w="2325" w:type="dxa"/>
          </w:tcPr>
          <w:p w14:paraId="06D86C24" w14:textId="50A79714" w:rsidR="00D34449" w:rsidRPr="00B1195A" w:rsidRDefault="00B364D5" w:rsidP="00D34449">
            <w:pPr>
              <w:spacing w:before="0" w:after="0"/>
              <w:cnfStyle w:val="000000000000" w:firstRow="0" w:lastRow="0" w:firstColumn="0" w:lastColumn="0" w:oddVBand="0" w:evenVBand="0" w:oddHBand="0" w:evenHBand="0" w:firstRowFirstColumn="0" w:firstRowLastColumn="0" w:lastRowFirstColumn="0" w:lastRowLastColumn="0"/>
            </w:pPr>
            <w:r w:rsidRPr="00A34F7B">
              <w:rPr>
                <w:noProof/>
              </w:rPr>
              <w:drawing>
                <wp:anchor distT="0" distB="0" distL="114300" distR="114300" simplePos="0" relativeHeight="251658277" behindDoc="0" locked="0" layoutInCell="1" allowOverlap="1" wp14:anchorId="2FD4FF75" wp14:editId="77BBB613">
                  <wp:simplePos x="0" y="0"/>
                  <wp:positionH relativeFrom="column">
                    <wp:posOffset>1164339</wp:posOffset>
                  </wp:positionH>
                  <wp:positionV relativeFrom="paragraph">
                    <wp:posOffset>88</wp:posOffset>
                  </wp:positionV>
                  <wp:extent cx="273050" cy="278765"/>
                  <wp:effectExtent l="0" t="0" r="0" b="6985"/>
                  <wp:wrapSquare wrapText="bothSides"/>
                  <wp:docPr id="5341314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31455" name="Picture 1">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Lst>
                          </a:blip>
                          <a:stretch>
                            <a:fillRect/>
                          </a:stretch>
                        </pic:blipFill>
                        <pic:spPr>
                          <a:xfrm>
                            <a:off x="0" y="0"/>
                            <a:ext cx="273050" cy="278765"/>
                          </a:xfrm>
                          <a:prstGeom prst="rect">
                            <a:avLst/>
                          </a:prstGeom>
                        </pic:spPr>
                      </pic:pic>
                    </a:graphicData>
                  </a:graphic>
                  <wp14:sizeRelH relativeFrom="margin">
                    <wp14:pctWidth>0</wp14:pctWidth>
                  </wp14:sizeRelH>
                  <wp14:sizeRelV relativeFrom="margin">
                    <wp14:pctHeight>0</wp14:pctHeight>
                  </wp14:sizeRelV>
                </wp:anchor>
              </w:drawing>
            </w:r>
            <w:r w:rsidR="00D34449">
              <w:t>Low</w:t>
            </w:r>
          </w:p>
        </w:tc>
        <w:tc>
          <w:tcPr>
            <w:tcW w:w="1398" w:type="dxa"/>
            <w:shd w:val="clear" w:color="auto" w:fill="auto"/>
          </w:tcPr>
          <w:p w14:paraId="37B94A97"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5A6F4E75"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994" w:type="dxa"/>
            <w:shd w:val="clear" w:color="auto" w:fill="auto"/>
          </w:tcPr>
          <w:p w14:paraId="7B21C2E8"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1269" w:type="dxa"/>
            <w:shd w:val="clear" w:color="auto" w:fill="auto"/>
          </w:tcPr>
          <w:p w14:paraId="593F2768" w14:textId="7AD70915" w:rsidR="00D34449" w:rsidRPr="00B1195A" w:rsidRDefault="00B364D5" w:rsidP="00D34449">
            <w:pPr>
              <w:spacing w:before="0" w:after="0"/>
              <w:cnfStyle w:val="000000000000" w:firstRow="0" w:lastRow="0" w:firstColumn="0" w:lastColumn="0" w:oddVBand="0" w:evenVBand="0" w:oddHBand="0" w:evenHBand="0" w:firstRowFirstColumn="0" w:firstRowLastColumn="0" w:lastRowFirstColumn="0" w:lastRowLastColumn="0"/>
            </w:pPr>
            <w:r>
              <w:t xml:space="preserve"> </w:t>
            </w:r>
            <w:r w:rsidR="0028391A">
              <w:t>x</w:t>
            </w:r>
          </w:p>
        </w:tc>
        <w:tc>
          <w:tcPr>
            <w:tcW w:w="2318" w:type="dxa"/>
            <w:shd w:val="clear" w:color="auto" w:fill="auto"/>
          </w:tcPr>
          <w:p w14:paraId="66D794A0"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r>
      <w:tr w:rsidR="00D34449" w:rsidRPr="00B1195A" w14:paraId="2388E960"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D9D9D9" w:themeFill="background1" w:themeFillShade="D9"/>
          </w:tcPr>
          <w:p w14:paraId="43E43F76" w14:textId="77777777" w:rsidR="00D34449" w:rsidRPr="00B1195A" w:rsidRDefault="00D34449" w:rsidP="00D34449">
            <w:pPr>
              <w:spacing w:before="0" w:after="0"/>
            </w:pPr>
            <w:r w:rsidRPr="001D6AFD">
              <w:rPr>
                <w:rFonts w:eastAsia="Calibri" w:cs="Arial"/>
                <w:bCs/>
              </w:rPr>
              <w:t>Observational studies</w:t>
            </w:r>
          </w:p>
        </w:tc>
        <w:tc>
          <w:tcPr>
            <w:tcW w:w="2268" w:type="dxa"/>
          </w:tcPr>
          <w:p w14:paraId="26636890" w14:textId="77777777" w:rsidR="00D34449" w:rsidRPr="00B1195A" w:rsidRDefault="00D34449" w:rsidP="00D34449">
            <w:pPr>
              <w:spacing w:before="0" w:after="0" w:line="259" w:lineRule="auto"/>
              <w:cnfStyle w:val="000000000000" w:firstRow="0" w:lastRow="0" w:firstColumn="0" w:lastColumn="0" w:oddVBand="0" w:evenVBand="0" w:oddHBand="0" w:evenHBand="0" w:firstRowFirstColumn="0" w:firstRowLastColumn="0" w:lastRowFirstColumn="0" w:lastRowLastColumn="0"/>
            </w:pPr>
            <w:r w:rsidRPr="001D6AFD">
              <w:rPr>
                <w:rFonts w:eastAsia="Calibri" w:cs="Arial"/>
              </w:rPr>
              <w:t>Abel 2019/Abel 2020</w:t>
            </w:r>
          </w:p>
        </w:tc>
        <w:tc>
          <w:tcPr>
            <w:tcW w:w="2325" w:type="dxa"/>
          </w:tcPr>
          <w:p w14:paraId="4EAF15DB" w14:textId="4F07EAF4"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9D6D00">
              <w:rPr>
                <w:noProof/>
              </w:rPr>
              <w:drawing>
                <wp:anchor distT="0" distB="0" distL="114300" distR="114300" simplePos="0" relativeHeight="251658259" behindDoc="0" locked="0" layoutInCell="1" allowOverlap="1" wp14:anchorId="792A45C8" wp14:editId="7744F72D">
                  <wp:simplePos x="0" y="0"/>
                  <wp:positionH relativeFrom="column">
                    <wp:posOffset>1132442</wp:posOffset>
                  </wp:positionH>
                  <wp:positionV relativeFrom="paragraph">
                    <wp:posOffset>561</wp:posOffset>
                  </wp:positionV>
                  <wp:extent cx="301625" cy="282575"/>
                  <wp:effectExtent l="0" t="0" r="3175" b="3175"/>
                  <wp:wrapSquare wrapText="bothSides"/>
                  <wp:docPr id="17767455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45541" name="Picture 1">
                            <a:extLst>
                              <a:ext uri="{C183D7F6-B498-43B3-948B-1728B52AA6E4}">
                                <adec:decorative xmlns:adec="http://schemas.microsoft.com/office/drawing/2017/decorative" val="1"/>
                              </a:ext>
                            </a:extLst>
                          </pic:cNvPr>
                          <pic:cNvPicPr/>
                        </pic:nvPicPr>
                        <pic:blipFill>
                          <a:blip r:embed="rId92">
                            <a:extLst>
                              <a:ext uri="{28A0092B-C50C-407E-A947-70E740481C1C}">
                                <a14:useLocalDpi xmlns:a14="http://schemas.microsoft.com/office/drawing/2010/main" val="0"/>
                              </a:ext>
                            </a:extLst>
                          </a:blip>
                          <a:stretch>
                            <a:fillRect/>
                          </a:stretch>
                        </pic:blipFill>
                        <pic:spPr>
                          <a:xfrm>
                            <a:off x="0" y="0"/>
                            <a:ext cx="301625" cy="282575"/>
                          </a:xfrm>
                          <a:prstGeom prst="rect">
                            <a:avLst/>
                          </a:prstGeom>
                        </pic:spPr>
                      </pic:pic>
                    </a:graphicData>
                  </a:graphic>
                  <wp14:sizeRelH relativeFrom="margin">
                    <wp14:pctWidth>0</wp14:pctWidth>
                  </wp14:sizeRelH>
                  <wp14:sizeRelV relativeFrom="margin">
                    <wp14:pctHeight>0</wp14:pctHeight>
                  </wp14:sizeRelV>
                </wp:anchor>
              </w:drawing>
            </w:r>
            <w:r>
              <w:t>Moderate</w:t>
            </w:r>
          </w:p>
        </w:tc>
        <w:tc>
          <w:tcPr>
            <w:tcW w:w="1398" w:type="dxa"/>
            <w:shd w:val="clear" w:color="auto" w:fill="auto"/>
          </w:tcPr>
          <w:p w14:paraId="2DE65F95"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79ED959E" w14:textId="3D6E484E" w:rsidR="00D34449" w:rsidRPr="00B1195A" w:rsidRDefault="0028391A"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994" w:type="dxa"/>
            <w:shd w:val="clear" w:color="auto" w:fill="auto"/>
          </w:tcPr>
          <w:p w14:paraId="2A91BAF9" w14:textId="77B0C913" w:rsidR="00D34449" w:rsidRPr="00B1195A" w:rsidRDefault="0028391A"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1269" w:type="dxa"/>
            <w:shd w:val="clear" w:color="auto" w:fill="auto"/>
          </w:tcPr>
          <w:p w14:paraId="33BE9D94"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2318" w:type="dxa"/>
            <w:shd w:val="clear" w:color="auto" w:fill="auto"/>
          </w:tcPr>
          <w:p w14:paraId="32AFF64E" w14:textId="3EBFE90B" w:rsidR="00D34449" w:rsidRPr="00B1195A" w:rsidRDefault="0028391A"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r>
      <w:tr w:rsidR="00D34449" w:rsidRPr="00B1195A" w14:paraId="36D6D2AA"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566DD5F3" w14:textId="77777777" w:rsidR="00D34449" w:rsidRPr="00B1195A" w:rsidRDefault="00D34449" w:rsidP="00D34449">
            <w:pPr>
              <w:spacing w:before="0" w:after="0"/>
            </w:pPr>
          </w:p>
        </w:tc>
        <w:tc>
          <w:tcPr>
            <w:tcW w:w="2268" w:type="dxa"/>
          </w:tcPr>
          <w:p w14:paraId="4EB5AF75" w14:textId="77777777" w:rsidR="00D34449" w:rsidRPr="00B1195A" w:rsidRDefault="00D34449" w:rsidP="00D34449">
            <w:pPr>
              <w:spacing w:before="0" w:after="0" w:line="259" w:lineRule="auto"/>
              <w:cnfStyle w:val="000000000000" w:firstRow="0" w:lastRow="0" w:firstColumn="0" w:lastColumn="0" w:oddVBand="0" w:evenVBand="0" w:oddHBand="0" w:evenHBand="0" w:firstRowFirstColumn="0" w:firstRowLastColumn="0" w:lastRowFirstColumn="0" w:lastRowLastColumn="0"/>
            </w:pPr>
            <w:r w:rsidRPr="001D6AFD">
              <w:rPr>
                <w:rFonts w:eastAsia="Calibri" w:cs="Arial"/>
              </w:rPr>
              <w:t>Corcino 2019/Silva De Morais 2020</w:t>
            </w:r>
          </w:p>
        </w:tc>
        <w:tc>
          <w:tcPr>
            <w:tcW w:w="2325" w:type="dxa"/>
          </w:tcPr>
          <w:p w14:paraId="2B18EFBA" w14:textId="4A4C4A44"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63" behindDoc="0" locked="0" layoutInCell="1" allowOverlap="1" wp14:anchorId="79ADE1F4" wp14:editId="2BCB785A">
                  <wp:simplePos x="0" y="0"/>
                  <wp:positionH relativeFrom="column">
                    <wp:posOffset>1094356</wp:posOffset>
                  </wp:positionH>
                  <wp:positionV relativeFrom="paragraph">
                    <wp:posOffset>413</wp:posOffset>
                  </wp:positionV>
                  <wp:extent cx="339799" cy="247650"/>
                  <wp:effectExtent l="0" t="0" r="3175" b="0"/>
                  <wp:wrapSquare wrapText="bothSides"/>
                  <wp:docPr id="9289508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50822"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1398" w:type="dxa"/>
            <w:shd w:val="clear" w:color="auto" w:fill="auto"/>
          </w:tcPr>
          <w:p w14:paraId="76B16C56" w14:textId="0686F49C" w:rsidR="00D34449" w:rsidRPr="00B1195A" w:rsidRDefault="002B492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897" w:type="dxa"/>
            <w:shd w:val="clear" w:color="auto" w:fill="auto"/>
          </w:tcPr>
          <w:p w14:paraId="0F96212C" w14:textId="1ECF6C08" w:rsidR="00D34449" w:rsidRPr="00B1195A" w:rsidRDefault="002B492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994" w:type="dxa"/>
            <w:shd w:val="clear" w:color="auto" w:fill="auto"/>
          </w:tcPr>
          <w:p w14:paraId="0D834744" w14:textId="6B228164" w:rsidR="00D34449" w:rsidRPr="00B1195A" w:rsidRDefault="002B492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1269" w:type="dxa"/>
            <w:shd w:val="clear" w:color="auto" w:fill="auto"/>
          </w:tcPr>
          <w:p w14:paraId="0051AA9D"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2318" w:type="dxa"/>
            <w:shd w:val="clear" w:color="auto" w:fill="auto"/>
          </w:tcPr>
          <w:p w14:paraId="580AF145"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r>
      <w:tr w:rsidR="00D34449" w:rsidRPr="00B1195A" w14:paraId="0F9F6A7B"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6A5C8984" w14:textId="77777777" w:rsidR="00D34449" w:rsidRPr="00B1195A" w:rsidRDefault="00D34449" w:rsidP="00D34449">
            <w:pPr>
              <w:spacing w:before="0" w:after="0"/>
            </w:pPr>
          </w:p>
        </w:tc>
        <w:tc>
          <w:tcPr>
            <w:tcW w:w="2268" w:type="dxa"/>
          </w:tcPr>
          <w:p w14:paraId="7B146AE9"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1D6AFD">
              <w:rPr>
                <w:rFonts w:eastAsia="Calibri" w:cs="Arial"/>
              </w:rPr>
              <w:t>Markhus 2018</w:t>
            </w:r>
          </w:p>
        </w:tc>
        <w:tc>
          <w:tcPr>
            <w:tcW w:w="2325" w:type="dxa"/>
          </w:tcPr>
          <w:p w14:paraId="5956644E" w14:textId="2FD2C186"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64" behindDoc="0" locked="0" layoutInCell="1" allowOverlap="1" wp14:anchorId="3B620F3B" wp14:editId="37D4EA0A">
                  <wp:simplePos x="0" y="0"/>
                  <wp:positionH relativeFrom="column">
                    <wp:posOffset>1091978</wp:posOffset>
                  </wp:positionH>
                  <wp:positionV relativeFrom="paragraph">
                    <wp:posOffset>236</wp:posOffset>
                  </wp:positionV>
                  <wp:extent cx="339799" cy="247650"/>
                  <wp:effectExtent l="0" t="0" r="3175" b="0"/>
                  <wp:wrapSquare wrapText="bothSides"/>
                  <wp:docPr id="2820369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36912"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1398" w:type="dxa"/>
            <w:shd w:val="clear" w:color="auto" w:fill="auto"/>
          </w:tcPr>
          <w:p w14:paraId="6252E152"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209AF097"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994" w:type="dxa"/>
            <w:shd w:val="clear" w:color="auto" w:fill="auto"/>
          </w:tcPr>
          <w:p w14:paraId="730C969C"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1269" w:type="dxa"/>
            <w:shd w:val="clear" w:color="auto" w:fill="auto"/>
          </w:tcPr>
          <w:p w14:paraId="44FAE2FF"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2318" w:type="dxa"/>
            <w:shd w:val="clear" w:color="auto" w:fill="auto"/>
          </w:tcPr>
          <w:p w14:paraId="67E32215" w14:textId="6D1FE0BE" w:rsidR="00D34449" w:rsidRPr="00B1195A" w:rsidRDefault="002B492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r>
      <w:tr w:rsidR="00D34449" w:rsidRPr="00B1195A" w14:paraId="6F5C42EC"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71C4A4E8" w14:textId="77777777" w:rsidR="00D34449" w:rsidRPr="00B1195A" w:rsidRDefault="00D34449" w:rsidP="00D34449">
            <w:pPr>
              <w:spacing w:before="0" w:after="0"/>
            </w:pPr>
          </w:p>
        </w:tc>
        <w:tc>
          <w:tcPr>
            <w:tcW w:w="2268" w:type="dxa"/>
          </w:tcPr>
          <w:p w14:paraId="1FF74947"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1D6AFD">
              <w:rPr>
                <w:rFonts w:eastAsia="Calibri" w:cs="Arial"/>
              </w:rPr>
              <w:t>Murcia 2017</w:t>
            </w:r>
          </w:p>
        </w:tc>
        <w:tc>
          <w:tcPr>
            <w:tcW w:w="2325" w:type="dxa"/>
          </w:tcPr>
          <w:p w14:paraId="6CC2D8F8" w14:textId="6C1071A5"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65" behindDoc="0" locked="0" layoutInCell="1" allowOverlap="1" wp14:anchorId="7CFA43A4" wp14:editId="7E235733">
                  <wp:simplePos x="0" y="0"/>
                  <wp:positionH relativeFrom="column">
                    <wp:posOffset>1091978</wp:posOffset>
                  </wp:positionH>
                  <wp:positionV relativeFrom="paragraph">
                    <wp:posOffset>547</wp:posOffset>
                  </wp:positionV>
                  <wp:extent cx="339799" cy="247650"/>
                  <wp:effectExtent l="0" t="0" r="3175" b="0"/>
                  <wp:wrapSquare wrapText="bothSides"/>
                  <wp:docPr id="4249694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969425"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14:sizeRelV relativeFrom="margin">
                    <wp14:pctHeight>0</wp14:pctHeight>
                  </wp14:sizeRelV>
                </wp:anchor>
              </w:drawing>
            </w:r>
            <w:r>
              <w:t>Serious</w:t>
            </w:r>
          </w:p>
        </w:tc>
        <w:tc>
          <w:tcPr>
            <w:tcW w:w="1398" w:type="dxa"/>
            <w:shd w:val="clear" w:color="auto" w:fill="auto"/>
          </w:tcPr>
          <w:p w14:paraId="0A0A9A6F"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53D33D02"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994" w:type="dxa"/>
            <w:shd w:val="clear" w:color="auto" w:fill="auto"/>
          </w:tcPr>
          <w:p w14:paraId="69D867C4"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1269" w:type="dxa"/>
            <w:shd w:val="clear" w:color="auto" w:fill="auto"/>
          </w:tcPr>
          <w:p w14:paraId="2E11B594"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2318" w:type="dxa"/>
            <w:shd w:val="clear" w:color="auto" w:fill="auto"/>
          </w:tcPr>
          <w:p w14:paraId="786FAD67" w14:textId="7375A693" w:rsidR="00D34449" w:rsidRPr="00B1195A" w:rsidRDefault="002B4924" w:rsidP="00D34449">
            <w:pPr>
              <w:spacing w:before="0" w:after="0"/>
              <w:cnfStyle w:val="000000000000" w:firstRow="0" w:lastRow="0" w:firstColumn="0" w:lastColumn="0" w:oddVBand="0" w:evenVBand="0" w:oddHBand="0" w:evenHBand="0" w:firstRowFirstColumn="0" w:firstRowLastColumn="0" w:lastRowFirstColumn="0" w:lastRowLastColumn="0"/>
            </w:pPr>
            <w:r>
              <w:t>x</w:t>
            </w:r>
          </w:p>
        </w:tc>
      </w:tr>
      <w:tr w:rsidR="00D34449" w:rsidRPr="00B1195A" w14:paraId="2F64AF6B"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41805756" w14:textId="77777777" w:rsidR="00D34449" w:rsidRPr="00B1195A" w:rsidRDefault="00D34449" w:rsidP="00D34449">
            <w:pPr>
              <w:spacing w:before="0" w:after="0"/>
            </w:pPr>
          </w:p>
        </w:tc>
        <w:tc>
          <w:tcPr>
            <w:tcW w:w="2268" w:type="dxa"/>
          </w:tcPr>
          <w:p w14:paraId="73A364F7"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1D6AFD">
              <w:rPr>
                <w:rFonts w:eastAsia="Calibri" w:cs="Arial"/>
              </w:rPr>
              <w:t>Olesea 2020</w:t>
            </w:r>
          </w:p>
        </w:tc>
        <w:tc>
          <w:tcPr>
            <w:tcW w:w="2325" w:type="dxa"/>
          </w:tcPr>
          <w:p w14:paraId="5E65590E" w14:textId="0F381248"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66" behindDoc="0" locked="0" layoutInCell="1" allowOverlap="1" wp14:anchorId="58B9563A" wp14:editId="2CD52A00">
                  <wp:simplePos x="0" y="0"/>
                  <wp:positionH relativeFrom="column">
                    <wp:posOffset>1094342</wp:posOffset>
                  </wp:positionH>
                  <wp:positionV relativeFrom="paragraph">
                    <wp:posOffset>54</wp:posOffset>
                  </wp:positionV>
                  <wp:extent cx="339799" cy="247650"/>
                  <wp:effectExtent l="0" t="0" r="3175" b="0"/>
                  <wp:wrapSquare wrapText="bothSides"/>
                  <wp:docPr id="19606464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46463"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1398" w:type="dxa"/>
            <w:shd w:val="clear" w:color="auto" w:fill="auto"/>
          </w:tcPr>
          <w:p w14:paraId="71165BB4"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01C8FEA2"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994" w:type="dxa"/>
            <w:shd w:val="clear" w:color="auto" w:fill="auto"/>
          </w:tcPr>
          <w:p w14:paraId="16DD323E"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1269" w:type="dxa"/>
            <w:shd w:val="clear" w:color="auto" w:fill="auto"/>
          </w:tcPr>
          <w:p w14:paraId="3EDD4081" w14:textId="07986444" w:rsidR="00D34449" w:rsidRPr="00B1195A" w:rsidRDefault="002B492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r w:rsidR="00B364D5">
              <w:t xml:space="preserve"> </w:t>
            </w:r>
          </w:p>
        </w:tc>
        <w:tc>
          <w:tcPr>
            <w:tcW w:w="2318" w:type="dxa"/>
            <w:shd w:val="clear" w:color="auto" w:fill="auto"/>
          </w:tcPr>
          <w:p w14:paraId="49006663"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r>
      <w:tr w:rsidR="00D34449" w:rsidRPr="00B1195A" w14:paraId="1E81F70F"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44AA7257" w14:textId="77777777" w:rsidR="00D34449" w:rsidRPr="00B1195A" w:rsidRDefault="00D34449" w:rsidP="00D34449">
            <w:pPr>
              <w:spacing w:before="0" w:after="0"/>
            </w:pPr>
          </w:p>
        </w:tc>
        <w:tc>
          <w:tcPr>
            <w:tcW w:w="2268" w:type="dxa"/>
          </w:tcPr>
          <w:p w14:paraId="59F13E9C"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1D6AFD">
              <w:rPr>
                <w:rFonts w:eastAsia="Calibri" w:cs="Arial"/>
              </w:rPr>
              <w:t>Snart 2020/</w:t>
            </w:r>
            <w:r>
              <w:rPr>
                <w:rFonts w:eastAsia="Calibri" w:cs="Arial"/>
              </w:rPr>
              <w:t xml:space="preserve"> </w:t>
            </w:r>
            <w:r w:rsidRPr="001D6AFD">
              <w:rPr>
                <w:rFonts w:eastAsia="Calibri" w:cs="Arial"/>
              </w:rPr>
              <w:t>Threapleton 2020</w:t>
            </w:r>
          </w:p>
        </w:tc>
        <w:tc>
          <w:tcPr>
            <w:tcW w:w="2325" w:type="dxa"/>
          </w:tcPr>
          <w:p w14:paraId="16FBB9B2" w14:textId="131B1BD8"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67" behindDoc="0" locked="0" layoutInCell="1" allowOverlap="1" wp14:anchorId="34C54C73" wp14:editId="08B92030">
                  <wp:simplePos x="0" y="0"/>
                  <wp:positionH relativeFrom="column">
                    <wp:posOffset>1091978</wp:posOffset>
                  </wp:positionH>
                  <wp:positionV relativeFrom="paragraph">
                    <wp:posOffset>384</wp:posOffset>
                  </wp:positionV>
                  <wp:extent cx="339799" cy="247650"/>
                  <wp:effectExtent l="0" t="0" r="3175" b="0"/>
                  <wp:wrapSquare wrapText="bothSides"/>
                  <wp:docPr id="11932847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84795"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1398" w:type="dxa"/>
            <w:shd w:val="clear" w:color="auto" w:fill="auto"/>
          </w:tcPr>
          <w:p w14:paraId="520F9F08"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3C54C6AE" w14:textId="19E48675" w:rsidR="00D34449" w:rsidRPr="00B1195A" w:rsidRDefault="002B492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994" w:type="dxa"/>
            <w:shd w:val="clear" w:color="auto" w:fill="auto"/>
          </w:tcPr>
          <w:p w14:paraId="1B56D3B6" w14:textId="609A2FF8" w:rsidR="00D34449" w:rsidRPr="00B1195A" w:rsidRDefault="006B720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1269" w:type="dxa"/>
            <w:shd w:val="clear" w:color="auto" w:fill="auto"/>
          </w:tcPr>
          <w:p w14:paraId="6D04A011"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2318" w:type="dxa"/>
            <w:shd w:val="clear" w:color="auto" w:fill="auto"/>
          </w:tcPr>
          <w:p w14:paraId="657D99CB" w14:textId="2CAE6586" w:rsidR="00D34449" w:rsidRPr="00B1195A" w:rsidRDefault="006B720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r>
      <w:tr w:rsidR="00D34449" w:rsidRPr="00B1195A" w14:paraId="1D9C449A"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7AEFCD04" w14:textId="77777777" w:rsidR="00D34449" w:rsidRPr="00B1195A" w:rsidRDefault="00D34449" w:rsidP="00D34449">
            <w:pPr>
              <w:spacing w:before="0" w:after="0"/>
            </w:pPr>
          </w:p>
        </w:tc>
        <w:tc>
          <w:tcPr>
            <w:tcW w:w="2268" w:type="dxa"/>
          </w:tcPr>
          <w:p w14:paraId="5C991919" w14:textId="77777777" w:rsidR="00D34449" w:rsidRPr="001D6AFD"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proofErr w:type="spellStart"/>
            <w:r w:rsidRPr="001D6AFD">
              <w:rPr>
                <w:rFonts w:eastAsia="Calibri" w:cs="Arial"/>
              </w:rPr>
              <w:t>Torlinska</w:t>
            </w:r>
            <w:proofErr w:type="spellEnd"/>
            <w:r w:rsidRPr="001D6AFD">
              <w:rPr>
                <w:rFonts w:eastAsia="Calibri" w:cs="Arial"/>
              </w:rPr>
              <w:t xml:space="preserve"> 2018</w:t>
            </w:r>
          </w:p>
        </w:tc>
        <w:tc>
          <w:tcPr>
            <w:tcW w:w="2325" w:type="dxa"/>
          </w:tcPr>
          <w:p w14:paraId="7864BDA7" w14:textId="6BE6DDE8"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68" behindDoc="0" locked="0" layoutInCell="1" allowOverlap="1" wp14:anchorId="560DB5E6" wp14:editId="41149147">
                  <wp:simplePos x="0" y="0"/>
                  <wp:positionH relativeFrom="column">
                    <wp:posOffset>1094252</wp:posOffset>
                  </wp:positionH>
                  <wp:positionV relativeFrom="paragraph">
                    <wp:posOffset>325</wp:posOffset>
                  </wp:positionV>
                  <wp:extent cx="339799" cy="247650"/>
                  <wp:effectExtent l="0" t="0" r="3175" b="0"/>
                  <wp:wrapSquare wrapText="bothSides"/>
                  <wp:docPr id="17311551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55151"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1398" w:type="dxa"/>
            <w:shd w:val="clear" w:color="auto" w:fill="auto"/>
          </w:tcPr>
          <w:p w14:paraId="4BCCAD3F"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061F3437" w14:textId="3764E19B" w:rsidR="00D34449" w:rsidRPr="00B1195A" w:rsidRDefault="006B7204" w:rsidP="00D34449">
            <w:pPr>
              <w:spacing w:before="0" w:after="0"/>
              <w:cnfStyle w:val="000000000000" w:firstRow="0" w:lastRow="0" w:firstColumn="0" w:lastColumn="0" w:oddVBand="0" w:evenVBand="0" w:oddHBand="0" w:evenHBand="0" w:firstRowFirstColumn="0" w:firstRowLastColumn="0" w:lastRowFirstColumn="0" w:lastRowLastColumn="0"/>
            </w:pPr>
            <w:r>
              <w:t>x</w:t>
            </w:r>
          </w:p>
        </w:tc>
        <w:tc>
          <w:tcPr>
            <w:tcW w:w="994" w:type="dxa"/>
            <w:shd w:val="clear" w:color="auto" w:fill="auto"/>
          </w:tcPr>
          <w:p w14:paraId="7622CBCA" w14:textId="264CD4F3" w:rsidR="00D34449" w:rsidRPr="00B1195A" w:rsidRDefault="006B720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p>
        </w:tc>
        <w:tc>
          <w:tcPr>
            <w:tcW w:w="1269" w:type="dxa"/>
            <w:shd w:val="clear" w:color="auto" w:fill="auto"/>
          </w:tcPr>
          <w:p w14:paraId="2FF0EBDC"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2318" w:type="dxa"/>
            <w:shd w:val="clear" w:color="auto" w:fill="auto"/>
          </w:tcPr>
          <w:p w14:paraId="48952AEB"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r>
      <w:tr w:rsidR="00D34449" w:rsidRPr="00B1195A" w14:paraId="26404557" w14:textId="77777777" w:rsidTr="00EE389F">
        <w:tc>
          <w:tcPr>
            <w:cnfStyle w:val="001000000000" w:firstRow="0" w:lastRow="0" w:firstColumn="1" w:lastColumn="0" w:oddVBand="0" w:evenVBand="0" w:oddHBand="0" w:evenHBand="0" w:firstRowFirstColumn="0" w:firstRowLastColumn="0" w:lastRowFirstColumn="0" w:lastRowLastColumn="0"/>
            <w:tcW w:w="1980" w:type="dxa"/>
            <w:vMerge/>
            <w:shd w:val="clear" w:color="auto" w:fill="D9D9D9" w:themeFill="background1" w:themeFillShade="D9"/>
          </w:tcPr>
          <w:p w14:paraId="0F008983" w14:textId="77777777" w:rsidR="00D34449" w:rsidRPr="00B1195A" w:rsidRDefault="00D34449" w:rsidP="00D34449">
            <w:pPr>
              <w:spacing w:before="0" w:after="0"/>
            </w:pPr>
          </w:p>
        </w:tc>
        <w:tc>
          <w:tcPr>
            <w:tcW w:w="2268" w:type="dxa"/>
          </w:tcPr>
          <w:p w14:paraId="22A81798" w14:textId="77777777" w:rsidR="00D34449" w:rsidRPr="001D6AFD"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1D6AFD">
              <w:rPr>
                <w:rFonts w:eastAsia="Calibri" w:cs="Arial"/>
              </w:rPr>
              <w:t>Zhou 2019</w:t>
            </w:r>
          </w:p>
        </w:tc>
        <w:tc>
          <w:tcPr>
            <w:tcW w:w="2325" w:type="dxa"/>
          </w:tcPr>
          <w:p w14:paraId="259DF41E" w14:textId="04CA19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r w:rsidRPr="00491C29">
              <w:rPr>
                <w:noProof/>
              </w:rPr>
              <w:drawing>
                <wp:anchor distT="0" distB="0" distL="114300" distR="114300" simplePos="0" relativeHeight="251658269" behindDoc="0" locked="0" layoutInCell="1" allowOverlap="1" wp14:anchorId="05293B23" wp14:editId="4D162157">
                  <wp:simplePos x="0" y="0"/>
                  <wp:positionH relativeFrom="column">
                    <wp:posOffset>1094578</wp:posOffset>
                  </wp:positionH>
                  <wp:positionV relativeFrom="paragraph">
                    <wp:posOffset>0</wp:posOffset>
                  </wp:positionV>
                  <wp:extent cx="339799" cy="247650"/>
                  <wp:effectExtent l="0" t="0" r="3175" b="0"/>
                  <wp:wrapSquare wrapText="bothSides"/>
                  <wp:docPr id="632607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0738"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t>Serious</w:t>
            </w:r>
          </w:p>
        </w:tc>
        <w:tc>
          <w:tcPr>
            <w:tcW w:w="1398" w:type="dxa"/>
            <w:shd w:val="clear" w:color="auto" w:fill="auto"/>
          </w:tcPr>
          <w:p w14:paraId="37AAEAD5"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897" w:type="dxa"/>
            <w:shd w:val="clear" w:color="auto" w:fill="auto"/>
          </w:tcPr>
          <w:p w14:paraId="32FFAF3E"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994" w:type="dxa"/>
            <w:shd w:val="clear" w:color="auto" w:fill="auto"/>
          </w:tcPr>
          <w:p w14:paraId="15F2AA67"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1269" w:type="dxa"/>
            <w:shd w:val="clear" w:color="auto" w:fill="auto"/>
          </w:tcPr>
          <w:p w14:paraId="197FF2D5" w14:textId="77777777" w:rsidR="00D34449" w:rsidRPr="00B1195A" w:rsidRDefault="00D34449" w:rsidP="00D34449">
            <w:pPr>
              <w:spacing w:before="0" w:after="0"/>
              <w:cnfStyle w:val="000000000000" w:firstRow="0" w:lastRow="0" w:firstColumn="0" w:lastColumn="0" w:oddVBand="0" w:evenVBand="0" w:oddHBand="0" w:evenHBand="0" w:firstRowFirstColumn="0" w:firstRowLastColumn="0" w:lastRowFirstColumn="0" w:lastRowLastColumn="0"/>
            </w:pPr>
          </w:p>
        </w:tc>
        <w:tc>
          <w:tcPr>
            <w:tcW w:w="2318" w:type="dxa"/>
            <w:shd w:val="clear" w:color="auto" w:fill="auto"/>
          </w:tcPr>
          <w:p w14:paraId="5C939ECF" w14:textId="3EC3A82A" w:rsidR="00D34449" w:rsidRPr="00B1195A" w:rsidRDefault="006B7204" w:rsidP="00D34449">
            <w:pPr>
              <w:spacing w:before="0" w:after="0"/>
              <w:cnfStyle w:val="000000000000" w:firstRow="0" w:lastRow="0" w:firstColumn="0" w:lastColumn="0" w:oddVBand="0" w:evenVBand="0" w:oddHBand="0" w:evenHBand="0" w:firstRowFirstColumn="0" w:firstRowLastColumn="0" w:lastRowFirstColumn="0" w:lastRowLastColumn="0"/>
            </w:pPr>
            <w:r>
              <w:rPr>
                <w:color w:val="auto"/>
              </w:rPr>
              <w:t>x</w:t>
            </w:r>
            <w:r w:rsidR="00B364D5">
              <w:t xml:space="preserve"> </w:t>
            </w:r>
          </w:p>
        </w:tc>
      </w:tr>
    </w:tbl>
    <w:p w14:paraId="509A98DC" w14:textId="77777777" w:rsidR="00B364D5" w:rsidRDefault="00B364D5" w:rsidP="00D34449">
      <w:pPr>
        <w:pStyle w:val="Heading4"/>
        <w:rPr>
          <w:i/>
          <w:iCs/>
        </w:rPr>
      </w:pPr>
      <w:bookmarkStart w:id="192" w:name="_Toc202956868"/>
    </w:p>
    <w:p w14:paraId="1BEFA9B2" w14:textId="77777777" w:rsidR="00B364D5" w:rsidRDefault="00B364D5">
      <w:pPr>
        <w:spacing w:line="240" w:lineRule="atLeast"/>
        <w:rPr>
          <w:rFonts w:ascii="Gotham Medium" w:eastAsiaTheme="majorEastAsia" w:hAnsi="Gotham Medium" w:cstheme="majorBidi"/>
          <w:i/>
          <w:iCs/>
          <w:color w:val="09002E" w:themeColor="text2"/>
          <w:sz w:val="24"/>
          <w:szCs w:val="24"/>
        </w:rPr>
      </w:pPr>
      <w:r>
        <w:rPr>
          <w:i/>
          <w:iCs/>
        </w:rPr>
        <w:br w:type="page"/>
      </w:r>
    </w:p>
    <w:p w14:paraId="1D0A4820" w14:textId="55E70D22" w:rsidR="00D34449" w:rsidRPr="00D34449" w:rsidRDefault="00D34449" w:rsidP="00D34449">
      <w:pPr>
        <w:pStyle w:val="Heading4"/>
        <w:rPr>
          <w:i/>
          <w:iCs/>
        </w:rPr>
      </w:pPr>
      <w:bookmarkStart w:id="193" w:name="_Toc212567919"/>
      <w:r w:rsidRPr="00D34449">
        <w:rPr>
          <w:i/>
          <w:iCs/>
        </w:rPr>
        <w:lastRenderedPageBreak/>
        <w:t>Children and adolescents</w:t>
      </w:r>
      <w:bookmarkEnd w:id="192"/>
      <w:bookmarkEnd w:id="193"/>
    </w:p>
    <w:tbl>
      <w:tblPr>
        <w:tblStyle w:val="DefaultTable2"/>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1838"/>
        <w:gridCol w:w="2410"/>
        <w:gridCol w:w="2268"/>
        <w:gridCol w:w="709"/>
        <w:gridCol w:w="708"/>
        <w:gridCol w:w="709"/>
        <w:gridCol w:w="992"/>
        <w:gridCol w:w="851"/>
        <w:gridCol w:w="992"/>
        <w:gridCol w:w="1276"/>
        <w:gridCol w:w="1843"/>
      </w:tblGrid>
      <w:tr w:rsidR="00D34449" w:rsidRPr="001119F5" w14:paraId="0A9194D8" w14:textId="77777777" w:rsidTr="00D34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D9D9D9" w:themeFill="background1" w:themeFillShade="D9"/>
          </w:tcPr>
          <w:p w14:paraId="2E7DA5E7" w14:textId="77777777" w:rsidR="00D34449" w:rsidRPr="001119F5" w:rsidRDefault="00D34449" w:rsidP="00D34449">
            <w:pPr>
              <w:spacing w:before="0" w:after="0" w:line="259" w:lineRule="auto"/>
              <w:rPr>
                <w:rFonts w:eastAsia="Calibri" w:cs="Arial"/>
              </w:rPr>
            </w:pPr>
            <w:r w:rsidRPr="001119F5">
              <w:rPr>
                <w:rFonts w:eastAsia="Calibri" w:cs="Arial"/>
                <w:bCs/>
              </w:rPr>
              <w:t>Study type</w:t>
            </w:r>
          </w:p>
        </w:tc>
        <w:tc>
          <w:tcPr>
            <w:tcW w:w="2410" w:type="dxa"/>
            <w:vMerge w:val="restart"/>
            <w:shd w:val="clear" w:color="auto" w:fill="D9D9D9" w:themeFill="background1" w:themeFillShade="D9"/>
          </w:tcPr>
          <w:p w14:paraId="25526430" w14:textId="1C0F8414" w:rsidR="00D34449" w:rsidRPr="001119F5" w:rsidRDefault="00D34449" w:rsidP="00D34449">
            <w:pPr>
              <w:spacing w:before="0" w:after="0" w:line="259" w:lineRule="auto"/>
              <w:cnfStyle w:val="100000000000" w:firstRow="1" w:lastRow="0" w:firstColumn="0" w:lastColumn="0" w:oddVBand="0" w:evenVBand="0" w:oddHBand="0" w:evenHBand="0" w:firstRowFirstColumn="0" w:firstRowLastColumn="0" w:lastRowFirstColumn="0" w:lastRowLastColumn="0"/>
              <w:rPr>
                <w:rFonts w:eastAsia="Calibri" w:cs="Arial"/>
                <w:b w:val="0"/>
                <w:bCs/>
              </w:rPr>
            </w:pPr>
            <w:r w:rsidRPr="001119F5">
              <w:rPr>
                <w:rFonts w:eastAsia="Calibri" w:cs="Arial"/>
                <w:bCs/>
              </w:rPr>
              <w:t>Study ID</w:t>
            </w:r>
          </w:p>
        </w:tc>
        <w:tc>
          <w:tcPr>
            <w:tcW w:w="2268" w:type="dxa"/>
            <w:vMerge w:val="restart"/>
            <w:shd w:val="clear" w:color="auto" w:fill="D9D9D9" w:themeFill="background1" w:themeFillShade="D9"/>
          </w:tcPr>
          <w:p w14:paraId="64DA5409" w14:textId="77777777" w:rsidR="00D34449" w:rsidRPr="001119F5" w:rsidRDefault="00D34449" w:rsidP="00D34449">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cs="Arial"/>
                <w:b w:val="0"/>
                <w:bCs/>
              </w:rPr>
            </w:pPr>
            <w:r w:rsidRPr="001119F5">
              <w:rPr>
                <w:rFonts w:eastAsia="Calibri" w:cs="Arial"/>
                <w:bCs/>
              </w:rPr>
              <w:t>Overall risk of bias</w:t>
            </w:r>
          </w:p>
        </w:tc>
        <w:tc>
          <w:tcPr>
            <w:tcW w:w="2126" w:type="dxa"/>
            <w:gridSpan w:val="3"/>
            <w:shd w:val="clear" w:color="auto" w:fill="D9D9D9" w:themeFill="background1" w:themeFillShade="D9"/>
          </w:tcPr>
          <w:p w14:paraId="26D6CBDE" w14:textId="77777777" w:rsidR="00D34449" w:rsidRPr="001119F5" w:rsidRDefault="00D34449" w:rsidP="00D34449">
            <w:pPr>
              <w:spacing w:before="0"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bCs/>
              </w:rPr>
            </w:pPr>
            <w:r w:rsidRPr="001119F5">
              <w:rPr>
                <w:rFonts w:eastAsia="Calibri" w:cs="Arial"/>
                <w:bCs/>
              </w:rPr>
              <w:t>Thyroid function</w:t>
            </w:r>
          </w:p>
        </w:tc>
        <w:tc>
          <w:tcPr>
            <w:tcW w:w="992" w:type="dxa"/>
            <w:vMerge w:val="restart"/>
            <w:shd w:val="clear" w:color="auto" w:fill="D9D9D9" w:themeFill="background1" w:themeFillShade="D9"/>
          </w:tcPr>
          <w:p w14:paraId="1957BB06" w14:textId="77777777" w:rsidR="00D34449" w:rsidRPr="001119F5" w:rsidRDefault="00D34449" w:rsidP="00D34449">
            <w:pPr>
              <w:spacing w:before="0" w:after="0" w:line="259" w:lineRule="auto"/>
              <w:ind w:left="-105" w:right="-183"/>
              <w:jc w:val="center"/>
              <w:cnfStyle w:val="100000000000" w:firstRow="1" w:lastRow="0" w:firstColumn="0" w:lastColumn="0" w:oddVBand="0" w:evenVBand="0" w:oddHBand="0" w:evenHBand="0" w:firstRowFirstColumn="0" w:firstRowLastColumn="0" w:lastRowFirstColumn="0" w:lastRowLastColumn="0"/>
              <w:rPr>
                <w:rFonts w:eastAsia="Calibri" w:cs="Arial"/>
                <w:b w:val="0"/>
                <w:bCs/>
              </w:rPr>
            </w:pPr>
            <w:r w:rsidRPr="001119F5">
              <w:rPr>
                <w:rFonts w:eastAsia="Calibri" w:cs="Arial"/>
                <w:bCs/>
              </w:rPr>
              <w:t>Thyroid vo</w:t>
            </w:r>
            <w:r>
              <w:rPr>
                <w:rFonts w:eastAsia="Calibri" w:cs="Arial"/>
                <w:bCs/>
              </w:rPr>
              <w:t>lume</w:t>
            </w:r>
          </w:p>
        </w:tc>
        <w:tc>
          <w:tcPr>
            <w:tcW w:w="851" w:type="dxa"/>
            <w:vMerge w:val="restart"/>
            <w:shd w:val="clear" w:color="auto" w:fill="D9D9D9" w:themeFill="background1" w:themeFillShade="D9"/>
          </w:tcPr>
          <w:p w14:paraId="55AE9192" w14:textId="77777777" w:rsidR="00D34449" w:rsidRPr="001119F5" w:rsidRDefault="00D34449" w:rsidP="00D34449">
            <w:pPr>
              <w:spacing w:before="0"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bCs/>
              </w:rPr>
            </w:pPr>
            <w:r>
              <w:rPr>
                <w:rFonts w:eastAsia="Calibri" w:cs="Arial"/>
                <w:bCs/>
              </w:rPr>
              <w:t>Total g</w:t>
            </w:r>
            <w:r w:rsidRPr="001119F5">
              <w:rPr>
                <w:rFonts w:eastAsia="Calibri" w:cs="Arial"/>
                <w:bCs/>
              </w:rPr>
              <w:t>oitre rate</w:t>
            </w:r>
          </w:p>
        </w:tc>
        <w:tc>
          <w:tcPr>
            <w:tcW w:w="992" w:type="dxa"/>
            <w:vMerge w:val="restart"/>
            <w:shd w:val="clear" w:color="auto" w:fill="D9D9D9" w:themeFill="background1" w:themeFillShade="D9"/>
          </w:tcPr>
          <w:p w14:paraId="25137751" w14:textId="77777777" w:rsidR="00D34449" w:rsidRPr="001119F5" w:rsidRDefault="00D34449" w:rsidP="00D34449">
            <w:pPr>
              <w:spacing w:before="0"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bCs/>
              </w:rPr>
            </w:pPr>
            <w:r w:rsidRPr="001119F5">
              <w:rPr>
                <w:rFonts w:eastAsia="Calibri" w:cs="Arial"/>
                <w:bCs/>
              </w:rPr>
              <w:t>Thyroid cancer</w:t>
            </w:r>
          </w:p>
        </w:tc>
        <w:tc>
          <w:tcPr>
            <w:tcW w:w="1276" w:type="dxa"/>
            <w:vMerge w:val="restart"/>
            <w:shd w:val="clear" w:color="auto" w:fill="D9D9D9" w:themeFill="background1" w:themeFillShade="D9"/>
          </w:tcPr>
          <w:p w14:paraId="76D519C4" w14:textId="77777777" w:rsidR="00D34449" w:rsidRPr="001119F5" w:rsidRDefault="00D34449" w:rsidP="00D34449">
            <w:pPr>
              <w:spacing w:before="0"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bCs/>
              </w:rPr>
            </w:pPr>
            <w:r w:rsidRPr="001119F5">
              <w:rPr>
                <w:rFonts w:eastAsia="Calibri" w:cs="Arial"/>
                <w:bCs/>
              </w:rPr>
              <w:t xml:space="preserve">Thyroid </w:t>
            </w:r>
            <w:proofErr w:type="gramStart"/>
            <w:r w:rsidRPr="001119F5">
              <w:rPr>
                <w:rFonts w:eastAsia="Calibri" w:cs="Arial"/>
                <w:bCs/>
              </w:rPr>
              <w:t>auto-immunity</w:t>
            </w:r>
            <w:proofErr w:type="gramEnd"/>
          </w:p>
        </w:tc>
        <w:tc>
          <w:tcPr>
            <w:tcW w:w="1843" w:type="dxa"/>
            <w:vMerge w:val="restart"/>
            <w:shd w:val="clear" w:color="auto" w:fill="D9D9D9" w:themeFill="background1" w:themeFillShade="D9"/>
          </w:tcPr>
          <w:p w14:paraId="684A6F02" w14:textId="77777777" w:rsidR="00D34449" w:rsidRPr="001119F5" w:rsidRDefault="00D34449" w:rsidP="00D34449">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cs="Arial"/>
                <w:b w:val="0"/>
                <w:bCs/>
              </w:rPr>
            </w:pPr>
            <w:r w:rsidRPr="001119F5">
              <w:rPr>
                <w:rFonts w:eastAsia="Calibri" w:cs="Arial"/>
                <w:bCs/>
              </w:rPr>
              <w:t>Neurocognitive development</w:t>
            </w:r>
          </w:p>
        </w:tc>
      </w:tr>
      <w:tr w:rsidR="00D34449" w:rsidRPr="001119F5" w14:paraId="05F9C4C9" w14:textId="77777777" w:rsidTr="00D34449">
        <w:trPr>
          <w:trHeight w:val="279"/>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D9D9D9" w:themeFill="background1" w:themeFillShade="D9"/>
          </w:tcPr>
          <w:p w14:paraId="0E07D247" w14:textId="77777777" w:rsidR="00D34449" w:rsidRPr="001119F5" w:rsidRDefault="00D34449" w:rsidP="00D34449">
            <w:pPr>
              <w:spacing w:before="0" w:after="0" w:line="259" w:lineRule="auto"/>
              <w:rPr>
                <w:rFonts w:eastAsia="Calibri" w:cs="Arial"/>
              </w:rPr>
            </w:pPr>
          </w:p>
        </w:tc>
        <w:tc>
          <w:tcPr>
            <w:tcW w:w="2410" w:type="dxa"/>
            <w:vMerge/>
          </w:tcPr>
          <w:p w14:paraId="5D1A9CEC" w14:textId="3E9AC54C" w:rsidR="00D34449" w:rsidRPr="001119F5" w:rsidRDefault="00D34449" w:rsidP="00D34449">
            <w:pPr>
              <w:spacing w:before="0" w:after="0" w:line="259" w:lineRule="auto"/>
              <w:cnfStyle w:val="000000000000" w:firstRow="0" w:lastRow="0" w:firstColumn="0" w:lastColumn="0" w:oddVBand="0" w:evenVBand="0" w:oddHBand="0" w:evenHBand="0" w:firstRowFirstColumn="0" w:firstRowLastColumn="0" w:lastRowFirstColumn="0" w:lastRowLastColumn="0"/>
              <w:rPr>
                <w:rFonts w:eastAsia="Calibri" w:cs="Arial"/>
                <w:b/>
                <w:bCs/>
              </w:rPr>
            </w:pPr>
          </w:p>
        </w:tc>
        <w:tc>
          <w:tcPr>
            <w:tcW w:w="2268" w:type="dxa"/>
            <w:vMerge/>
          </w:tcPr>
          <w:p w14:paraId="6102ED3D" w14:textId="77777777"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b/>
                <w:bCs/>
              </w:rPr>
            </w:pPr>
          </w:p>
        </w:tc>
        <w:tc>
          <w:tcPr>
            <w:tcW w:w="709" w:type="dxa"/>
            <w:shd w:val="clear" w:color="auto" w:fill="D9D9D9" w:themeFill="background1" w:themeFillShade="D9"/>
          </w:tcPr>
          <w:p w14:paraId="48541F64"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rPr>
            </w:pPr>
            <w:r w:rsidRPr="001119F5">
              <w:rPr>
                <w:rFonts w:eastAsia="Calibri" w:cs="Arial"/>
                <w:b/>
                <w:bCs/>
              </w:rPr>
              <w:t>TSH</w:t>
            </w:r>
          </w:p>
        </w:tc>
        <w:tc>
          <w:tcPr>
            <w:tcW w:w="708" w:type="dxa"/>
            <w:shd w:val="clear" w:color="auto" w:fill="D9D9D9" w:themeFill="background1" w:themeFillShade="D9"/>
          </w:tcPr>
          <w:p w14:paraId="5E451E30"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rPr>
            </w:pPr>
            <w:r w:rsidRPr="001119F5">
              <w:rPr>
                <w:rFonts w:eastAsia="Calibri" w:cs="Arial"/>
                <w:b/>
                <w:bCs/>
              </w:rPr>
              <w:t>FT4</w:t>
            </w:r>
          </w:p>
        </w:tc>
        <w:tc>
          <w:tcPr>
            <w:tcW w:w="709" w:type="dxa"/>
            <w:shd w:val="clear" w:color="auto" w:fill="D9D9D9" w:themeFill="background1" w:themeFillShade="D9"/>
          </w:tcPr>
          <w:p w14:paraId="1CA3EFA1"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rPr>
            </w:pPr>
            <w:proofErr w:type="spellStart"/>
            <w:r w:rsidRPr="001119F5">
              <w:rPr>
                <w:rFonts w:eastAsia="Calibri" w:cs="Arial"/>
                <w:b/>
                <w:bCs/>
              </w:rPr>
              <w:t>Tg</w:t>
            </w:r>
            <w:proofErr w:type="spellEnd"/>
          </w:p>
        </w:tc>
        <w:tc>
          <w:tcPr>
            <w:tcW w:w="992" w:type="dxa"/>
            <w:vMerge/>
          </w:tcPr>
          <w:p w14:paraId="582CC54F"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rPr>
            </w:pPr>
          </w:p>
        </w:tc>
        <w:tc>
          <w:tcPr>
            <w:tcW w:w="851" w:type="dxa"/>
            <w:vMerge/>
          </w:tcPr>
          <w:p w14:paraId="489A4F06"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rPr>
            </w:pPr>
          </w:p>
        </w:tc>
        <w:tc>
          <w:tcPr>
            <w:tcW w:w="992" w:type="dxa"/>
            <w:vMerge/>
          </w:tcPr>
          <w:p w14:paraId="62D68586" w14:textId="77777777"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b/>
                <w:bCs/>
              </w:rPr>
            </w:pPr>
          </w:p>
        </w:tc>
        <w:tc>
          <w:tcPr>
            <w:tcW w:w="1276" w:type="dxa"/>
            <w:vMerge/>
          </w:tcPr>
          <w:p w14:paraId="5ACD588B"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rPr>
            </w:pPr>
          </w:p>
        </w:tc>
        <w:tc>
          <w:tcPr>
            <w:tcW w:w="1843" w:type="dxa"/>
            <w:vMerge/>
          </w:tcPr>
          <w:p w14:paraId="12CAB7CC"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rPr>
            </w:pPr>
          </w:p>
        </w:tc>
      </w:tr>
      <w:tr w:rsidR="00D34449" w:rsidRPr="001119F5" w14:paraId="7E8B550A" w14:textId="77777777" w:rsidTr="00EE389F">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D9D9D9" w:themeFill="background1" w:themeFillShade="D9"/>
          </w:tcPr>
          <w:p w14:paraId="59FF04EC" w14:textId="77777777" w:rsidR="00D34449" w:rsidRPr="001119F5" w:rsidRDefault="00D34449" w:rsidP="00D34449">
            <w:pPr>
              <w:spacing w:before="0" w:after="0" w:line="259" w:lineRule="auto"/>
              <w:rPr>
                <w:rFonts w:eastAsia="Calibri" w:cs="Arial"/>
                <w:b w:val="0"/>
                <w:bCs/>
              </w:rPr>
            </w:pPr>
            <w:r>
              <w:rPr>
                <w:rFonts w:eastAsia="Calibri" w:cs="Arial"/>
                <w:bCs/>
              </w:rPr>
              <w:t>Randomised controlled trials (RCTs)</w:t>
            </w:r>
          </w:p>
        </w:tc>
        <w:tc>
          <w:tcPr>
            <w:tcW w:w="2410" w:type="dxa"/>
          </w:tcPr>
          <w:p w14:paraId="276CAA87" w14:textId="7137EBB9" w:rsidR="00D34449" w:rsidRPr="001119F5"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proofErr w:type="spellStart"/>
            <w:r w:rsidRPr="001119F5">
              <w:rPr>
                <w:rFonts w:eastAsia="Calibri" w:cs="Arial"/>
              </w:rPr>
              <w:t>Eltom</w:t>
            </w:r>
            <w:proofErr w:type="spellEnd"/>
            <w:r w:rsidRPr="001119F5">
              <w:rPr>
                <w:rFonts w:eastAsia="Calibri" w:cs="Arial"/>
              </w:rPr>
              <w:t xml:space="preserve"> 1985</w:t>
            </w:r>
          </w:p>
        </w:tc>
        <w:tc>
          <w:tcPr>
            <w:tcW w:w="2268" w:type="dxa"/>
          </w:tcPr>
          <w:p w14:paraId="0ED6B9E3" w14:textId="352CE0E5" w:rsidR="00D34449" w:rsidRPr="001119F5" w:rsidRDefault="00B364D5"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491C29">
              <w:rPr>
                <w:noProof/>
              </w:rPr>
              <w:drawing>
                <wp:anchor distT="0" distB="0" distL="114300" distR="114300" simplePos="0" relativeHeight="251658270" behindDoc="0" locked="0" layoutInCell="1" allowOverlap="1" wp14:anchorId="296D31CA" wp14:editId="6A7EBAE8">
                  <wp:simplePos x="0" y="0"/>
                  <wp:positionH relativeFrom="column">
                    <wp:posOffset>1058161</wp:posOffset>
                  </wp:positionH>
                  <wp:positionV relativeFrom="paragraph">
                    <wp:posOffset>413</wp:posOffset>
                  </wp:positionV>
                  <wp:extent cx="339799" cy="247650"/>
                  <wp:effectExtent l="0" t="0" r="3175" b="0"/>
                  <wp:wrapSquare wrapText="bothSides"/>
                  <wp:docPr id="11289989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98997"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rsidR="00D34449" w:rsidRPr="00C808EA">
              <w:rPr>
                <w:rFonts w:eastAsia="Calibri" w:cs="Arial"/>
              </w:rPr>
              <w:t>High</w:t>
            </w:r>
          </w:p>
        </w:tc>
        <w:tc>
          <w:tcPr>
            <w:tcW w:w="709" w:type="dxa"/>
            <w:shd w:val="clear" w:color="auto" w:fill="auto"/>
          </w:tcPr>
          <w:p w14:paraId="5EA5FFD2" w14:textId="56DC7D54" w:rsidR="00D34449" w:rsidRPr="001119F5" w:rsidRDefault="006B7204"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color w:val="auto"/>
              </w:rPr>
              <w:t>x</w:t>
            </w:r>
          </w:p>
        </w:tc>
        <w:tc>
          <w:tcPr>
            <w:tcW w:w="708" w:type="dxa"/>
            <w:shd w:val="clear" w:color="auto" w:fill="auto"/>
          </w:tcPr>
          <w:p w14:paraId="21540AA2"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709" w:type="dxa"/>
            <w:shd w:val="clear" w:color="auto" w:fill="auto"/>
          </w:tcPr>
          <w:p w14:paraId="3028BF8B"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992" w:type="dxa"/>
            <w:shd w:val="clear" w:color="auto" w:fill="auto"/>
          </w:tcPr>
          <w:p w14:paraId="26491768"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851" w:type="dxa"/>
            <w:shd w:val="clear" w:color="auto" w:fill="auto"/>
          </w:tcPr>
          <w:p w14:paraId="5D13B770" w14:textId="4A1F283E"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color w:val="auto"/>
              </w:rPr>
              <w:t>x</w:t>
            </w:r>
          </w:p>
        </w:tc>
        <w:tc>
          <w:tcPr>
            <w:tcW w:w="992" w:type="dxa"/>
            <w:shd w:val="clear" w:color="auto" w:fill="auto"/>
          </w:tcPr>
          <w:p w14:paraId="5871288A" w14:textId="77777777"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276" w:type="dxa"/>
            <w:shd w:val="clear" w:color="auto" w:fill="auto"/>
          </w:tcPr>
          <w:p w14:paraId="082D22B5"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843" w:type="dxa"/>
            <w:shd w:val="clear" w:color="auto" w:fill="auto"/>
          </w:tcPr>
          <w:p w14:paraId="469934CC"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r>
      <w:tr w:rsidR="00D34449" w:rsidRPr="001119F5" w14:paraId="1C0353D2" w14:textId="77777777" w:rsidTr="00EE389F">
        <w:tc>
          <w:tcPr>
            <w:cnfStyle w:val="001000000000" w:firstRow="0" w:lastRow="0" w:firstColumn="1" w:lastColumn="0" w:oddVBand="0" w:evenVBand="0" w:oddHBand="0" w:evenHBand="0" w:firstRowFirstColumn="0" w:firstRowLastColumn="0" w:lastRowFirstColumn="0" w:lastRowLastColumn="0"/>
            <w:tcW w:w="1838" w:type="dxa"/>
            <w:vMerge/>
            <w:shd w:val="clear" w:color="auto" w:fill="D9D9D9" w:themeFill="background1" w:themeFillShade="D9"/>
          </w:tcPr>
          <w:p w14:paraId="424A6628" w14:textId="77777777" w:rsidR="00D34449" w:rsidRPr="001119F5" w:rsidRDefault="00D34449" w:rsidP="00D34449">
            <w:pPr>
              <w:spacing w:before="0" w:after="0" w:line="259" w:lineRule="auto"/>
              <w:rPr>
                <w:rFonts w:eastAsia="Calibri" w:cs="Arial"/>
                <w:b w:val="0"/>
                <w:bCs/>
              </w:rPr>
            </w:pPr>
          </w:p>
        </w:tc>
        <w:tc>
          <w:tcPr>
            <w:tcW w:w="2410" w:type="dxa"/>
          </w:tcPr>
          <w:p w14:paraId="3B3DDA62" w14:textId="05FB0EF3" w:rsidR="00D34449" w:rsidRPr="001119F5"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1119F5">
              <w:rPr>
                <w:rFonts w:eastAsia="Calibri" w:cs="Arial"/>
              </w:rPr>
              <w:t>Gordon 2009</w:t>
            </w:r>
          </w:p>
        </w:tc>
        <w:tc>
          <w:tcPr>
            <w:tcW w:w="2268" w:type="dxa"/>
          </w:tcPr>
          <w:p w14:paraId="4EEFB0E0" w14:textId="5A00B0FF" w:rsidR="00D34449" w:rsidRPr="001119F5"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9D6D00">
              <w:rPr>
                <w:noProof/>
              </w:rPr>
              <w:drawing>
                <wp:anchor distT="0" distB="0" distL="114300" distR="114300" simplePos="0" relativeHeight="251658260" behindDoc="0" locked="0" layoutInCell="1" allowOverlap="1" wp14:anchorId="3BEA4AD8" wp14:editId="1AD553F0">
                  <wp:simplePos x="0" y="0"/>
                  <wp:positionH relativeFrom="column">
                    <wp:posOffset>1096128</wp:posOffset>
                  </wp:positionH>
                  <wp:positionV relativeFrom="paragraph">
                    <wp:posOffset>162</wp:posOffset>
                  </wp:positionV>
                  <wp:extent cx="301625" cy="282575"/>
                  <wp:effectExtent l="0" t="0" r="3175" b="3175"/>
                  <wp:wrapSquare wrapText="bothSides"/>
                  <wp:docPr id="3142677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67770" name="Picture 1">
                            <a:extLst>
                              <a:ext uri="{C183D7F6-B498-43B3-948B-1728B52AA6E4}">
                                <adec:decorative xmlns:adec="http://schemas.microsoft.com/office/drawing/2017/decorative" val="1"/>
                              </a:ext>
                            </a:extLst>
                          </pic:cNvPr>
                          <pic:cNvPicPr/>
                        </pic:nvPicPr>
                        <pic:blipFill>
                          <a:blip r:embed="rId92">
                            <a:extLst>
                              <a:ext uri="{28A0092B-C50C-407E-A947-70E740481C1C}">
                                <a14:useLocalDpi xmlns:a14="http://schemas.microsoft.com/office/drawing/2010/main" val="0"/>
                              </a:ext>
                            </a:extLst>
                          </a:blip>
                          <a:stretch>
                            <a:fillRect/>
                          </a:stretch>
                        </pic:blipFill>
                        <pic:spPr>
                          <a:xfrm>
                            <a:off x="0" y="0"/>
                            <a:ext cx="301625" cy="282575"/>
                          </a:xfrm>
                          <a:prstGeom prst="rect">
                            <a:avLst/>
                          </a:prstGeom>
                        </pic:spPr>
                      </pic:pic>
                    </a:graphicData>
                  </a:graphic>
                  <wp14:sizeRelH relativeFrom="margin">
                    <wp14:pctWidth>0</wp14:pctWidth>
                  </wp14:sizeRelH>
                  <wp14:sizeRelV relativeFrom="margin">
                    <wp14:pctHeight>0</wp14:pctHeight>
                  </wp14:sizeRelV>
                </wp:anchor>
              </w:drawing>
            </w:r>
            <w:r>
              <w:t>Some concerns</w:t>
            </w:r>
          </w:p>
        </w:tc>
        <w:tc>
          <w:tcPr>
            <w:tcW w:w="709" w:type="dxa"/>
            <w:shd w:val="clear" w:color="auto" w:fill="auto"/>
          </w:tcPr>
          <w:p w14:paraId="5C6161F5"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708" w:type="dxa"/>
            <w:shd w:val="clear" w:color="auto" w:fill="auto"/>
          </w:tcPr>
          <w:p w14:paraId="1EF7D304"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709" w:type="dxa"/>
            <w:shd w:val="clear" w:color="auto" w:fill="auto"/>
          </w:tcPr>
          <w:p w14:paraId="24670038" w14:textId="4659BF02"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color w:val="auto"/>
              </w:rPr>
              <w:t>x</w:t>
            </w:r>
          </w:p>
        </w:tc>
        <w:tc>
          <w:tcPr>
            <w:tcW w:w="992" w:type="dxa"/>
            <w:shd w:val="clear" w:color="auto" w:fill="auto"/>
          </w:tcPr>
          <w:p w14:paraId="1E802DED"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851" w:type="dxa"/>
            <w:shd w:val="clear" w:color="auto" w:fill="auto"/>
          </w:tcPr>
          <w:p w14:paraId="366E9ED0"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992" w:type="dxa"/>
            <w:shd w:val="clear" w:color="auto" w:fill="auto"/>
          </w:tcPr>
          <w:p w14:paraId="4CCF5080" w14:textId="77777777"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276" w:type="dxa"/>
            <w:shd w:val="clear" w:color="auto" w:fill="auto"/>
          </w:tcPr>
          <w:p w14:paraId="48502E85"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843" w:type="dxa"/>
            <w:shd w:val="clear" w:color="auto" w:fill="auto"/>
          </w:tcPr>
          <w:p w14:paraId="47156CFF" w14:textId="639F7EFB"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color w:val="auto"/>
              </w:rPr>
              <w:t>x</w:t>
            </w:r>
          </w:p>
        </w:tc>
      </w:tr>
      <w:tr w:rsidR="00D34449" w:rsidRPr="001119F5" w14:paraId="21F92A70" w14:textId="77777777" w:rsidTr="00EE389F">
        <w:tc>
          <w:tcPr>
            <w:cnfStyle w:val="001000000000" w:firstRow="0" w:lastRow="0" w:firstColumn="1" w:lastColumn="0" w:oddVBand="0" w:evenVBand="0" w:oddHBand="0" w:evenHBand="0" w:firstRowFirstColumn="0" w:firstRowLastColumn="0" w:lastRowFirstColumn="0" w:lastRowLastColumn="0"/>
            <w:tcW w:w="1838" w:type="dxa"/>
            <w:vMerge/>
            <w:shd w:val="clear" w:color="auto" w:fill="D9D9D9" w:themeFill="background1" w:themeFillShade="D9"/>
          </w:tcPr>
          <w:p w14:paraId="46B36951" w14:textId="77777777" w:rsidR="00D34449" w:rsidRPr="001119F5" w:rsidRDefault="00D34449" w:rsidP="00D34449">
            <w:pPr>
              <w:spacing w:before="0" w:after="0" w:line="259" w:lineRule="auto"/>
              <w:rPr>
                <w:rFonts w:eastAsia="Calibri" w:cs="Arial"/>
                <w:b w:val="0"/>
                <w:bCs/>
              </w:rPr>
            </w:pPr>
          </w:p>
        </w:tc>
        <w:tc>
          <w:tcPr>
            <w:tcW w:w="2410" w:type="dxa"/>
          </w:tcPr>
          <w:p w14:paraId="6BDC33F2" w14:textId="41FA3959" w:rsidR="00D34449" w:rsidRPr="001119F5"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1119F5">
              <w:rPr>
                <w:rFonts w:eastAsia="Calibri" w:cs="Arial"/>
                <w:noProof/>
              </w:rPr>
              <w:t>van den Briel 2001</w:t>
            </w:r>
          </w:p>
        </w:tc>
        <w:tc>
          <w:tcPr>
            <w:tcW w:w="2268" w:type="dxa"/>
          </w:tcPr>
          <w:p w14:paraId="79C1BDDA" w14:textId="44EBB71E" w:rsidR="00D34449" w:rsidRPr="001119F5" w:rsidRDefault="00B364D5"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491C29">
              <w:rPr>
                <w:noProof/>
              </w:rPr>
              <w:drawing>
                <wp:anchor distT="0" distB="0" distL="114300" distR="114300" simplePos="0" relativeHeight="251658271" behindDoc="0" locked="0" layoutInCell="1" allowOverlap="1" wp14:anchorId="7A996152" wp14:editId="0501E91F">
                  <wp:simplePos x="0" y="0"/>
                  <wp:positionH relativeFrom="column">
                    <wp:posOffset>1058485</wp:posOffset>
                  </wp:positionH>
                  <wp:positionV relativeFrom="paragraph">
                    <wp:posOffset>74</wp:posOffset>
                  </wp:positionV>
                  <wp:extent cx="339799" cy="247650"/>
                  <wp:effectExtent l="0" t="0" r="3175" b="0"/>
                  <wp:wrapSquare wrapText="bothSides"/>
                  <wp:docPr id="1458329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2939"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rsidR="00D34449" w:rsidRPr="00C808EA">
              <w:rPr>
                <w:rFonts w:eastAsia="Calibri" w:cs="Arial"/>
              </w:rPr>
              <w:t>High</w:t>
            </w:r>
          </w:p>
        </w:tc>
        <w:tc>
          <w:tcPr>
            <w:tcW w:w="709" w:type="dxa"/>
            <w:shd w:val="clear" w:color="auto" w:fill="auto"/>
          </w:tcPr>
          <w:p w14:paraId="189D469D" w14:textId="78D75931"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c>
          <w:tcPr>
            <w:tcW w:w="708" w:type="dxa"/>
            <w:shd w:val="clear" w:color="auto" w:fill="auto"/>
          </w:tcPr>
          <w:p w14:paraId="64AAB698" w14:textId="7885B039"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c>
          <w:tcPr>
            <w:tcW w:w="709" w:type="dxa"/>
            <w:shd w:val="clear" w:color="auto" w:fill="auto"/>
          </w:tcPr>
          <w:p w14:paraId="042BE2F4" w14:textId="3BC66BA0"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c>
          <w:tcPr>
            <w:tcW w:w="992" w:type="dxa"/>
            <w:shd w:val="clear" w:color="auto" w:fill="auto"/>
          </w:tcPr>
          <w:p w14:paraId="22AE562D"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851" w:type="dxa"/>
            <w:shd w:val="clear" w:color="auto" w:fill="auto"/>
          </w:tcPr>
          <w:p w14:paraId="152CC448"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992" w:type="dxa"/>
            <w:shd w:val="clear" w:color="auto" w:fill="auto"/>
          </w:tcPr>
          <w:p w14:paraId="7172C004" w14:textId="77777777"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276" w:type="dxa"/>
            <w:shd w:val="clear" w:color="auto" w:fill="auto"/>
          </w:tcPr>
          <w:p w14:paraId="5A3D4CB1"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843" w:type="dxa"/>
            <w:shd w:val="clear" w:color="auto" w:fill="auto"/>
          </w:tcPr>
          <w:p w14:paraId="7CB40A39"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r>
      <w:tr w:rsidR="00D34449" w:rsidRPr="001119F5" w14:paraId="5CCCFFD1" w14:textId="77777777" w:rsidTr="00EE389F">
        <w:tc>
          <w:tcPr>
            <w:cnfStyle w:val="001000000000" w:firstRow="0" w:lastRow="0" w:firstColumn="1" w:lastColumn="0" w:oddVBand="0" w:evenVBand="0" w:oddHBand="0" w:evenHBand="0" w:firstRowFirstColumn="0" w:firstRowLastColumn="0" w:lastRowFirstColumn="0" w:lastRowLastColumn="0"/>
            <w:tcW w:w="1838" w:type="dxa"/>
            <w:vMerge/>
            <w:shd w:val="clear" w:color="auto" w:fill="D9D9D9" w:themeFill="background1" w:themeFillShade="D9"/>
          </w:tcPr>
          <w:p w14:paraId="6EDDDCBB" w14:textId="77777777" w:rsidR="00D34449" w:rsidRPr="001119F5" w:rsidRDefault="00D34449" w:rsidP="00D34449">
            <w:pPr>
              <w:spacing w:before="0" w:after="0" w:line="259" w:lineRule="auto"/>
              <w:rPr>
                <w:rFonts w:eastAsia="Calibri" w:cs="Arial"/>
                <w:b w:val="0"/>
                <w:bCs/>
              </w:rPr>
            </w:pPr>
          </w:p>
        </w:tc>
        <w:tc>
          <w:tcPr>
            <w:tcW w:w="2410" w:type="dxa"/>
          </w:tcPr>
          <w:p w14:paraId="5069EE2A" w14:textId="67A73621" w:rsidR="00D34449" w:rsidRPr="001119F5"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1119F5">
              <w:rPr>
                <w:rFonts w:eastAsia="Calibri" w:cs="Calibri"/>
              </w:rPr>
              <w:t>Zimmermann 2006</w:t>
            </w:r>
          </w:p>
        </w:tc>
        <w:tc>
          <w:tcPr>
            <w:tcW w:w="2268" w:type="dxa"/>
          </w:tcPr>
          <w:p w14:paraId="0AE2A165" w14:textId="62DE9CBF" w:rsidR="00D34449" w:rsidRPr="001119F5"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9D6D00">
              <w:rPr>
                <w:noProof/>
              </w:rPr>
              <w:drawing>
                <wp:anchor distT="0" distB="0" distL="114300" distR="114300" simplePos="0" relativeHeight="251658261" behindDoc="0" locked="0" layoutInCell="1" allowOverlap="1" wp14:anchorId="6C1E18AE" wp14:editId="7CEEA6B7">
                  <wp:simplePos x="0" y="0"/>
                  <wp:positionH relativeFrom="column">
                    <wp:posOffset>1091565</wp:posOffset>
                  </wp:positionH>
                  <wp:positionV relativeFrom="paragraph">
                    <wp:posOffset>192</wp:posOffset>
                  </wp:positionV>
                  <wp:extent cx="301625" cy="282575"/>
                  <wp:effectExtent l="0" t="0" r="3175" b="3175"/>
                  <wp:wrapSquare wrapText="bothSides"/>
                  <wp:docPr id="13661214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21400" name="Picture 1">
                            <a:extLst>
                              <a:ext uri="{C183D7F6-B498-43B3-948B-1728B52AA6E4}">
                                <adec:decorative xmlns:adec="http://schemas.microsoft.com/office/drawing/2017/decorative" val="1"/>
                              </a:ext>
                            </a:extLst>
                          </pic:cNvPr>
                          <pic:cNvPicPr/>
                        </pic:nvPicPr>
                        <pic:blipFill>
                          <a:blip r:embed="rId92">
                            <a:extLst>
                              <a:ext uri="{28A0092B-C50C-407E-A947-70E740481C1C}">
                                <a14:useLocalDpi xmlns:a14="http://schemas.microsoft.com/office/drawing/2010/main" val="0"/>
                              </a:ext>
                            </a:extLst>
                          </a:blip>
                          <a:stretch>
                            <a:fillRect/>
                          </a:stretch>
                        </pic:blipFill>
                        <pic:spPr>
                          <a:xfrm>
                            <a:off x="0" y="0"/>
                            <a:ext cx="301625" cy="282575"/>
                          </a:xfrm>
                          <a:prstGeom prst="rect">
                            <a:avLst/>
                          </a:prstGeom>
                        </pic:spPr>
                      </pic:pic>
                    </a:graphicData>
                  </a:graphic>
                  <wp14:sizeRelH relativeFrom="margin">
                    <wp14:pctWidth>0</wp14:pctWidth>
                  </wp14:sizeRelH>
                  <wp14:sizeRelV relativeFrom="margin">
                    <wp14:pctHeight>0</wp14:pctHeight>
                  </wp14:sizeRelV>
                </wp:anchor>
              </w:drawing>
            </w:r>
            <w:r>
              <w:t>Some concerns</w:t>
            </w:r>
          </w:p>
        </w:tc>
        <w:tc>
          <w:tcPr>
            <w:tcW w:w="709" w:type="dxa"/>
            <w:shd w:val="clear" w:color="auto" w:fill="auto"/>
          </w:tcPr>
          <w:p w14:paraId="335654E4" w14:textId="461BA8C6" w:rsidR="00D34449" w:rsidRPr="001119F5" w:rsidRDefault="00B364D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 xml:space="preserve"> </w:t>
            </w:r>
            <w:r w:rsidR="004237A5">
              <w:rPr>
                <w:rFonts w:eastAsia="Calibri" w:cs="Arial"/>
              </w:rPr>
              <w:t>x</w:t>
            </w:r>
          </w:p>
        </w:tc>
        <w:tc>
          <w:tcPr>
            <w:tcW w:w="708" w:type="dxa"/>
            <w:shd w:val="clear" w:color="auto" w:fill="auto"/>
          </w:tcPr>
          <w:p w14:paraId="12038752"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709" w:type="dxa"/>
            <w:shd w:val="clear" w:color="auto" w:fill="auto"/>
          </w:tcPr>
          <w:p w14:paraId="2C6B1C1F" w14:textId="2E2690FE"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c>
          <w:tcPr>
            <w:tcW w:w="992" w:type="dxa"/>
            <w:shd w:val="clear" w:color="auto" w:fill="auto"/>
          </w:tcPr>
          <w:p w14:paraId="2422A81B"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851" w:type="dxa"/>
            <w:shd w:val="clear" w:color="auto" w:fill="auto"/>
          </w:tcPr>
          <w:p w14:paraId="6097DB4A"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992" w:type="dxa"/>
            <w:shd w:val="clear" w:color="auto" w:fill="auto"/>
          </w:tcPr>
          <w:p w14:paraId="3CC48AA9" w14:textId="77777777"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276" w:type="dxa"/>
            <w:shd w:val="clear" w:color="auto" w:fill="auto"/>
          </w:tcPr>
          <w:p w14:paraId="5B085AFF"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843" w:type="dxa"/>
            <w:shd w:val="clear" w:color="auto" w:fill="auto"/>
          </w:tcPr>
          <w:p w14:paraId="6A97CE2A" w14:textId="18952AAE"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r>
      <w:tr w:rsidR="00D34449" w:rsidRPr="001119F5" w14:paraId="2952D5ED" w14:textId="77777777" w:rsidTr="00EE389F">
        <w:tc>
          <w:tcPr>
            <w:cnfStyle w:val="001000000000" w:firstRow="0" w:lastRow="0" w:firstColumn="1" w:lastColumn="0" w:oddVBand="0" w:evenVBand="0" w:oddHBand="0" w:evenHBand="0" w:firstRowFirstColumn="0" w:firstRowLastColumn="0" w:lastRowFirstColumn="0" w:lastRowLastColumn="0"/>
            <w:tcW w:w="1838" w:type="dxa"/>
            <w:vMerge/>
            <w:shd w:val="clear" w:color="auto" w:fill="D9D9D9" w:themeFill="background1" w:themeFillShade="D9"/>
          </w:tcPr>
          <w:p w14:paraId="3F7ED79B" w14:textId="77777777" w:rsidR="00D34449" w:rsidRPr="001119F5" w:rsidRDefault="00D34449" w:rsidP="00D34449">
            <w:pPr>
              <w:spacing w:before="0" w:after="0" w:line="259" w:lineRule="auto"/>
              <w:rPr>
                <w:rFonts w:eastAsia="Calibri" w:cs="Arial"/>
                <w:b w:val="0"/>
                <w:bCs/>
              </w:rPr>
            </w:pPr>
          </w:p>
        </w:tc>
        <w:tc>
          <w:tcPr>
            <w:tcW w:w="2410" w:type="dxa"/>
          </w:tcPr>
          <w:p w14:paraId="0022379E" w14:textId="353D0C8F" w:rsidR="00D34449" w:rsidRPr="001119F5"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1119F5">
              <w:rPr>
                <w:rFonts w:eastAsia="Calibri" w:cs="Arial"/>
              </w:rPr>
              <w:t xml:space="preserve">van </w:t>
            </w:r>
            <w:proofErr w:type="spellStart"/>
            <w:r w:rsidRPr="001119F5">
              <w:rPr>
                <w:rFonts w:eastAsia="Calibri" w:cs="Arial"/>
              </w:rPr>
              <w:t>Stuijvenberg</w:t>
            </w:r>
            <w:proofErr w:type="spellEnd"/>
            <w:r w:rsidRPr="001119F5">
              <w:rPr>
                <w:rFonts w:eastAsia="Calibri" w:cs="Arial"/>
              </w:rPr>
              <w:t xml:space="preserve"> 1999</w:t>
            </w:r>
          </w:p>
        </w:tc>
        <w:tc>
          <w:tcPr>
            <w:tcW w:w="2268" w:type="dxa"/>
          </w:tcPr>
          <w:p w14:paraId="3BBC67DD" w14:textId="06B8D01B" w:rsidR="00D34449" w:rsidRPr="001119F5" w:rsidRDefault="00B364D5"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491C29">
              <w:rPr>
                <w:noProof/>
              </w:rPr>
              <w:drawing>
                <wp:anchor distT="0" distB="0" distL="114300" distR="114300" simplePos="0" relativeHeight="251658272" behindDoc="0" locked="0" layoutInCell="1" allowOverlap="1" wp14:anchorId="300CE753" wp14:editId="6509EA8F">
                  <wp:simplePos x="0" y="0"/>
                  <wp:positionH relativeFrom="column">
                    <wp:posOffset>1053760</wp:posOffset>
                  </wp:positionH>
                  <wp:positionV relativeFrom="paragraph">
                    <wp:posOffset>0</wp:posOffset>
                  </wp:positionV>
                  <wp:extent cx="339799" cy="247650"/>
                  <wp:effectExtent l="0" t="0" r="3175" b="0"/>
                  <wp:wrapSquare wrapText="bothSides"/>
                  <wp:docPr id="2948725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72518"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rsidR="00D34449" w:rsidRPr="00C808EA">
              <w:rPr>
                <w:rFonts w:eastAsia="Calibri" w:cs="Arial"/>
              </w:rPr>
              <w:t>High</w:t>
            </w:r>
          </w:p>
        </w:tc>
        <w:tc>
          <w:tcPr>
            <w:tcW w:w="709" w:type="dxa"/>
            <w:shd w:val="clear" w:color="auto" w:fill="auto"/>
          </w:tcPr>
          <w:p w14:paraId="45E95D5B"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708" w:type="dxa"/>
            <w:shd w:val="clear" w:color="auto" w:fill="auto"/>
          </w:tcPr>
          <w:p w14:paraId="24AF4CA5"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709" w:type="dxa"/>
            <w:shd w:val="clear" w:color="auto" w:fill="auto"/>
          </w:tcPr>
          <w:p w14:paraId="741C0E96"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992" w:type="dxa"/>
            <w:shd w:val="clear" w:color="auto" w:fill="auto"/>
          </w:tcPr>
          <w:p w14:paraId="7368769E"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851" w:type="dxa"/>
            <w:shd w:val="clear" w:color="auto" w:fill="auto"/>
          </w:tcPr>
          <w:p w14:paraId="099B7B6B" w14:textId="2D9316D9"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r w:rsidR="00B364D5">
              <w:rPr>
                <w:rFonts w:eastAsia="Calibri" w:cs="Arial"/>
              </w:rPr>
              <w:t xml:space="preserve"> </w:t>
            </w:r>
          </w:p>
        </w:tc>
        <w:tc>
          <w:tcPr>
            <w:tcW w:w="992" w:type="dxa"/>
            <w:shd w:val="clear" w:color="auto" w:fill="auto"/>
          </w:tcPr>
          <w:p w14:paraId="2CDA80A1" w14:textId="77777777"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276" w:type="dxa"/>
            <w:shd w:val="clear" w:color="auto" w:fill="auto"/>
          </w:tcPr>
          <w:p w14:paraId="55856246"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843" w:type="dxa"/>
            <w:shd w:val="clear" w:color="auto" w:fill="auto"/>
          </w:tcPr>
          <w:p w14:paraId="791803B3" w14:textId="7EE0612A" w:rsidR="00D34449" w:rsidRPr="001119F5" w:rsidRDefault="004237A5"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r>
      <w:tr w:rsidR="00D34449" w:rsidRPr="001119F5" w14:paraId="29DA480C" w14:textId="77777777" w:rsidTr="00EE389F">
        <w:tc>
          <w:tcPr>
            <w:cnfStyle w:val="001000000000" w:firstRow="0" w:lastRow="0" w:firstColumn="1" w:lastColumn="0" w:oddVBand="0" w:evenVBand="0" w:oddHBand="0" w:evenHBand="0" w:firstRowFirstColumn="0" w:firstRowLastColumn="0" w:lastRowFirstColumn="0" w:lastRowLastColumn="0"/>
            <w:tcW w:w="1838" w:type="dxa"/>
            <w:vMerge/>
            <w:shd w:val="clear" w:color="auto" w:fill="D9D9D9" w:themeFill="background1" w:themeFillShade="D9"/>
          </w:tcPr>
          <w:p w14:paraId="69E5AE27" w14:textId="77777777" w:rsidR="00D34449" w:rsidRPr="001119F5" w:rsidRDefault="00D34449" w:rsidP="00D34449">
            <w:pPr>
              <w:spacing w:before="0" w:after="0" w:line="259" w:lineRule="auto"/>
              <w:rPr>
                <w:rFonts w:eastAsia="Calibri" w:cs="Arial"/>
                <w:b w:val="0"/>
                <w:bCs/>
              </w:rPr>
            </w:pPr>
          </w:p>
        </w:tc>
        <w:tc>
          <w:tcPr>
            <w:tcW w:w="2410" w:type="dxa"/>
          </w:tcPr>
          <w:p w14:paraId="2B56EBD4" w14:textId="5C9D9477" w:rsidR="00D34449" w:rsidRPr="001119F5"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proofErr w:type="spellStart"/>
            <w:r w:rsidRPr="001119F5">
              <w:rPr>
                <w:rFonts w:eastAsia="Calibri" w:cs="Arial"/>
              </w:rPr>
              <w:t>Zahrou</w:t>
            </w:r>
            <w:proofErr w:type="spellEnd"/>
            <w:r w:rsidRPr="001119F5">
              <w:rPr>
                <w:rFonts w:eastAsia="Calibri" w:cs="Arial"/>
              </w:rPr>
              <w:t xml:space="preserve"> 2016</w:t>
            </w:r>
          </w:p>
        </w:tc>
        <w:tc>
          <w:tcPr>
            <w:tcW w:w="2268" w:type="dxa"/>
          </w:tcPr>
          <w:p w14:paraId="40A1FFCE" w14:textId="09721779" w:rsidR="00D34449" w:rsidRPr="001119F5" w:rsidRDefault="00B364D5"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491C29">
              <w:rPr>
                <w:noProof/>
              </w:rPr>
              <w:drawing>
                <wp:anchor distT="0" distB="0" distL="114300" distR="114300" simplePos="0" relativeHeight="251658273" behindDoc="0" locked="0" layoutInCell="1" allowOverlap="1" wp14:anchorId="56B0C3FD" wp14:editId="0211B8E4">
                  <wp:simplePos x="0" y="0"/>
                  <wp:positionH relativeFrom="column">
                    <wp:posOffset>1058014</wp:posOffset>
                  </wp:positionH>
                  <wp:positionV relativeFrom="paragraph">
                    <wp:posOffset>546</wp:posOffset>
                  </wp:positionV>
                  <wp:extent cx="339799" cy="247650"/>
                  <wp:effectExtent l="0" t="0" r="3175" b="0"/>
                  <wp:wrapSquare wrapText="bothSides"/>
                  <wp:docPr id="3116931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93185"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rsidR="00D34449" w:rsidRPr="00C808EA">
              <w:rPr>
                <w:rFonts w:eastAsia="Calibri" w:cs="Arial"/>
              </w:rPr>
              <w:t>High</w:t>
            </w:r>
          </w:p>
        </w:tc>
        <w:tc>
          <w:tcPr>
            <w:tcW w:w="709" w:type="dxa"/>
            <w:shd w:val="clear" w:color="auto" w:fill="auto"/>
          </w:tcPr>
          <w:p w14:paraId="21DF48DF"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708" w:type="dxa"/>
            <w:shd w:val="clear" w:color="auto" w:fill="auto"/>
          </w:tcPr>
          <w:p w14:paraId="0DFB4DFC"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709" w:type="dxa"/>
            <w:shd w:val="clear" w:color="auto" w:fill="auto"/>
          </w:tcPr>
          <w:p w14:paraId="7CEB6E25"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992" w:type="dxa"/>
            <w:shd w:val="clear" w:color="auto" w:fill="auto"/>
          </w:tcPr>
          <w:p w14:paraId="6EED8B15"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851" w:type="dxa"/>
            <w:shd w:val="clear" w:color="auto" w:fill="auto"/>
          </w:tcPr>
          <w:p w14:paraId="29FD9865"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992" w:type="dxa"/>
            <w:shd w:val="clear" w:color="auto" w:fill="auto"/>
          </w:tcPr>
          <w:p w14:paraId="00CC2699" w14:textId="77777777"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276" w:type="dxa"/>
            <w:shd w:val="clear" w:color="auto" w:fill="auto"/>
          </w:tcPr>
          <w:p w14:paraId="32F16F22"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843" w:type="dxa"/>
            <w:shd w:val="clear" w:color="auto" w:fill="auto"/>
          </w:tcPr>
          <w:p w14:paraId="734143FD"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r>
      <w:tr w:rsidR="00D34449" w:rsidRPr="001119F5" w14:paraId="1C315448" w14:textId="77777777" w:rsidTr="00EE389F">
        <w:trPr>
          <w:trHeight w:val="418"/>
        </w:trPr>
        <w:tc>
          <w:tcPr>
            <w:cnfStyle w:val="001000000000" w:firstRow="0" w:lastRow="0" w:firstColumn="1" w:lastColumn="0" w:oddVBand="0" w:evenVBand="0" w:oddHBand="0" w:evenHBand="0" w:firstRowFirstColumn="0" w:firstRowLastColumn="0" w:lastRowFirstColumn="0" w:lastRowLastColumn="0"/>
            <w:tcW w:w="1838" w:type="dxa"/>
            <w:shd w:val="clear" w:color="auto" w:fill="D9D9D9" w:themeFill="background1" w:themeFillShade="D9"/>
          </w:tcPr>
          <w:p w14:paraId="360AAB48" w14:textId="77777777" w:rsidR="00D34449" w:rsidRPr="001119F5" w:rsidRDefault="00D34449" w:rsidP="00D34449">
            <w:pPr>
              <w:spacing w:before="0" w:after="0" w:line="259" w:lineRule="auto"/>
              <w:rPr>
                <w:rFonts w:eastAsia="Calibri" w:cs="Arial"/>
                <w:b w:val="0"/>
                <w:bCs/>
              </w:rPr>
            </w:pPr>
            <w:r w:rsidRPr="003D2A13">
              <w:rPr>
                <w:bCs/>
              </w:rPr>
              <w:t>Non-randomised studies of interventions (NRSIs)</w:t>
            </w:r>
          </w:p>
        </w:tc>
        <w:tc>
          <w:tcPr>
            <w:tcW w:w="2410" w:type="dxa"/>
          </w:tcPr>
          <w:p w14:paraId="5259C877" w14:textId="7C8E4953" w:rsidR="00D34449" w:rsidRPr="001119F5" w:rsidRDefault="00D34449"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1119F5">
              <w:rPr>
                <w:rFonts w:eastAsia="Calibri" w:cs="Arial"/>
                <w:noProof/>
              </w:rPr>
              <w:t>Tajtáková 1998</w:t>
            </w:r>
          </w:p>
        </w:tc>
        <w:tc>
          <w:tcPr>
            <w:tcW w:w="2268" w:type="dxa"/>
          </w:tcPr>
          <w:p w14:paraId="596C58DE" w14:textId="6140BD27" w:rsidR="00D34449" w:rsidRPr="001119F5" w:rsidRDefault="00B364D5" w:rsidP="00D34449">
            <w:pPr>
              <w:spacing w:before="0" w:after="0"/>
              <w:cnfStyle w:val="000000000000" w:firstRow="0" w:lastRow="0" w:firstColumn="0" w:lastColumn="0" w:oddVBand="0" w:evenVBand="0" w:oddHBand="0" w:evenHBand="0" w:firstRowFirstColumn="0" w:firstRowLastColumn="0" w:lastRowFirstColumn="0" w:lastRowLastColumn="0"/>
              <w:rPr>
                <w:rFonts w:eastAsia="Calibri" w:cs="Arial"/>
              </w:rPr>
            </w:pPr>
            <w:r w:rsidRPr="00491C29">
              <w:rPr>
                <w:noProof/>
              </w:rPr>
              <w:drawing>
                <wp:anchor distT="0" distB="0" distL="114300" distR="114300" simplePos="0" relativeHeight="251658274" behindDoc="0" locked="0" layoutInCell="1" allowOverlap="1" wp14:anchorId="57B76169" wp14:editId="208AA612">
                  <wp:simplePos x="0" y="0"/>
                  <wp:positionH relativeFrom="column">
                    <wp:posOffset>1058485</wp:posOffset>
                  </wp:positionH>
                  <wp:positionV relativeFrom="paragraph">
                    <wp:posOffset>54</wp:posOffset>
                  </wp:positionV>
                  <wp:extent cx="339799" cy="247650"/>
                  <wp:effectExtent l="0" t="0" r="3175" b="0"/>
                  <wp:wrapSquare wrapText="bothSides"/>
                  <wp:docPr id="2169311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31146" name="Picture 1">
                            <a:extLst>
                              <a:ext uri="{C183D7F6-B498-43B3-948B-1728B52AA6E4}">
                                <adec:decorative xmlns:adec="http://schemas.microsoft.com/office/drawing/2017/decorative" val="1"/>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339799" cy="247650"/>
                          </a:xfrm>
                          <a:prstGeom prst="rect">
                            <a:avLst/>
                          </a:prstGeom>
                        </pic:spPr>
                      </pic:pic>
                    </a:graphicData>
                  </a:graphic>
                </wp:anchor>
              </w:drawing>
            </w:r>
            <w:r w:rsidR="00D34449">
              <w:t>Serious</w:t>
            </w:r>
          </w:p>
        </w:tc>
        <w:tc>
          <w:tcPr>
            <w:tcW w:w="709" w:type="dxa"/>
            <w:shd w:val="clear" w:color="auto" w:fill="auto"/>
          </w:tcPr>
          <w:p w14:paraId="2C9A1C1C" w14:textId="53882EC7" w:rsidR="00D34449" w:rsidRPr="001119F5" w:rsidRDefault="009C6D60"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c>
          <w:tcPr>
            <w:tcW w:w="708" w:type="dxa"/>
            <w:shd w:val="clear" w:color="auto" w:fill="auto"/>
          </w:tcPr>
          <w:p w14:paraId="2F352162" w14:textId="2A777B03" w:rsidR="00D34449" w:rsidRPr="001119F5" w:rsidRDefault="009C6D60"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c>
          <w:tcPr>
            <w:tcW w:w="709" w:type="dxa"/>
            <w:shd w:val="clear" w:color="auto" w:fill="auto"/>
          </w:tcPr>
          <w:p w14:paraId="244E83D2" w14:textId="44B6D916" w:rsidR="00D34449" w:rsidRPr="001119F5" w:rsidRDefault="009C6D60"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c>
          <w:tcPr>
            <w:tcW w:w="992" w:type="dxa"/>
            <w:shd w:val="clear" w:color="auto" w:fill="auto"/>
          </w:tcPr>
          <w:p w14:paraId="7323D33F" w14:textId="35B30745" w:rsidR="00D34449" w:rsidRPr="001119F5" w:rsidRDefault="009C6D60"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c>
          <w:tcPr>
            <w:tcW w:w="851" w:type="dxa"/>
            <w:shd w:val="clear" w:color="auto" w:fill="auto"/>
          </w:tcPr>
          <w:p w14:paraId="406C0E6C"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992" w:type="dxa"/>
            <w:shd w:val="clear" w:color="auto" w:fill="auto"/>
          </w:tcPr>
          <w:p w14:paraId="0C722CDD" w14:textId="77777777"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rPr>
            </w:pPr>
          </w:p>
        </w:tc>
        <w:tc>
          <w:tcPr>
            <w:tcW w:w="1276" w:type="dxa"/>
            <w:shd w:val="clear" w:color="auto" w:fill="auto"/>
          </w:tcPr>
          <w:p w14:paraId="132FD5C8" w14:textId="721E68F6" w:rsidR="00D34449" w:rsidRPr="001119F5" w:rsidRDefault="009C6D60"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x</w:t>
            </w:r>
          </w:p>
        </w:tc>
        <w:tc>
          <w:tcPr>
            <w:tcW w:w="1843" w:type="dxa"/>
            <w:shd w:val="clear" w:color="auto" w:fill="auto"/>
          </w:tcPr>
          <w:p w14:paraId="2D2915AD" w14:textId="77777777" w:rsidR="00D34449" w:rsidRPr="001119F5" w:rsidRDefault="00D34449" w:rsidP="00D34449">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rPr>
            </w:pPr>
          </w:p>
        </w:tc>
      </w:tr>
      <w:tr w:rsidR="00D34449" w:rsidRPr="001119F5" w14:paraId="5C009D85" w14:textId="77777777" w:rsidTr="00D34449">
        <w:tc>
          <w:tcPr>
            <w:cnfStyle w:val="001000000000" w:firstRow="0" w:lastRow="0" w:firstColumn="1" w:lastColumn="0" w:oddVBand="0" w:evenVBand="0" w:oddHBand="0" w:evenHBand="0" w:firstRowFirstColumn="0" w:firstRowLastColumn="0" w:lastRowFirstColumn="0" w:lastRowLastColumn="0"/>
            <w:tcW w:w="1838" w:type="dxa"/>
            <w:shd w:val="clear" w:color="auto" w:fill="D9D9D9" w:themeFill="background1" w:themeFillShade="D9"/>
          </w:tcPr>
          <w:p w14:paraId="2B7B1E1B" w14:textId="77777777" w:rsidR="00D34449" w:rsidRPr="001119F5" w:rsidRDefault="00D34449" w:rsidP="00D34449">
            <w:pPr>
              <w:spacing w:before="0" w:after="0" w:line="259" w:lineRule="auto"/>
              <w:rPr>
                <w:rFonts w:eastAsia="Calibri" w:cs="Arial"/>
                <w:b w:val="0"/>
                <w:bCs/>
              </w:rPr>
            </w:pPr>
            <w:r w:rsidRPr="001119F5">
              <w:rPr>
                <w:rFonts w:eastAsia="Calibri" w:cs="Arial"/>
                <w:bCs/>
              </w:rPr>
              <w:t>Observational studies</w:t>
            </w:r>
          </w:p>
        </w:tc>
        <w:tc>
          <w:tcPr>
            <w:tcW w:w="12758" w:type="dxa"/>
            <w:gridSpan w:val="10"/>
          </w:tcPr>
          <w:p w14:paraId="2D3EC462" w14:textId="06A04C50" w:rsidR="00D34449" w:rsidRPr="001119F5" w:rsidRDefault="00D34449" w:rsidP="00D34449">
            <w:pPr>
              <w:spacing w:before="0" w:after="0"/>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Nil identified</w:t>
            </w:r>
          </w:p>
        </w:tc>
      </w:tr>
    </w:tbl>
    <w:p w14:paraId="06A020A8" w14:textId="711C8B46" w:rsidR="00B364D5" w:rsidRDefault="00B364D5" w:rsidP="00D22357">
      <w:pPr>
        <w:spacing w:line="240" w:lineRule="atLeast"/>
      </w:pPr>
    </w:p>
    <w:p w14:paraId="6F17FEE1" w14:textId="77777777" w:rsidR="00B364D5" w:rsidRDefault="00B364D5">
      <w:pPr>
        <w:spacing w:line="240" w:lineRule="atLeast"/>
      </w:pPr>
      <w:r>
        <w:br w:type="page"/>
      </w:r>
    </w:p>
    <w:p w14:paraId="6DA3A6DF" w14:textId="77777777" w:rsidR="00B364D5" w:rsidRDefault="00B364D5" w:rsidP="00B364D5">
      <w:pPr>
        <w:pStyle w:val="Heading2"/>
      </w:pPr>
      <w:bookmarkStart w:id="194" w:name="_Toc210406417"/>
      <w:bookmarkStart w:id="195" w:name="_Toc212567920"/>
      <w:r>
        <w:lastRenderedPageBreak/>
        <w:t>Appendix E - Evidence-to-Decision Framework</w:t>
      </w:r>
      <w:bookmarkEnd w:id="194"/>
      <w:bookmarkEnd w:id="195"/>
    </w:p>
    <w:p w14:paraId="3A45A176" w14:textId="77777777" w:rsidR="00B364D5" w:rsidRPr="00BB3C9A" w:rsidRDefault="00B364D5" w:rsidP="003E5592">
      <w:pPr>
        <w:pStyle w:val="Heading3"/>
      </w:pPr>
      <w:bookmarkStart w:id="196" w:name="_Toc210406418"/>
      <w:bookmarkStart w:id="197" w:name="_Toc212567921"/>
      <w:r w:rsidRPr="00BB3C9A">
        <w:t xml:space="preserve">Iodine </w:t>
      </w:r>
      <w:r>
        <w:t>-</w:t>
      </w:r>
      <w:r w:rsidRPr="00BB3C9A">
        <w:t xml:space="preserve"> Requirements for avoiding deficiency</w:t>
      </w:r>
      <w:bookmarkEnd w:id="196"/>
      <w:bookmarkEnd w:id="197"/>
    </w:p>
    <w:p w14:paraId="1C500DCD" w14:textId="77777777" w:rsidR="00B364D5" w:rsidRPr="00BB3C9A" w:rsidRDefault="00B364D5" w:rsidP="003E5592">
      <w:pPr>
        <w:pStyle w:val="Heading4"/>
      </w:pPr>
      <w:bookmarkStart w:id="198" w:name="_Toc210406419"/>
      <w:bookmarkStart w:id="199" w:name="_Toc212567922"/>
      <w:r w:rsidRPr="00BB3C9A">
        <w:t>Background</w:t>
      </w:r>
      <w:bookmarkEnd w:id="198"/>
      <w:bookmarkEnd w:id="199"/>
    </w:p>
    <w:p w14:paraId="462E3475" w14:textId="77777777" w:rsidR="00B364D5" w:rsidRPr="00BB3C9A" w:rsidRDefault="00B364D5" w:rsidP="003E5592">
      <w:pPr>
        <w:pStyle w:val="Heading5"/>
      </w:pPr>
      <w:r w:rsidRPr="00BB3C9A">
        <w:t xml:space="preserve">Iodine </w:t>
      </w:r>
      <w:r>
        <w:t>-</w:t>
      </w:r>
      <w:r w:rsidRPr="00BB3C9A">
        <w:t xml:space="preserve"> function and dietary sources</w:t>
      </w:r>
    </w:p>
    <w:p w14:paraId="759F552D" w14:textId="77777777" w:rsidR="00B364D5" w:rsidRPr="003E5592" w:rsidRDefault="00B364D5" w:rsidP="003E5592">
      <w:r w:rsidRPr="003E5592">
        <w:t xml:space="preserve">Iodine is a mineral that is found in soil and ocean waters and is an essential nutrient required for synthesis of thyroid hormones such as thyroxine (T4) and triiodothyronine (T3).  Iodine deficiency is associated with thyroid dysfunction, thyroid disease, and adverse child neurocognitive development. </w:t>
      </w:r>
    </w:p>
    <w:p w14:paraId="7C939608" w14:textId="77777777" w:rsidR="00B364D5" w:rsidRPr="003E5592" w:rsidRDefault="00B364D5" w:rsidP="003E5592">
      <w:r w:rsidRPr="003E5592">
        <w:t xml:space="preserve">Iodine-rich foods include seafoods such as fish, shellfish, or seaweed, eggs, milk, and iodised salt. The level of iodine in cereal and grain foods varies depending on the iodine content of soil in which the food is grown. Low soil iodine levels are typical for New Zealand and in some parts of Australia such as Tasmania (AIHW, 2016). In 2009 Australia and New Zealand introduced mandatory fortification requirements for the addition of iodine (via iodised salt) to commercial bread, to address iodine deficiency in the population. </w:t>
      </w:r>
    </w:p>
    <w:p w14:paraId="44EFA652" w14:textId="77777777" w:rsidR="00B364D5" w:rsidRPr="003E5592" w:rsidRDefault="00B364D5" w:rsidP="003E5592">
      <w:r w:rsidRPr="003E5592">
        <w:t xml:space="preserve">Absorption of iodine from food is estimated at 90 - 92% under normal conditions (Thomson et al 1996, Jahreis et al 2001, </w:t>
      </w:r>
      <w:proofErr w:type="spellStart"/>
      <w:r w:rsidRPr="003E5592">
        <w:t>Aquaron</w:t>
      </w:r>
      <w:proofErr w:type="spellEnd"/>
      <w:r w:rsidRPr="003E5592">
        <w:t xml:space="preserve"> et al 2002). Some compounds - known as goitrogens - impair iodine uptake and increase an individual’s risk of deficiency. Identified goitrogens include tobacco and electronic cigarettes (</w:t>
      </w:r>
      <w:proofErr w:type="spellStart"/>
      <w:r w:rsidRPr="003E5592">
        <w:t>Colzani</w:t>
      </w:r>
      <w:proofErr w:type="spellEnd"/>
      <w:r w:rsidRPr="003E5592">
        <w:t xml:space="preserve"> et al 1998, Knudsen et al 2002, Shields et al 2008, Flieger et al. 2019), along with foods such as cassava, millet, maize and cruciferous vegetables (Gibson, 1991). However, the risk of deficiency from consumption of these foods may be negligible where iodine intake is adequate and a varied diet is consumed (Zimmermann et al. 2008). Absorption can also be affected by deficiencies in other micronutrients including selenium and iron (Yang et al 1997, </w:t>
      </w:r>
      <w:proofErr w:type="spellStart"/>
      <w:r w:rsidRPr="003E5592">
        <w:t>Kohrle</w:t>
      </w:r>
      <w:proofErr w:type="spellEnd"/>
      <w:r w:rsidRPr="003E5592">
        <w:t xml:space="preserve"> 1999, Thomson 2004, Zimmermann et al 2000).</w:t>
      </w:r>
    </w:p>
    <w:p w14:paraId="38CC638B" w14:textId="77777777" w:rsidR="00B364D5" w:rsidRPr="003E5592" w:rsidRDefault="00B364D5" w:rsidP="003E5592">
      <w:r w:rsidRPr="003E5592">
        <w:t>The developing infant and neonates are particularly sensitive to the effects of maternal iodine deficiency during pregnancy or lactation, due to the critical role of iodine in early neurocognitive development. Individuals with low intake of iodine-containing foods - including vegans, vegetarians, and individuals with low dairy or commercial bread consumption - may be at greater risk of deficiency.</w:t>
      </w:r>
    </w:p>
    <w:p w14:paraId="1413977A" w14:textId="77777777" w:rsidR="00B364D5" w:rsidRPr="00BB3C9A" w:rsidRDefault="00B364D5" w:rsidP="003E5592">
      <w:pPr>
        <w:pStyle w:val="Heading5"/>
      </w:pPr>
      <w:r w:rsidRPr="00BB3C9A">
        <w:t>Criteria for measuring iodine intake and status</w:t>
      </w:r>
    </w:p>
    <w:p w14:paraId="4EA6DDD7" w14:textId="77777777" w:rsidR="00B364D5" w:rsidRPr="003E5592" w:rsidRDefault="00B364D5" w:rsidP="003E5592">
      <w:r w:rsidRPr="003E5592">
        <w:t xml:space="preserve">There are limitations in the accuracy of dietary iodine intake assessment methods, including concerns about reporting bias (including recall and social desirability bias), variability of iodine content in foods, difficulty in measuring contribution of iodine from use of iodised salt at the table and in cooking, and the inaccuracy of food composition data. It is also difficult to ascertain individual status based on dietary intakes which reflect intakes at a specific point in time. In people with iodine replete diets, iodine is incorporated into </w:t>
      </w:r>
      <w:proofErr w:type="gramStart"/>
      <w:r w:rsidRPr="003E5592">
        <w:lastRenderedPageBreak/>
        <w:t>thyroglobulin</w:t>
      </w:r>
      <w:proofErr w:type="gramEnd"/>
      <w:r w:rsidRPr="003E5592">
        <w:t xml:space="preserve"> and this can provide up to 3 months of thyroid hormone, ensuring that thyroid function is maintained during periods of low iodine intake (e.g. due to seasonal variation in iodine content of food). </w:t>
      </w:r>
    </w:p>
    <w:p w14:paraId="7299559F" w14:textId="77777777" w:rsidR="00B364D5" w:rsidRPr="003E5592" w:rsidRDefault="00B364D5" w:rsidP="003E5592">
      <w:r w:rsidRPr="003E5592">
        <w:t xml:space="preserve">Measures of urinary iodine concentration (UIC) are used as established biomarkers for intake and status, although these measures also have limitations. As more than 90% of dietary iodine is excreted in the urine, urinary iodine is used as an indicator of recent iodine intake. Urinary iodine can be measured over 24-hours or in a spot urine sample. Collection of 24-hour urine (known as urinary iodine excretion or UIE) is preferable to spot-sampling (UIC) due to diurnal variation in excretion of iodine in urine. However, this measure has a high respondent burden, and there is no internationally accepted method to determine if all urine voided during the 24-hours was collected (i.e. completeness). </w:t>
      </w:r>
    </w:p>
    <w:p w14:paraId="7F76B0C4" w14:textId="77777777" w:rsidR="00B364D5" w:rsidRPr="003E5592" w:rsidRDefault="00B364D5" w:rsidP="003E5592">
      <w:r w:rsidRPr="003E5592">
        <w:t xml:space="preserve">The use of spot urine samples is simpler and consequently, more frequently used and reported in the literature. Furthermore, the epidemiologic criteria described below are based on median UIC (µg/L). In addition to the diurnal variation mentioned, variation in urinary volume is another concern with spot urine samples. High water intake and thus high urine volumes will result in lower UIC values which could be misinterpreted as poor iodine status whereas low urine volumes will result in higher UIC values, suggesting adequate iodine status where this may not be the case. To address this problem, corrected measures of UIC are often reported, for example, correcting for urinary creatinine level. </w:t>
      </w:r>
    </w:p>
    <w:p w14:paraId="446851F2" w14:textId="4FAC82C9" w:rsidR="003E5592" w:rsidRDefault="00B364D5" w:rsidP="003E5592">
      <w:r w:rsidRPr="003E5592">
        <w:t xml:space="preserve">Both 24-hour UIE and UIC are associated with inter- and intra-individual variation, thus neither measure should be used to assess iodine status of an individual, but rather to assess the iodine status of a group or population (where sample sizes are sufficiently large). The World Health Organization (WHO) have developed epidemiologic criteria for assessing population iodine status in school-age children using median UIC, shown in </w:t>
      </w:r>
      <w:r w:rsidRPr="003E5592">
        <w:fldChar w:fldCharType="begin"/>
      </w:r>
      <w:r w:rsidRPr="003E5592">
        <w:instrText xml:space="preserve"> REF _Ref202267806 \h  \* MERGEFORMAT </w:instrText>
      </w:r>
      <w:r w:rsidRPr="003E5592">
        <w:fldChar w:fldCharType="separate"/>
      </w:r>
      <w:r w:rsidRPr="003E5592">
        <w:t>Table 1</w:t>
      </w:r>
      <w:r w:rsidRPr="003E5592">
        <w:fldChar w:fldCharType="end"/>
      </w:r>
      <w:r w:rsidRPr="003E5592">
        <w:t xml:space="preserve">.  It also recommends that the proportion of the population with median UIC below 50 </w:t>
      </w:r>
      <w:proofErr w:type="spellStart"/>
      <w:r w:rsidRPr="003E5592">
        <w:t>μg</w:t>
      </w:r>
      <w:proofErr w:type="spellEnd"/>
      <w:r w:rsidRPr="003E5592">
        <w:t>/L should not exceed 20% (WHO, 2007). The criteria for children were subsequently extended to adults (except during pregnancy).</w:t>
      </w:r>
    </w:p>
    <w:p w14:paraId="28224AD6" w14:textId="77777777" w:rsidR="003E5592" w:rsidRDefault="003E5592">
      <w:pPr>
        <w:spacing w:line="240" w:lineRule="atLeast"/>
      </w:pPr>
      <w:r>
        <w:br w:type="page"/>
      </w:r>
    </w:p>
    <w:p w14:paraId="58AFD706" w14:textId="754E6A3A" w:rsidR="003E5592" w:rsidRPr="00BB3C9A" w:rsidRDefault="003E5592" w:rsidP="003E5592">
      <w:pPr>
        <w:pStyle w:val="TableTitle"/>
        <w:numPr>
          <w:ilvl w:val="0"/>
          <w:numId w:val="42"/>
        </w:numPr>
      </w:pPr>
      <w:r w:rsidRPr="00BB3C9A">
        <w:lastRenderedPageBreak/>
        <w:t>WHO epidemiologic criteria for assessing iodine nutrition using median UIC (Source: WHO 2013)</w:t>
      </w:r>
    </w:p>
    <w:tbl>
      <w:tblPr>
        <w:tblStyle w:val="DefaultTable1"/>
        <w:tblW w:w="12075" w:type="dxa"/>
        <w:tblInd w:w="0" w:type="dxa"/>
        <w:tblCellMar>
          <w:left w:w="227" w:type="dxa"/>
          <w:right w:w="227" w:type="dxa"/>
        </w:tblCellMar>
        <w:tblLook w:val="04A0" w:firstRow="1" w:lastRow="0" w:firstColumn="1" w:lastColumn="0" w:noHBand="0" w:noVBand="1"/>
      </w:tblPr>
      <w:tblGrid>
        <w:gridCol w:w="2070"/>
        <w:gridCol w:w="1860"/>
        <w:gridCol w:w="2880"/>
        <w:gridCol w:w="5265"/>
      </w:tblGrid>
      <w:tr w:rsidR="003E5592" w:rsidRPr="003E5592" w14:paraId="3167474E" w14:textId="77777777" w:rsidTr="003E55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6CD8F730" w14:textId="77777777" w:rsidR="003E5592" w:rsidRPr="003E5592" w:rsidRDefault="003E5592" w:rsidP="003E5592">
            <w:r w:rsidRPr="003E5592">
              <w:t>Population</w:t>
            </w:r>
          </w:p>
        </w:tc>
        <w:tc>
          <w:tcPr>
            <w:tcW w:w="1860" w:type="dxa"/>
          </w:tcPr>
          <w:p w14:paraId="5A8FEFDC" w14:textId="77777777" w:rsidR="003E5592" w:rsidRPr="003E5592" w:rsidRDefault="003E5592" w:rsidP="003E5592">
            <w:pPr>
              <w:cnfStyle w:val="100000000000" w:firstRow="1" w:lastRow="0" w:firstColumn="0" w:lastColumn="0" w:oddVBand="0" w:evenVBand="0" w:oddHBand="0" w:evenHBand="0" w:firstRowFirstColumn="0" w:firstRowLastColumn="0" w:lastRowFirstColumn="0" w:lastRowLastColumn="0"/>
            </w:pPr>
            <w:r w:rsidRPr="003E5592">
              <w:t>Median UIC (</w:t>
            </w:r>
            <w:proofErr w:type="spellStart"/>
            <w:r w:rsidRPr="003E5592">
              <w:t>μg</w:t>
            </w:r>
            <w:proofErr w:type="spellEnd"/>
            <w:r w:rsidRPr="003E5592">
              <w:t>/L)</w:t>
            </w:r>
          </w:p>
        </w:tc>
        <w:tc>
          <w:tcPr>
            <w:tcW w:w="2880" w:type="dxa"/>
          </w:tcPr>
          <w:p w14:paraId="5EF1BBD6" w14:textId="77777777" w:rsidR="003E5592" w:rsidRPr="003E5592" w:rsidRDefault="003E5592" w:rsidP="003E5592">
            <w:pPr>
              <w:cnfStyle w:val="100000000000" w:firstRow="1" w:lastRow="0" w:firstColumn="0" w:lastColumn="0" w:oddVBand="0" w:evenVBand="0" w:oddHBand="0" w:evenHBand="0" w:firstRowFirstColumn="0" w:firstRowLastColumn="0" w:lastRowFirstColumn="0" w:lastRowLastColumn="0"/>
            </w:pPr>
            <w:r w:rsidRPr="003E5592">
              <w:t>Iodine intake/status</w:t>
            </w:r>
          </w:p>
        </w:tc>
        <w:tc>
          <w:tcPr>
            <w:tcW w:w="5265" w:type="dxa"/>
          </w:tcPr>
          <w:p w14:paraId="7ABFF6AD" w14:textId="77777777" w:rsidR="003E5592" w:rsidRPr="003E5592" w:rsidRDefault="003E5592" w:rsidP="003E5592">
            <w:pPr>
              <w:cnfStyle w:val="100000000000" w:firstRow="1" w:lastRow="0" w:firstColumn="0" w:lastColumn="0" w:oddVBand="0" w:evenVBand="0" w:oddHBand="0" w:evenHBand="0" w:firstRowFirstColumn="0" w:firstRowLastColumn="0" w:lastRowFirstColumn="0" w:lastRowLastColumn="0"/>
            </w:pPr>
            <w:r w:rsidRPr="003E5592">
              <w:t>Iodine status</w:t>
            </w:r>
          </w:p>
        </w:tc>
      </w:tr>
      <w:tr w:rsidR="003E5592" w:rsidRPr="003E5592" w14:paraId="2797C217" w14:textId="77777777" w:rsidTr="003E55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val="restart"/>
          </w:tcPr>
          <w:p w14:paraId="622749EF" w14:textId="77777777" w:rsidR="003E5592" w:rsidRPr="003E5592" w:rsidRDefault="003E5592" w:rsidP="003E5592">
            <w:r w:rsidRPr="003E5592">
              <w:t>School-aged children (6 years and up) and non-pregnant adults</w:t>
            </w:r>
          </w:p>
        </w:tc>
        <w:tc>
          <w:tcPr>
            <w:tcW w:w="1860" w:type="dxa"/>
          </w:tcPr>
          <w:p w14:paraId="184C446C"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&lt;20</w:t>
            </w:r>
          </w:p>
        </w:tc>
        <w:tc>
          <w:tcPr>
            <w:tcW w:w="2880" w:type="dxa"/>
          </w:tcPr>
          <w:p w14:paraId="40E99A9B"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Insufficient</w:t>
            </w:r>
          </w:p>
        </w:tc>
        <w:tc>
          <w:tcPr>
            <w:tcW w:w="5265" w:type="dxa"/>
          </w:tcPr>
          <w:p w14:paraId="5CDD0F10"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Severe iodine deficiency</w:t>
            </w:r>
          </w:p>
        </w:tc>
      </w:tr>
      <w:tr w:rsidR="003E5592" w:rsidRPr="003E5592" w14:paraId="02CAD457" w14:textId="77777777" w:rsidTr="003E55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tcPr>
          <w:p w14:paraId="03FDA7B4" w14:textId="77777777" w:rsidR="003E5592" w:rsidRPr="003E5592" w:rsidRDefault="003E5592" w:rsidP="003E5592"/>
        </w:tc>
        <w:tc>
          <w:tcPr>
            <w:tcW w:w="1860" w:type="dxa"/>
          </w:tcPr>
          <w:p w14:paraId="35175279"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20 - 49</w:t>
            </w:r>
          </w:p>
        </w:tc>
        <w:tc>
          <w:tcPr>
            <w:tcW w:w="2880" w:type="dxa"/>
          </w:tcPr>
          <w:p w14:paraId="5AC3BAA1"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Insufficient</w:t>
            </w:r>
          </w:p>
        </w:tc>
        <w:tc>
          <w:tcPr>
            <w:tcW w:w="5265" w:type="dxa"/>
          </w:tcPr>
          <w:p w14:paraId="21DBA80E"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Moderate iodine deficiency</w:t>
            </w:r>
          </w:p>
        </w:tc>
      </w:tr>
      <w:tr w:rsidR="003E5592" w:rsidRPr="003E5592" w14:paraId="565AB208" w14:textId="77777777" w:rsidTr="003E55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tcPr>
          <w:p w14:paraId="3A40CA5F" w14:textId="77777777" w:rsidR="003E5592" w:rsidRPr="003E5592" w:rsidRDefault="003E5592" w:rsidP="003E5592"/>
        </w:tc>
        <w:tc>
          <w:tcPr>
            <w:tcW w:w="1860" w:type="dxa"/>
          </w:tcPr>
          <w:p w14:paraId="62A08444"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50 - 99</w:t>
            </w:r>
          </w:p>
        </w:tc>
        <w:tc>
          <w:tcPr>
            <w:tcW w:w="2880" w:type="dxa"/>
          </w:tcPr>
          <w:p w14:paraId="42FF08CF"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Insufficient</w:t>
            </w:r>
          </w:p>
        </w:tc>
        <w:tc>
          <w:tcPr>
            <w:tcW w:w="5265" w:type="dxa"/>
          </w:tcPr>
          <w:p w14:paraId="4D01BA73"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Mild iodine deficiency</w:t>
            </w:r>
          </w:p>
        </w:tc>
      </w:tr>
      <w:tr w:rsidR="003E5592" w:rsidRPr="003E5592" w14:paraId="3D4B7E46" w14:textId="77777777" w:rsidTr="003E55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tcPr>
          <w:p w14:paraId="706CB817" w14:textId="77777777" w:rsidR="003E5592" w:rsidRPr="003E5592" w:rsidRDefault="003E5592" w:rsidP="003E5592"/>
        </w:tc>
        <w:tc>
          <w:tcPr>
            <w:tcW w:w="1860" w:type="dxa"/>
          </w:tcPr>
          <w:p w14:paraId="15DF4CBC"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100 - 199</w:t>
            </w:r>
          </w:p>
        </w:tc>
        <w:tc>
          <w:tcPr>
            <w:tcW w:w="2880" w:type="dxa"/>
          </w:tcPr>
          <w:p w14:paraId="328F7DDF"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Adequate</w:t>
            </w:r>
          </w:p>
        </w:tc>
        <w:tc>
          <w:tcPr>
            <w:tcW w:w="5265" w:type="dxa"/>
          </w:tcPr>
          <w:p w14:paraId="45DCA8FB"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Adequate iodine nutrition</w:t>
            </w:r>
          </w:p>
        </w:tc>
      </w:tr>
      <w:tr w:rsidR="003E5592" w:rsidRPr="003E5592" w14:paraId="159E587F" w14:textId="77777777" w:rsidTr="003E55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tcPr>
          <w:p w14:paraId="14381C26" w14:textId="77777777" w:rsidR="003E5592" w:rsidRPr="003E5592" w:rsidRDefault="003E5592" w:rsidP="003E5592"/>
        </w:tc>
        <w:tc>
          <w:tcPr>
            <w:tcW w:w="1860" w:type="dxa"/>
          </w:tcPr>
          <w:p w14:paraId="479C93AE"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200 - 299</w:t>
            </w:r>
          </w:p>
        </w:tc>
        <w:tc>
          <w:tcPr>
            <w:tcW w:w="2880" w:type="dxa"/>
          </w:tcPr>
          <w:p w14:paraId="5CDA44B0"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Above requirements</w:t>
            </w:r>
          </w:p>
        </w:tc>
        <w:tc>
          <w:tcPr>
            <w:tcW w:w="5265" w:type="dxa"/>
          </w:tcPr>
          <w:p w14:paraId="3C8A02E8"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Slight risk of more than adequate iodine intake</w:t>
            </w:r>
          </w:p>
        </w:tc>
      </w:tr>
      <w:tr w:rsidR="003E5592" w:rsidRPr="003E5592" w14:paraId="34487005" w14:textId="77777777" w:rsidTr="003E55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tcPr>
          <w:p w14:paraId="76B5CE49" w14:textId="77777777" w:rsidR="003E5592" w:rsidRPr="003E5592" w:rsidRDefault="003E5592" w:rsidP="003E5592"/>
        </w:tc>
        <w:tc>
          <w:tcPr>
            <w:tcW w:w="1860" w:type="dxa"/>
          </w:tcPr>
          <w:p w14:paraId="37B7B1AB"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rPr>
                <w:rFonts w:ascii="Cambria Math" w:hAnsi="Cambria Math" w:cs="Cambria Math"/>
              </w:rPr>
              <w:t>≥</w:t>
            </w:r>
            <w:r w:rsidRPr="003E5592">
              <w:t>300</w:t>
            </w:r>
          </w:p>
        </w:tc>
        <w:tc>
          <w:tcPr>
            <w:tcW w:w="2880" w:type="dxa"/>
          </w:tcPr>
          <w:p w14:paraId="1D27BD5F"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Excessive^</w:t>
            </w:r>
          </w:p>
        </w:tc>
        <w:tc>
          <w:tcPr>
            <w:tcW w:w="5265" w:type="dxa"/>
          </w:tcPr>
          <w:p w14:paraId="1898AD98"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Risk of adverse health consequences</w:t>
            </w:r>
          </w:p>
        </w:tc>
      </w:tr>
      <w:tr w:rsidR="003E5592" w:rsidRPr="003E5592" w14:paraId="5DC2F36D" w14:textId="77777777" w:rsidTr="003E55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val="restart"/>
          </w:tcPr>
          <w:p w14:paraId="59FE3473" w14:textId="77777777" w:rsidR="003E5592" w:rsidRPr="003E5592" w:rsidRDefault="003E5592" w:rsidP="003E5592">
            <w:r w:rsidRPr="003E5592">
              <w:t>During pregnancy</w:t>
            </w:r>
          </w:p>
        </w:tc>
        <w:tc>
          <w:tcPr>
            <w:tcW w:w="1860" w:type="dxa"/>
          </w:tcPr>
          <w:p w14:paraId="082F084E"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&lt;150</w:t>
            </w:r>
          </w:p>
        </w:tc>
        <w:tc>
          <w:tcPr>
            <w:tcW w:w="2880" w:type="dxa"/>
          </w:tcPr>
          <w:p w14:paraId="0F5E5ABA"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Insufficient</w:t>
            </w:r>
          </w:p>
        </w:tc>
        <w:tc>
          <w:tcPr>
            <w:tcW w:w="5265" w:type="dxa"/>
          </w:tcPr>
          <w:p w14:paraId="31CB4280"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rPr>
                <w:highlight w:val="yellow"/>
              </w:rPr>
            </w:pPr>
          </w:p>
        </w:tc>
      </w:tr>
      <w:tr w:rsidR="003E5592" w:rsidRPr="003E5592" w14:paraId="4741012A" w14:textId="77777777" w:rsidTr="003E55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tcPr>
          <w:p w14:paraId="1B018F04" w14:textId="77777777" w:rsidR="003E5592" w:rsidRPr="003E5592" w:rsidRDefault="003E5592" w:rsidP="003E5592"/>
        </w:tc>
        <w:tc>
          <w:tcPr>
            <w:tcW w:w="1860" w:type="dxa"/>
          </w:tcPr>
          <w:p w14:paraId="25D84DF1"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150 - 249</w:t>
            </w:r>
          </w:p>
        </w:tc>
        <w:tc>
          <w:tcPr>
            <w:tcW w:w="2880" w:type="dxa"/>
          </w:tcPr>
          <w:p w14:paraId="7632E6F2"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Adequate</w:t>
            </w:r>
          </w:p>
        </w:tc>
        <w:tc>
          <w:tcPr>
            <w:tcW w:w="5265" w:type="dxa"/>
          </w:tcPr>
          <w:p w14:paraId="19D2CE4C"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rPr>
                <w:highlight w:val="yellow"/>
              </w:rPr>
            </w:pPr>
          </w:p>
        </w:tc>
      </w:tr>
      <w:tr w:rsidR="003E5592" w:rsidRPr="003E5592" w14:paraId="0895A54D" w14:textId="77777777" w:rsidTr="003E5592">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070" w:type="dxa"/>
            <w:vMerge/>
          </w:tcPr>
          <w:p w14:paraId="23D69402" w14:textId="77777777" w:rsidR="003E5592" w:rsidRPr="003E5592" w:rsidRDefault="003E5592" w:rsidP="003E5592"/>
        </w:tc>
        <w:tc>
          <w:tcPr>
            <w:tcW w:w="1860" w:type="dxa"/>
          </w:tcPr>
          <w:p w14:paraId="79F8CBD7"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250 - 499</w:t>
            </w:r>
          </w:p>
        </w:tc>
        <w:tc>
          <w:tcPr>
            <w:tcW w:w="2880" w:type="dxa"/>
          </w:tcPr>
          <w:p w14:paraId="58B1035F"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Above requirements</w:t>
            </w:r>
          </w:p>
        </w:tc>
        <w:tc>
          <w:tcPr>
            <w:tcW w:w="5265" w:type="dxa"/>
          </w:tcPr>
          <w:p w14:paraId="19DB2E8D"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rPr>
                <w:highlight w:val="yellow"/>
              </w:rPr>
            </w:pPr>
          </w:p>
        </w:tc>
      </w:tr>
      <w:tr w:rsidR="003E5592" w:rsidRPr="003E5592" w14:paraId="40219882" w14:textId="77777777" w:rsidTr="003E55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tcPr>
          <w:p w14:paraId="6FF338C9" w14:textId="77777777" w:rsidR="003E5592" w:rsidRPr="003E5592" w:rsidRDefault="003E5592" w:rsidP="003E5592"/>
        </w:tc>
        <w:tc>
          <w:tcPr>
            <w:tcW w:w="1860" w:type="dxa"/>
          </w:tcPr>
          <w:p w14:paraId="60D6719A"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rPr>
                <w:rFonts w:ascii="Cambria Math" w:hAnsi="Cambria Math" w:cs="Cambria Math"/>
              </w:rPr>
              <w:t>≥</w:t>
            </w:r>
            <w:r w:rsidRPr="003E5592">
              <w:t>500</w:t>
            </w:r>
          </w:p>
        </w:tc>
        <w:tc>
          <w:tcPr>
            <w:tcW w:w="2880" w:type="dxa"/>
          </w:tcPr>
          <w:p w14:paraId="1DD10115"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Excessive^</w:t>
            </w:r>
          </w:p>
        </w:tc>
        <w:tc>
          <w:tcPr>
            <w:tcW w:w="5265" w:type="dxa"/>
          </w:tcPr>
          <w:p w14:paraId="762337D3"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p>
        </w:tc>
      </w:tr>
      <w:tr w:rsidR="003E5592" w:rsidRPr="003E5592" w14:paraId="06BE5BCF" w14:textId="77777777" w:rsidTr="003E55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val="restart"/>
          </w:tcPr>
          <w:p w14:paraId="63E47AA2" w14:textId="77777777" w:rsidR="003E5592" w:rsidRPr="003E5592" w:rsidRDefault="003E5592" w:rsidP="003E5592">
            <w:r w:rsidRPr="003E5592">
              <w:t>During lactation</w:t>
            </w:r>
          </w:p>
        </w:tc>
        <w:tc>
          <w:tcPr>
            <w:tcW w:w="1860" w:type="dxa"/>
          </w:tcPr>
          <w:p w14:paraId="4F4176A9"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&lt;100</w:t>
            </w:r>
          </w:p>
        </w:tc>
        <w:tc>
          <w:tcPr>
            <w:tcW w:w="2880" w:type="dxa"/>
          </w:tcPr>
          <w:p w14:paraId="1D721B1F"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r w:rsidRPr="003E5592">
              <w:t>Insufficient</w:t>
            </w:r>
          </w:p>
        </w:tc>
        <w:tc>
          <w:tcPr>
            <w:tcW w:w="5265" w:type="dxa"/>
          </w:tcPr>
          <w:p w14:paraId="3D87330D" w14:textId="77777777" w:rsidR="003E5592" w:rsidRPr="003E5592" w:rsidRDefault="003E5592" w:rsidP="003E5592">
            <w:pPr>
              <w:cnfStyle w:val="000000100000" w:firstRow="0" w:lastRow="0" w:firstColumn="0" w:lastColumn="0" w:oddVBand="0" w:evenVBand="0" w:oddHBand="1" w:evenHBand="0" w:firstRowFirstColumn="0" w:firstRowLastColumn="0" w:lastRowFirstColumn="0" w:lastRowLastColumn="0"/>
            </w:pPr>
          </w:p>
        </w:tc>
      </w:tr>
      <w:tr w:rsidR="003E5592" w:rsidRPr="003E5592" w14:paraId="58BDD106" w14:textId="77777777" w:rsidTr="003E55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Merge/>
          </w:tcPr>
          <w:p w14:paraId="4FD4BEC2" w14:textId="77777777" w:rsidR="003E5592" w:rsidRPr="003E5592" w:rsidRDefault="003E5592" w:rsidP="003E5592"/>
        </w:tc>
        <w:tc>
          <w:tcPr>
            <w:tcW w:w="1860" w:type="dxa"/>
          </w:tcPr>
          <w:p w14:paraId="2FA6F8E9"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rPr>
                <w:rFonts w:ascii="Cambria Math" w:hAnsi="Cambria Math" w:cs="Cambria Math"/>
              </w:rPr>
              <w:t>≥</w:t>
            </w:r>
            <w:r w:rsidRPr="003E5592">
              <w:t>100</w:t>
            </w:r>
          </w:p>
        </w:tc>
        <w:tc>
          <w:tcPr>
            <w:tcW w:w="2880" w:type="dxa"/>
          </w:tcPr>
          <w:p w14:paraId="33A7D3B8"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r w:rsidRPr="003E5592">
              <w:t>Adequate</w:t>
            </w:r>
          </w:p>
        </w:tc>
        <w:tc>
          <w:tcPr>
            <w:tcW w:w="5265" w:type="dxa"/>
          </w:tcPr>
          <w:p w14:paraId="487201DA" w14:textId="77777777" w:rsidR="003E5592" w:rsidRPr="003E5592" w:rsidRDefault="003E5592" w:rsidP="003E5592">
            <w:pPr>
              <w:cnfStyle w:val="000000010000" w:firstRow="0" w:lastRow="0" w:firstColumn="0" w:lastColumn="0" w:oddVBand="0" w:evenVBand="0" w:oddHBand="0" w:evenHBand="1" w:firstRowFirstColumn="0" w:firstRowLastColumn="0" w:lastRowFirstColumn="0" w:lastRowLastColumn="0"/>
            </w:pPr>
          </w:p>
        </w:tc>
      </w:tr>
    </w:tbl>
    <w:p w14:paraId="0508C24D" w14:textId="36BA00E5" w:rsidR="003E5592" w:rsidRDefault="003E5592" w:rsidP="003E5592">
      <w:pPr>
        <w:ind w:left="360"/>
        <w:rPr>
          <w:rFonts w:eastAsia="Arial"/>
          <w:sz w:val="18"/>
        </w:rPr>
      </w:pPr>
      <w:r w:rsidRPr="009502A6">
        <w:rPr>
          <w:rFonts w:eastAsia="Arial"/>
          <w:sz w:val="18"/>
        </w:rPr>
        <w:t xml:space="preserve">^ In this context, the term ‘excessive’ denotes an intake </w:t>
      </w:r>
      <w:proofErr w:type="gramStart"/>
      <w:r w:rsidRPr="009502A6">
        <w:rPr>
          <w:rFonts w:eastAsia="Arial"/>
          <w:sz w:val="18"/>
        </w:rPr>
        <w:t>in excess of</w:t>
      </w:r>
      <w:proofErr w:type="gramEnd"/>
      <w:r w:rsidRPr="009502A6">
        <w:rPr>
          <w:rFonts w:eastAsia="Arial"/>
          <w:sz w:val="18"/>
        </w:rPr>
        <w:t xml:space="preserve"> that required for prevention and control of iodine deficiency. It is not synonymous with an ‘Upper Level’ at which there is an elevated risk of toxicological effects.</w:t>
      </w:r>
    </w:p>
    <w:p w14:paraId="18C13273" w14:textId="77777777" w:rsidR="003E5592" w:rsidRDefault="003E5592">
      <w:pPr>
        <w:spacing w:line="240" w:lineRule="atLeast"/>
        <w:rPr>
          <w:rFonts w:eastAsia="Arial"/>
          <w:sz w:val="18"/>
        </w:rPr>
      </w:pPr>
      <w:r>
        <w:rPr>
          <w:rFonts w:eastAsia="Arial"/>
          <w:sz w:val="18"/>
        </w:rPr>
        <w:br w:type="page"/>
      </w:r>
    </w:p>
    <w:p w14:paraId="59AC56D4" w14:textId="77777777" w:rsidR="003E5592" w:rsidRPr="003E5592" w:rsidRDefault="003E5592" w:rsidP="003E5592">
      <w:pPr>
        <w:pStyle w:val="Heading4"/>
      </w:pPr>
      <w:bookmarkStart w:id="200" w:name="_Toc210406420"/>
      <w:bookmarkStart w:id="201" w:name="_Toc212567923"/>
      <w:r w:rsidRPr="003E5592">
        <w:lastRenderedPageBreak/>
        <w:t>Evidence to decision tables</w:t>
      </w:r>
      <w:bookmarkEnd w:id="200"/>
      <w:bookmarkEnd w:id="201"/>
      <w:r w:rsidRPr="003E5592">
        <w:t xml:space="preserve"> </w:t>
      </w:r>
    </w:p>
    <w:p w14:paraId="66CF3891" w14:textId="7D5C6E6C" w:rsidR="003E5592" w:rsidRPr="003E5592" w:rsidRDefault="003E5592" w:rsidP="003E5592">
      <w:pPr>
        <w:pStyle w:val="Heading5"/>
      </w:pPr>
      <w:r w:rsidRPr="003E5592">
        <w:t>Adults</w:t>
      </w:r>
    </w:p>
    <w:tbl>
      <w:tblPr>
        <w:tblStyle w:val="DefaultTable1"/>
        <w:tblW w:w="5428" w:type="pct"/>
        <w:jc w:val="center"/>
        <w:tblInd w:w="0" w:type="dxa"/>
        <w:tblLayout w:type="fixed"/>
        <w:tblLook w:val="04A0" w:firstRow="1" w:lastRow="0" w:firstColumn="1" w:lastColumn="0" w:noHBand="0" w:noVBand="1"/>
      </w:tblPr>
      <w:tblGrid>
        <w:gridCol w:w="2269"/>
        <w:gridCol w:w="6195"/>
        <w:gridCol w:w="6136"/>
      </w:tblGrid>
      <w:tr w:rsidR="003E5592" w:rsidRPr="00211817" w14:paraId="77B31ACA" w14:textId="77777777" w:rsidTr="000362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48CF7D8B" w14:textId="77777777" w:rsidR="003E5592" w:rsidRPr="00211817" w:rsidRDefault="003E5592">
            <w:pPr>
              <w:rPr>
                <w:rFonts w:eastAsia="Times New Roman" w:cs="Times New Roman"/>
                <w:szCs w:val="20"/>
              </w:rPr>
            </w:pPr>
            <w:r w:rsidRPr="00211817">
              <w:rPr>
                <w:rFonts w:eastAsia="Times New Roman" w:cs="Arial"/>
                <w:szCs w:val="20"/>
              </w:rPr>
              <w:t>Criterion</w:t>
            </w:r>
          </w:p>
        </w:tc>
        <w:tc>
          <w:tcPr>
            <w:tcW w:w="6195" w:type="dxa"/>
          </w:tcPr>
          <w:p w14:paraId="5B100FFE" w14:textId="77777777" w:rsidR="003E5592" w:rsidRPr="00211817" w:rsidRDefault="003E5592">
            <w:pPr>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u w:val="single"/>
              </w:rPr>
              <w:t>OPTION 1</w:t>
            </w:r>
            <w:r w:rsidRPr="00211817">
              <w:rPr>
                <w:rFonts w:eastAsia="Times New Roman" w:cs="Times New Roman"/>
                <w:szCs w:val="20"/>
              </w:rPr>
              <w:t>:</w:t>
            </w:r>
          </w:p>
          <w:p w14:paraId="12425C97" w14:textId="77777777" w:rsidR="003E5592" w:rsidRPr="00211817" w:rsidRDefault="003E5592">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rPr>
              <w:t>Maintain current recommendations (EAR &amp; RDI)</w:t>
            </w:r>
          </w:p>
          <w:p w14:paraId="16E6D41D" w14:textId="77777777" w:rsidR="003E5592" w:rsidRPr="00211817" w:rsidRDefault="003E5592">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rPr>
              <w:t>Adapt current NRVs to new age groupings</w:t>
            </w:r>
          </w:p>
        </w:tc>
        <w:tc>
          <w:tcPr>
            <w:tcW w:w="6136" w:type="dxa"/>
          </w:tcPr>
          <w:p w14:paraId="30642C69" w14:textId="77777777" w:rsidR="003E5592" w:rsidRPr="00211817" w:rsidRDefault="003E5592">
            <w:pPr>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u w:val="single"/>
              </w:rPr>
              <w:t>OPTION 2</w:t>
            </w:r>
            <w:r w:rsidRPr="00211817">
              <w:rPr>
                <w:rFonts w:eastAsia="Times New Roman" w:cs="Times New Roman"/>
                <w:szCs w:val="20"/>
              </w:rPr>
              <w:t>:</w:t>
            </w:r>
          </w:p>
          <w:p w14:paraId="0E0883C0" w14:textId="77777777" w:rsidR="003E5592" w:rsidRPr="00211817" w:rsidRDefault="003E5592">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rPr>
              <w:t>Revise recommendations to AIs to reflect uncertainty in evidence base</w:t>
            </w:r>
          </w:p>
        </w:tc>
      </w:tr>
      <w:tr w:rsidR="003E5592" w:rsidRPr="00211817" w14:paraId="29A4B6D4" w14:textId="77777777" w:rsidTr="000362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tcPr>
          <w:p w14:paraId="2D17A082" w14:textId="77777777" w:rsidR="003E5592" w:rsidRPr="00211817" w:rsidRDefault="003E5592">
            <w:pPr>
              <w:rPr>
                <w:rFonts w:eastAsia="Times New Roman" w:cs="Arial"/>
                <w:szCs w:val="20"/>
              </w:rPr>
            </w:pPr>
            <w:r w:rsidRPr="00211817">
              <w:rPr>
                <w:rFonts w:eastAsia="Times New Roman" w:cs="Arial"/>
                <w:szCs w:val="20"/>
              </w:rPr>
              <w:t>Example recommendation</w:t>
            </w:r>
          </w:p>
        </w:tc>
        <w:tc>
          <w:tcPr>
            <w:tcW w:w="6195" w:type="dxa"/>
          </w:tcPr>
          <w:tbl>
            <w:tblPr>
              <w:tblStyle w:val="TableGrid2"/>
              <w:tblW w:w="5245" w:type="dxa"/>
              <w:tblInd w:w="0" w:type="dxa"/>
              <w:tblLook w:val="04A0" w:firstRow="1" w:lastRow="0" w:firstColumn="1" w:lastColumn="0" w:noHBand="0" w:noVBand="1"/>
            </w:tblPr>
            <w:tblGrid>
              <w:gridCol w:w="2697"/>
              <w:gridCol w:w="1275"/>
              <w:gridCol w:w="1273"/>
            </w:tblGrid>
            <w:tr w:rsidR="00211817" w:rsidRPr="00211817" w14:paraId="6C50397D" w14:textId="77777777" w:rsidTr="008346F6">
              <w:tc>
                <w:tcPr>
                  <w:tcW w:w="2697" w:type="dxa"/>
                </w:tcPr>
                <w:p w14:paraId="7A32E931" w14:textId="77777777" w:rsidR="00211817" w:rsidRPr="00211817" w:rsidRDefault="00211817">
                  <w:pPr>
                    <w:spacing w:after="0"/>
                    <w:rPr>
                      <w:rFonts w:eastAsia="Times New Roman" w:cs="Arial"/>
                      <w:b/>
                      <w:bCs/>
                      <w:i/>
                      <w:iCs/>
                      <w:szCs w:val="20"/>
                    </w:rPr>
                  </w:pPr>
                </w:p>
              </w:tc>
              <w:tc>
                <w:tcPr>
                  <w:tcW w:w="1275" w:type="dxa"/>
                </w:tcPr>
                <w:p w14:paraId="0E28ED1F" w14:textId="77777777" w:rsidR="00211817" w:rsidRPr="00211817" w:rsidRDefault="00211817">
                  <w:pPr>
                    <w:spacing w:after="0"/>
                    <w:jc w:val="center"/>
                    <w:rPr>
                      <w:rFonts w:eastAsia="Times New Roman" w:cs="Arial"/>
                      <w:b/>
                      <w:bCs/>
                      <w:i/>
                      <w:iCs/>
                      <w:szCs w:val="20"/>
                    </w:rPr>
                  </w:pPr>
                  <w:r w:rsidRPr="00211817">
                    <w:rPr>
                      <w:rFonts w:eastAsia="Times New Roman" w:cs="Arial"/>
                      <w:b/>
                      <w:bCs/>
                      <w:i/>
                      <w:iCs/>
                      <w:szCs w:val="20"/>
                    </w:rPr>
                    <w:t>EAR</w:t>
                  </w:r>
                </w:p>
                <w:p w14:paraId="531D7C87" w14:textId="77777777" w:rsidR="00211817" w:rsidRPr="00211817" w:rsidRDefault="00211817">
                  <w:pPr>
                    <w:spacing w:after="0"/>
                    <w:jc w:val="center"/>
                    <w:rPr>
                      <w:rFonts w:eastAsia="Times New Roman" w:cs="Arial"/>
                      <w:b/>
                      <w:bCs/>
                      <w:i/>
                      <w:iCs/>
                      <w:szCs w:val="20"/>
                    </w:rPr>
                  </w:pPr>
                  <w:r w:rsidRPr="00211817">
                    <w:rPr>
                      <w:rFonts w:eastAsia="Times New Roman" w:cs="Arial"/>
                      <w:b/>
                      <w:bCs/>
                      <w:i/>
                      <w:iCs/>
                      <w:szCs w:val="20"/>
                    </w:rPr>
                    <w:t>(</w:t>
                  </w:r>
                  <w:proofErr w:type="spellStart"/>
                  <w:r w:rsidRPr="00211817">
                    <w:rPr>
                      <w:rFonts w:eastAsia="Times New Roman" w:cs="Arial"/>
                      <w:i/>
                      <w:iCs/>
                      <w:szCs w:val="20"/>
                    </w:rPr>
                    <w:t>μg</w:t>
                  </w:r>
                  <w:proofErr w:type="spellEnd"/>
                  <w:r w:rsidRPr="00211817">
                    <w:rPr>
                      <w:rFonts w:eastAsia="Times New Roman" w:cs="Arial"/>
                      <w:i/>
                      <w:iCs/>
                      <w:szCs w:val="20"/>
                    </w:rPr>
                    <w:t>/day)</w:t>
                  </w:r>
                </w:p>
              </w:tc>
              <w:tc>
                <w:tcPr>
                  <w:tcW w:w="1273" w:type="dxa"/>
                </w:tcPr>
                <w:p w14:paraId="2D3F1EB6" w14:textId="77777777" w:rsidR="00211817" w:rsidRPr="00211817" w:rsidRDefault="00211817">
                  <w:pPr>
                    <w:spacing w:after="0"/>
                    <w:jc w:val="center"/>
                    <w:rPr>
                      <w:rFonts w:eastAsia="Times New Roman" w:cs="Arial"/>
                      <w:b/>
                      <w:bCs/>
                      <w:i/>
                      <w:iCs/>
                      <w:szCs w:val="20"/>
                    </w:rPr>
                  </w:pPr>
                  <w:r w:rsidRPr="00211817">
                    <w:rPr>
                      <w:rFonts w:eastAsia="Times New Roman" w:cs="Arial"/>
                      <w:b/>
                      <w:bCs/>
                      <w:i/>
                      <w:iCs/>
                      <w:szCs w:val="20"/>
                    </w:rPr>
                    <w:t>RDI</w:t>
                  </w:r>
                </w:p>
                <w:p w14:paraId="6989F386" w14:textId="77777777" w:rsidR="00211817" w:rsidRPr="00211817" w:rsidRDefault="00211817">
                  <w:pPr>
                    <w:spacing w:after="0"/>
                    <w:jc w:val="center"/>
                    <w:rPr>
                      <w:rFonts w:eastAsia="Times New Roman" w:cs="Arial"/>
                      <w:b/>
                      <w:bCs/>
                      <w:i/>
                      <w:iCs/>
                      <w:szCs w:val="20"/>
                    </w:rPr>
                  </w:pPr>
                  <w:r w:rsidRPr="00211817">
                    <w:rPr>
                      <w:rFonts w:eastAsia="Times New Roman" w:cs="Arial"/>
                      <w:b/>
                      <w:bCs/>
                      <w:i/>
                      <w:iCs/>
                      <w:szCs w:val="20"/>
                    </w:rPr>
                    <w:t>(</w:t>
                  </w:r>
                  <w:proofErr w:type="spellStart"/>
                  <w:r w:rsidRPr="00211817">
                    <w:rPr>
                      <w:rFonts w:eastAsia="Times New Roman" w:cs="Arial"/>
                      <w:i/>
                      <w:iCs/>
                      <w:szCs w:val="20"/>
                    </w:rPr>
                    <w:t>μg</w:t>
                  </w:r>
                  <w:proofErr w:type="spellEnd"/>
                  <w:r w:rsidRPr="00211817">
                    <w:rPr>
                      <w:rFonts w:eastAsia="Times New Roman" w:cs="Arial"/>
                      <w:i/>
                      <w:iCs/>
                      <w:szCs w:val="20"/>
                    </w:rPr>
                    <w:t>/day)</w:t>
                  </w:r>
                </w:p>
              </w:tc>
            </w:tr>
            <w:tr w:rsidR="00211817" w:rsidRPr="00211817" w14:paraId="77ECC246" w14:textId="77777777" w:rsidTr="008346F6">
              <w:tc>
                <w:tcPr>
                  <w:tcW w:w="5245" w:type="dxa"/>
                  <w:gridSpan w:val="3"/>
                </w:tcPr>
                <w:p w14:paraId="10285FB8" w14:textId="62A1D912" w:rsidR="00211817" w:rsidRPr="00211817" w:rsidRDefault="00211817" w:rsidP="00211817">
                  <w:pPr>
                    <w:rPr>
                      <w:b/>
                      <w:bCs/>
                      <w:i/>
                      <w:iCs/>
                    </w:rPr>
                  </w:pPr>
                  <w:r w:rsidRPr="00211817">
                    <w:rPr>
                      <w:b/>
                      <w:bCs/>
                      <w:i/>
                      <w:iCs/>
                    </w:rPr>
                    <w:t>Males</w:t>
                  </w:r>
                </w:p>
              </w:tc>
            </w:tr>
            <w:tr w:rsidR="00211817" w:rsidRPr="00211817" w14:paraId="06E3F68E" w14:textId="77777777" w:rsidTr="008346F6">
              <w:tc>
                <w:tcPr>
                  <w:tcW w:w="2697" w:type="dxa"/>
                  <w:tcMar>
                    <w:left w:w="170" w:type="dxa"/>
                  </w:tcMar>
                </w:tcPr>
                <w:p w14:paraId="13B6C593"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18 to under 30 years</w:t>
                  </w:r>
                </w:p>
              </w:tc>
              <w:tc>
                <w:tcPr>
                  <w:tcW w:w="1275" w:type="dxa"/>
                </w:tcPr>
                <w:p w14:paraId="65C64C8D"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0373A740"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r w:rsidR="00211817" w:rsidRPr="00211817" w14:paraId="01ABEA53" w14:textId="77777777" w:rsidTr="008346F6">
              <w:tc>
                <w:tcPr>
                  <w:tcW w:w="2697" w:type="dxa"/>
                  <w:tcMar>
                    <w:left w:w="170" w:type="dxa"/>
                  </w:tcMar>
                </w:tcPr>
                <w:p w14:paraId="40075AB6"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30 to under 50 years</w:t>
                  </w:r>
                </w:p>
              </w:tc>
              <w:tc>
                <w:tcPr>
                  <w:tcW w:w="1275" w:type="dxa"/>
                </w:tcPr>
                <w:p w14:paraId="752FCA76"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4577029C"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r w:rsidR="00211817" w:rsidRPr="00211817" w14:paraId="6D4502F0" w14:textId="77777777" w:rsidTr="008346F6">
              <w:tc>
                <w:tcPr>
                  <w:tcW w:w="2697" w:type="dxa"/>
                  <w:tcMar>
                    <w:left w:w="170" w:type="dxa"/>
                  </w:tcMar>
                </w:tcPr>
                <w:p w14:paraId="00B0FD9B"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50 to under 65 years</w:t>
                  </w:r>
                </w:p>
              </w:tc>
              <w:tc>
                <w:tcPr>
                  <w:tcW w:w="1275" w:type="dxa"/>
                </w:tcPr>
                <w:p w14:paraId="20FDD596"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44F7B0C3"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r w:rsidR="00211817" w:rsidRPr="00211817" w14:paraId="35374DB1" w14:textId="77777777" w:rsidTr="008346F6">
              <w:tc>
                <w:tcPr>
                  <w:tcW w:w="2697" w:type="dxa"/>
                  <w:tcMar>
                    <w:left w:w="170" w:type="dxa"/>
                  </w:tcMar>
                </w:tcPr>
                <w:p w14:paraId="7BC8000A"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65 to under 75 years</w:t>
                  </w:r>
                </w:p>
              </w:tc>
              <w:tc>
                <w:tcPr>
                  <w:tcW w:w="1275" w:type="dxa"/>
                </w:tcPr>
                <w:p w14:paraId="42B686A7"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6F589ACB"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r w:rsidR="00211817" w:rsidRPr="00211817" w14:paraId="07595B03" w14:textId="77777777" w:rsidTr="008346F6">
              <w:tc>
                <w:tcPr>
                  <w:tcW w:w="2697" w:type="dxa"/>
                  <w:tcMar>
                    <w:left w:w="170" w:type="dxa"/>
                  </w:tcMar>
                </w:tcPr>
                <w:p w14:paraId="5C4CB522"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75 years and older</w:t>
                  </w:r>
                </w:p>
              </w:tc>
              <w:tc>
                <w:tcPr>
                  <w:tcW w:w="1275" w:type="dxa"/>
                </w:tcPr>
                <w:p w14:paraId="05CDC122"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4176D86B"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r w:rsidR="00211817" w:rsidRPr="00211817" w14:paraId="7DBB805B" w14:textId="77777777" w:rsidTr="008346F6">
              <w:trPr>
                <w:trHeight w:val="567"/>
              </w:trPr>
              <w:tc>
                <w:tcPr>
                  <w:tcW w:w="5245" w:type="dxa"/>
                  <w:gridSpan w:val="3"/>
                  <w:vAlign w:val="center"/>
                </w:tcPr>
                <w:p w14:paraId="0380C2BD" w14:textId="6F799591" w:rsidR="00211817" w:rsidRPr="00211817" w:rsidRDefault="00211817" w:rsidP="00211817">
                  <w:pPr>
                    <w:rPr>
                      <w:b/>
                      <w:bCs/>
                      <w:i/>
                      <w:iCs/>
                    </w:rPr>
                  </w:pPr>
                  <w:r w:rsidRPr="00211817">
                    <w:rPr>
                      <w:b/>
                      <w:bCs/>
                      <w:i/>
                      <w:iCs/>
                    </w:rPr>
                    <w:t>Females</w:t>
                  </w:r>
                </w:p>
              </w:tc>
            </w:tr>
            <w:tr w:rsidR="00211817" w:rsidRPr="00211817" w14:paraId="5CF581D9" w14:textId="77777777" w:rsidTr="008346F6">
              <w:tc>
                <w:tcPr>
                  <w:tcW w:w="2697" w:type="dxa"/>
                  <w:tcMar>
                    <w:left w:w="170" w:type="dxa"/>
                  </w:tcMar>
                </w:tcPr>
                <w:p w14:paraId="1221C4CA"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18 to under 30 years</w:t>
                  </w:r>
                </w:p>
              </w:tc>
              <w:tc>
                <w:tcPr>
                  <w:tcW w:w="1275" w:type="dxa"/>
                </w:tcPr>
                <w:p w14:paraId="34873BC5"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430CCBDC"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r w:rsidR="00211817" w:rsidRPr="00211817" w14:paraId="630E2B26" w14:textId="77777777" w:rsidTr="008346F6">
              <w:tc>
                <w:tcPr>
                  <w:tcW w:w="2697" w:type="dxa"/>
                  <w:tcMar>
                    <w:left w:w="170" w:type="dxa"/>
                  </w:tcMar>
                </w:tcPr>
                <w:p w14:paraId="3643DCBD"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30 to under 50 years</w:t>
                  </w:r>
                </w:p>
              </w:tc>
              <w:tc>
                <w:tcPr>
                  <w:tcW w:w="1275" w:type="dxa"/>
                </w:tcPr>
                <w:p w14:paraId="64780F0E"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6CE68877"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r w:rsidR="00211817" w:rsidRPr="00211817" w14:paraId="7C436AF6" w14:textId="77777777" w:rsidTr="008346F6">
              <w:tc>
                <w:tcPr>
                  <w:tcW w:w="2697" w:type="dxa"/>
                  <w:tcMar>
                    <w:left w:w="170" w:type="dxa"/>
                  </w:tcMar>
                </w:tcPr>
                <w:p w14:paraId="0514AE94"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50 to under 65 years</w:t>
                  </w:r>
                </w:p>
              </w:tc>
              <w:tc>
                <w:tcPr>
                  <w:tcW w:w="1275" w:type="dxa"/>
                </w:tcPr>
                <w:p w14:paraId="057A1F30"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390B297D"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r w:rsidR="00211817" w:rsidRPr="00211817" w14:paraId="223671C0" w14:textId="77777777" w:rsidTr="008346F6">
              <w:tc>
                <w:tcPr>
                  <w:tcW w:w="2697" w:type="dxa"/>
                  <w:tcMar>
                    <w:left w:w="170" w:type="dxa"/>
                  </w:tcMar>
                </w:tcPr>
                <w:p w14:paraId="4DB46794"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65 to under 75 years</w:t>
                  </w:r>
                </w:p>
              </w:tc>
              <w:tc>
                <w:tcPr>
                  <w:tcW w:w="1275" w:type="dxa"/>
                </w:tcPr>
                <w:p w14:paraId="1CF6753B"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35FC1174"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r w:rsidR="00211817" w:rsidRPr="00211817" w14:paraId="2B2CED4D" w14:textId="77777777" w:rsidTr="008346F6">
              <w:tc>
                <w:tcPr>
                  <w:tcW w:w="2697" w:type="dxa"/>
                  <w:tcMar>
                    <w:left w:w="170" w:type="dxa"/>
                  </w:tcMar>
                </w:tcPr>
                <w:p w14:paraId="7E81AE27" w14:textId="77777777" w:rsidR="00211817" w:rsidRPr="00211817" w:rsidRDefault="00211817">
                  <w:pPr>
                    <w:spacing w:after="0"/>
                    <w:rPr>
                      <w:rFonts w:eastAsia="Times New Roman" w:cs="Arial"/>
                      <w:b/>
                      <w:bCs/>
                      <w:i/>
                      <w:iCs/>
                      <w:szCs w:val="20"/>
                    </w:rPr>
                  </w:pPr>
                  <w:r w:rsidRPr="00211817">
                    <w:rPr>
                      <w:rFonts w:eastAsia="Times New Roman" w:cs="Arial"/>
                      <w:b/>
                      <w:bCs/>
                      <w:i/>
                      <w:iCs/>
                      <w:szCs w:val="20"/>
                    </w:rPr>
                    <w:t>75 years and older</w:t>
                  </w:r>
                </w:p>
              </w:tc>
              <w:tc>
                <w:tcPr>
                  <w:tcW w:w="1275" w:type="dxa"/>
                </w:tcPr>
                <w:p w14:paraId="5003083A"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100</w:t>
                  </w:r>
                </w:p>
              </w:tc>
              <w:tc>
                <w:tcPr>
                  <w:tcW w:w="1273" w:type="dxa"/>
                </w:tcPr>
                <w:p w14:paraId="1F5F6EDE" w14:textId="77777777" w:rsidR="00211817" w:rsidRPr="00211817" w:rsidRDefault="00211817">
                  <w:pPr>
                    <w:spacing w:after="0"/>
                    <w:jc w:val="center"/>
                    <w:rPr>
                      <w:rFonts w:eastAsia="Times New Roman" w:cs="Arial"/>
                      <w:i/>
                      <w:iCs/>
                      <w:szCs w:val="20"/>
                    </w:rPr>
                  </w:pPr>
                  <w:r w:rsidRPr="00211817">
                    <w:rPr>
                      <w:rFonts w:eastAsia="Times New Roman" w:cs="Arial"/>
                      <w:i/>
                      <w:iCs/>
                      <w:szCs w:val="20"/>
                    </w:rPr>
                    <w:t>150</w:t>
                  </w:r>
                </w:p>
              </w:tc>
            </w:tr>
          </w:tbl>
          <w:p w14:paraId="759874B7" w14:textId="77777777" w:rsidR="003E5592" w:rsidRPr="00211817" w:rsidRDefault="003E5592">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i/>
                <w:iCs/>
                <w:szCs w:val="20"/>
              </w:rPr>
            </w:pPr>
          </w:p>
        </w:tc>
        <w:tc>
          <w:tcPr>
            <w:tcW w:w="6136" w:type="dxa"/>
          </w:tcPr>
          <w:tbl>
            <w:tblPr>
              <w:tblStyle w:val="TableGrid2"/>
              <w:tblpPr w:leftFromText="180" w:rightFromText="180" w:vertAnchor="text" w:horzAnchor="margin" w:tblpY="29"/>
              <w:tblOverlap w:val="never"/>
              <w:tblW w:w="0" w:type="auto"/>
              <w:tblInd w:w="0" w:type="dxa"/>
              <w:tblLook w:val="04A0" w:firstRow="1" w:lastRow="0" w:firstColumn="1" w:lastColumn="0" w:noHBand="0" w:noVBand="1"/>
            </w:tblPr>
            <w:tblGrid>
              <w:gridCol w:w="2693"/>
              <w:gridCol w:w="1701"/>
            </w:tblGrid>
            <w:tr w:rsidR="00175AC7" w:rsidRPr="00211817" w14:paraId="464B121E" w14:textId="77777777" w:rsidTr="00175AC7">
              <w:tc>
                <w:tcPr>
                  <w:tcW w:w="2693" w:type="dxa"/>
                </w:tcPr>
                <w:p w14:paraId="682F7024" w14:textId="77777777" w:rsidR="00175AC7" w:rsidRPr="00211817" w:rsidRDefault="00175AC7">
                  <w:pPr>
                    <w:spacing w:after="0"/>
                    <w:rPr>
                      <w:rFonts w:eastAsia="Times New Roman" w:cs="Arial"/>
                      <w:b/>
                      <w:bCs/>
                      <w:i/>
                      <w:iCs/>
                      <w:szCs w:val="20"/>
                    </w:rPr>
                  </w:pPr>
                </w:p>
              </w:tc>
              <w:tc>
                <w:tcPr>
                  <w:tcW w:w="1701" w:type="dxa"/>
                </w:tcPr>
                <w:p w14:paraId="7EEE1594" w14:textId="77777777" w:rsidR="00175AC7" w:rsidRPr="00211817" w:rsidRDefault="00175AC7">
                  <w:pPr>
                    <w:spacing w:after="0"/>
                    <w:jc w:val="center"/>
                    <w:rPr>
                      <w:rFonts w:eastAsia="Times New Roman" w:cs="Arial"/>
                      <w:b/>
                      <w:bCs/>
                      <w:i/>
                      <w:iCs/>
                      <w:szCs w:val="20"/>
                    </w:rPr>
                  </w:pPr>
                  <w:r w:rsidRPr="00211817">
                    <w:rPr>
                      <w:rFonts w:eastAsia="Times New Roman" w:cs="Arial"/>
                      <w:b/>
                      <w:bCs/>
                      <w:i/>
                      <w:iCs/>
                      <w:szCs w:val="20"/>
                    </w:rPr>
                    <w:t>AI</w:t>
                  </w:r>
                </w:p>
                <w:p w14:paraId="0EBEBC50" w14:textId="77777777" w:rsidR="00175AC7" w:rsidRPr="00211817" w:rsidRDefault="00175AC7">
                  <w:pPr>
                    <w:spacing w:after="0"/>
                    <w:jc w:val="center"/>
                    <w:rPr>
                      <w:rFonts w:eastAsia="Times New Roman" w:cs="Arial"/>
                      <w:b/>
                      <w:bCs/>
                      <w:i/>
                      <w:iCs/>
                      <w:szCs w:val="20"/>
                    </w:rPr>
                  </w:pPr>
                  <w:r w:rsidRPr="00211817">
                    <w:rPr>
                      <w:rFonts w:eastAsia="Times New Roman" w:cs="Arial"/>
                      <w:b/>
                      <w:bCs/>
                      <w:i/>
                      <w:iCs/>
                      <w:szCs w:val="20"/>
                    </w:rPr>
                    <w:t>(</w:t>
                  </w:r>
                  <w:proofErr w:type="spellStart"/>
                  <w:r w:rsidRPr="00211817">
                    <w:rPr>
                      <w:rFonts w:eastAsia="Times New Roman" w:cs="Arial"/>
                      <w:i/>
                      <w:iCs/>
                      <w:szCs w:val="20"/>
                    </w:rPr>
                    <w:t>μg</w:t>
                  </w:r>
                  <w:proofErr w:type="spellEnd"/>
                  <w:r w:rsidRPr="00211817">
                    <w:rPr>
                      <w:rFonts w:eastAsia="Times New Roman" w:cs="Arial"/>
                      <w:i/>
                      <w:iCs/>
                      <w:szCs w:val="20"/>
                    </w:rPr>
                    <w:t>/day)</w:t>
                  </w:r>
                </w:p>
              </w:tc>
            </w:tr>
            <w:tr w:rsidR="00175AC7" w:rsidRPr="00211817" w14:paraId="3A9F4FE7" w14:textId="77777777" w:rsidTr="00175AC7">
              <w:tc>
                <w:tcPr>
                  <w:tcW w:w="4394" w:type="dxa"/>
                  <w:gridSpan w:val="2"/>
                </w:tcPr>
                <w:p w14:paraId="7D9790EA" w14:textId="0E8FCBF6" w:rsidR="00175AC7" w:rsidRPr="00211817" w:rsidRDefault="00175AC7" w:rsidP="00175AC7">
                  <w:pPr>
                    <w:spacing w:after="0"/>
                    <w:rPr>
                      <w:rFonts w:eastAsia="Times New Roman" w:cs="Arial"/>
                      <w:i/>
                      <w:iCs/>
                      <w:szCs w:val="20"/>
                    </w:rPr>
                  </w:pPr>
                  <w:r>
                    <w:rPr>
                      <w:rFonts w:eastAsia="Times New Roman" w:cs="Arial"/>
                      <w:b/>
                      <w:bCs/>
                      <w:i/>
                      <w:iCs/>
                      <w:szCs w:val="20"/>
                    </w:rPr>
                    <w:t>Males</w:t>
                  </w:r>
                </w:p>
              </w:tc>
            </w:tr>
            <w:tr w:rsidR="00175AC7" w:rsidRPr="00211817" w14:paraId="12A80495" w14:textId="77777777" w:rsidTr="008346F6">
              <w:tc>
                <w:tcPr>
                  <w:tcW w:w="2693" w:type="dxa"/>
                  <w:tcMar>
                    <w:left w:w="170" w:type="dxa"/>
                  </w:tcMar>
                </w:tcPr>
                <w:p w14:paraId="25145DD2"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18 to under 30 years</w:t>
                  </w:r>
                </w:p>
              </w:tc>
              <w:tc>
                <w:tcPr>
                  <w:tcW w:w="1701" w:type="dxa"/>
                </w:tcPr>
                <w:p w14:paraId="195FFE35"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r w:rsidR="00175AC7" w:rsidRPr="00211817" w14:paraId="167E6CAC" w14:textId="77777777" w:rsidTr="008346F6">
              <w:tc>
                <w:tcPr>
                  <w:tcW w:w="2693" w:type="dxa"/>
                  <w:tcMar>
                    <w:left w:w="170" w:type="dxa"/>
                  </w:tcMar>
                </w:tcPr>
                <w:p w14:paraId="59619CFA"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30 to under 50 years</w:t>
                  </w:r>
                </w:p>
              </w:tc>
              <w:tc>
                <w:tcPr>
                  <w:tcW w:w="1701" w:type="dxa"/>
                </w:tcPr>
                <w:p w14:paraId="10CFFF36"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r w:rsidR="00175AC7" w:rsidRPr="00211817" w14:paraId="6CE7DC47" w14:textId="77777777" w:rsidTr="008346F6">
              <w:tc>
                <w:tcPr>
                  <w:tcW w:w="2693" w:type="dxa"/>
                  <w:tcMar>
                    <w:left w:w="170" w:type="dxa"/>
                  </w:tcMar>
                </w:tcPr>
                <w:p w14:paraId="430ED9CC"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50 to under 65 years</w:t>
                  </w:r>
                </w:p>
              </w:tc>
              <w:tc>
                <w:tcPr>
                  <w:tcW w:w="1701" w:type="dxa"/>
                </w:tcPr>
                <w:p w14:paraId="2BC62E38"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r w:rsidR="00175AC7" w:rsidRPr="00211817" w14:paraId="0E2B9D41" w14:textId="77777777" w:rsidTr="008346F6">
              <w:tc>
                <w:tcPr>
                  <w:tcW w:w="2693" w:type="dxa"/>
                  <w:tcMar>
                    <w:left w:w="170" w:type="dxa"/>
                  </w:tcMar>
                </w:tcPr>
                <w:p w14:paraId="478D05BB"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65 to under 75 years</w:t>
                  </w:r>
                </w:p>
              </w:tc>
              <w:tc>
                <w:tcPr>
                  <w:tcW w:w="1701" w:type="dxa"/>
                </w:tcPr>
                <w:p w14:paraId="0821A7B6"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r w:rsidR="00175AC7" w:rsidRPr="00211817" w14:paraId="569C64A1" w14:textId="77777777" w:rsidTr="008346F6">
              <w:tc>
                <w:tcPr>
                  <w:tcW w:w="2693" w:type="dxa"/>
                  <w:tcMar>
                    <w:left w:w="170" w:type="dxa"/>
                  </w:tcMar>
                </w:tcPr>
                <w:p w14:paraId="3D1076EF"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75 years and older</w:t>
                  </w:r>
                </w:p>
              </w:tc>
              <w:tc>
                <w:tcPr>
                  <w:tcW w:w="1701" w:type="dxa"/>
                </w:tcPr>
                <w:p w14:paraId="3BAF7EB3"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r w:rsidR="00175AC7" w:rsidRPr="00211817" w14:paraId="22BA3C9C" w14:textId="77777777" w:rsidTr="00175AC7">
              <w:trPr>
                <w:trHeight w:val="567"/>
              </w:trPr>
              <w:tc>
                <w:tcPr>
                  <w:tcW w:w="4394" w:type="dxa"/>
                  <w:gridSpan w:val="2"/>
                </w:tcPr>
                <w:p w14:paraId="732D0F8B" w14:textId="1721A5DD" w:rsidR="00175AC7" w:rsidRPr="00211817" w:rsidRDefault="00175AC7" w:rsidP="00175AC7">
                  <w:pPr>
                    <w:spacing w:after="0"/>
                    <w:rPr>
                      <w:rFonts w:eastAsia="Times New Roman" w:cs="Arial"/>
                      <w:i/>
                      <w:iCs/>
                      <w:szCs w:val="20"/>
                    </w:rPr>
                  </w:pPr>
                  <w:r>
                    <w:rPr>
                      <w:rFonts w:eastAsia="Times New Roman" w:cs="Arial"/>
                      <w:b/>
                      <w:bCs/>
                      <w:i/>
                      <w:iCs/>
                      <w:szCs w:val="20"/>
                    </w:rPr>
                    <w:t>Females</w:t>
                  </w:r>
                </w:p>
              </w:tc>
            </w:tr>
            <w:tr w:rsidR="00175AC7" w:rsidRPr="00211817" w14:paraId="0395C43B" w14:textId="77777777" w:rsidTr="008346F6">
              <w:tc>
                <w:tcPr>
                  <w:tcW w:w="2693" w:type="dxa"/>
                  <w:tcMar>
                    <w:left w:w="170" w:type="dxa"/>
                  </w:tcMar>
                </w:tcPr>
                <w:p w14:paraId="258BAC4E"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18 to under 30 years</w:t>
                  </w:r>
                </w:p>
              </w:tc>
              <w:tc>
                <w:tcPr>
                  <w:tcW w:w="1701" w:type="dxa"/>
                </w:tcPr>
                <w:p w14:paraId="7A5E0293"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r w:rsidR="00175AC7" w:rsidRPr="00211817" w14:paraId="45F2CD90" w14:textId="77777777" w:rsidTr="008346F6">
              <w:tc>
                <w:tcPr>
                  <w:tcW w:w="2693" w:type="dxa"/>
                  <w:tcMar>
                    <w:left w:w="170" w:type="dxa"/>
                  </w:tcMar>
                </w:tcPr>
                <w:p w14:paraId="43A4387D"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30 to under 50 years</w:t>
                  </w:r>
                </w:p>
              </w:tc>
              <w:tc>
                <w:tcPr>
                  <w:tcW w:w="1701" w:type="dxa"/>
                </w:tcPr>
                <w:p w14:paraId="0E17E682"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r w:rsidR="00175AC7" w:rsidRPr="00211817" w14:paraId="094A13AE" w14:textId="77777777" w:rsidTr="008346F6">
              <w:tc>
                <w:tcPr>
                  <w:tcW w:w="2693" w:type="dxa"/>
                  <w:tcMar>
                    <w:left w:w="170" w:type="dxa"/>
                  </w:tcMar>
                </w:tcPr>
                <w:p w14:paraId="30EAAB9A"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50 to under 65 years</w:t>
                  </w:r>
                </w:p>
              </w:tc>
              <w:tc>
                <w:tcPr>
                  <w:tcW w:w="1701" w:type="dxa"/>
                </w:tcPr>
                <w:p w14:paraId="35C608BD"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r w:rsidR="00175AC7" w:rsidRPr="00211817" w14:paraId="0B2B09E2" w14:textId="77777777" w:rsidTr="008346F6">
              <w:tc>
                <w:tcPr>
                  <w:tcW w:w="2693" w:type="dxa"/>
                  <w:tcMar>
                    <w:left w:w="170" w:type="dxa"/>
                  </w:tcMar>
                </w:tcPr>
                <w:p w14:paraId="609A9893"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65 to under 75 years</w:t>
                  </w:r>
                </w:p>
              </w:tc>
              <w:tc>
                <w:tcPr>
                  <w:tcW w:w="1701" w:type="dxa"/>
                </w:tcPr>
                <w:p w14:paraId="25DC3006"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r w:rsidR="00175AC7" w:rsidRPr="00211817" w14:paraId="6C3C4EF5" w14:textId="77777777" w:rsidTr="008346F6">
              <w:tc>
                <w:tcPr>
                  <w:tcW w:w="2693" w:type="dxa"/>
                  <w:tcMar>
                    <w:left w:w="170" w:type="dxa"/>
                  </w:tcMar>
                </w:tcPr>
                <w:p w14:paraId="27EB6774" w14:textId="77777777" w:rsidR="00175AC7" w:rsidRPr="00211817" w:rsidRDefault="00175AC7">
                  <w:pPr>
                    <w:spacing w:after="0"/>
                    <w:rPr>
                      <w:rFonts w:eastAsia="Times New Roman" w:cs="Arial"/>
                      <w:b/>
                      <w:bCs/>
                      <w:i/>
                      <w:iCs/>
                      <w:szCs w:val="20"/>
                    </w:rPr>
                  </w:pPr>
                  <w:r w:rsidRPr="00211817">
                    <w:rPr>
                      <w:rFonts w:eastAsia="Times New Roman" w:cs="Arial"/>
                      <w:b/>
                      <w:bCs/>
                      <w:i/>
                      <w:iCs/>
                      <w:szCs w:val="20"/>
                    </w:rPr>
                    <w:t>75 years and older</w:t>
                  </w:r>
                </w:p>
              </w:tc>
              <w:tc>
                <w:tcPr>
                  <w:tcW w:w="1701" w:type="dxa"/>
                </w:tcPr>
                <w:p w14:paraId="0CEC9C7E" w14:textId="77777777" w:rsidR="00175AC7" w:rsidRPr="00211817" w:rsidRDefault="00175AC7">
                  <w:pPr>
                    <w:spacing w:after="0"/>
                    <w:jc w:val="center"/>
                    <w:rPr>
                      <w:rFonts w:eastAsia="Times New Roman" w:cs="Arial"/>
                      <w:b/>
                      <w:bCs/>
                      <w:i/>
                      <w:iCs/>
                      <w:szCs w:val="20"/>
                    </w:rPr>
                  </w:pPr>
                  <w:r w:rsidRPr="00211817">
                    <w:rPr>
                      <w:rFonts w:eastAsia="Times New Roman" w:cs="Arial"/>
                      <w:i/>
                      <w:iCs/>
                      <w:szCs w:val="20"/>
                    </w:rPr>
                    <w:t>150</w:t>
                  </w:r>
                </w:p>
              </w:tc>
            </w:tr>
          </w:tbl>
          <w:p w14:paraId="60AE0E41" w14:textId="77777777" w:rsidR="003E5592" w:rsidRPr="00211817" w:rsidRDefault="003E5592">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rPr>
            </w:pPr>
          </w:p>
          <w:p w14:paraId="1065BA31" w14:textId="77777777" w:rsidR="003E5592" w:rsidRPr="00211817" w:rsidRDefault="003E5592">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rPr>
            </w:pPr>
          </w:p>
        </w:tc>
      </w:tr>
      <w:tr w:rsidR="003E5592" w:rsidRPr="00211817" w14:paraId="02F49638" w14:textId="77777777" w:rsidTr="000362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tcPr>
          <w:p w14:paraId="2F06B25E" w14:textId="77777777" w:rsidR="003E5592" w:rsidRPr="00211817" w:rsidRDefault="003E5592">
            <w:pPr>
              <w:rPr>
                <w:rFonts w:eastAsia="Times New Roman" w:cs="Arial"/>
                <w:szCs w:val="20"/>
              </w:rPr>
            </w:pPr>
            <w:r w:rsidRPr="00211817">
              <w:rPr>
                <w:rFonts w:eastAsia="Times New Roman" w:cs="Arial"/>
                <w:szCs w:val="20"/>
              </w:rPr>
              <w:lastRenderedPageBreak/>
              <w:t>Health evidence profile and supporting information</w:t>
            </w:r>
          </w:p>
        </w:tc>
        <w:tc>
          <w:tcPr>
            <w:tcW w:w="6195" w:type="dxa"/>
          </w:tcPr>
          <w:p w14:paraId="2EF58156" w14:textId="77777777" w:rsidR="003E5592" w:rsidRPr="00211817" w:rsidRDefault="003E5592" w:rsidP="00D052C2">
            <w:pPr>
              <w:spacing w:before="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The current (2006) recommendations </w:t>
            </w:r>
            <w:r w:rsidRPr="00211817">
              <w:rPr>
                <w:rFonts w:eastAsia="Arial" w:cs="Times New Roman"/>
                <w:szCs w:val="20"/>
              </w:rPr>
              <w:t xml:space="preserve">for adults are based on </w:t>
            </w:r>
            <w:r w:rsidRPr="00211817">
              <w:rPr>
                <w:rFonts w:eastAsia="Times New Roman" w:cs="Times New Roman"/>
                <w:szCs w:val="20"/>
              </w:rPr>
              <w:t xml:space="preserve">studies reporting average thyroid iodine accumulation and turnover between 91.2 and 96.5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in euthyroid adults (Fisher and Oddie, 1969a, Fisher and Oddie, 1969b). Values were rounded to 100 </w:t>
            </w:r>
            <w:proofErr w:type="spellStart"/>
            <w:r w:rsidRPr="00211817">
              <w:rPr>
                <w:rFonts w:eastAsia="Times New Roman" w:cs="Times New Roman"/>
                <w:szCs w:val="20"/>
              </w:rPr>
              <w:t>μg</w:t>
            </w:r>
            <w:proofErr w:type="spellEnd"/>
            <w:r w:rsidRPr="00211817">
              <w:rPr>
                <w:rFonts w:eastAsia="Times New Roman" w:cs="Times New Roman"/>
                <w:szCs w:val="20"/>
              </w:rPr>
              <w:t>/day to reflect New Zealand data on urinary iodide to thyroid volume (Thomson et. al. 2001).</w:t>
            </w:r>
          </w:p>
          <w:p w14:paraId="1B6F9B22" w14:textId="77777777" w:rsidR="003E5592" w:rsidRPr="00211817" w:rsidRDefault="003E5592">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The RDI was established by applying a 20% co-efficient of variation (CV), being half of the 40% CV reported by Fisher and Oddie (1969a). This adjustment was made on the basis that half of the observed variation </w:t>
            </w:r>
            <w:proofErr w:type="gramStart"/>
            <w:r w:rsidRPr="00211817">
              <w:rPr>
                <w:rFonts w:eastAsia="Times New Roman" w:cs="Times New Roman"/>
                <w:szCs w:val="20"/>
              </w:rPr>
              <w:t>was considered to be</w:t>
            </w:r>
            <w:proofErr w:type="gramEnd"/>
            <w:r w:rsidRPr="00211817">
              <w:rPr>
                <w:rFonts w:eastAsia="Times New Roman" w:cs="Times New Roman"/>
                <w:szCs w:val="20"/>
              </w:rPr>
              <w:t xml:space="preserve"> due to the complexity of the experimental design and calculations used to estimate turnover (US IOM, 2001).</w:t>
            </w:r>
          </w:p>
          <w:p w14:paraId="239F277E" w14:textId="77777777" w:rsidR="003E5592" w:rsidRPr="00211817" w:rsidRDefault="003E5592">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More recently, concerns have been raised about the accuracy of thyroid accumulation studies for determining iodine requirements. EFSA (2014) noted that thyroidal iodine capture is downregulated with increasing iodine intake. Fisher and Oddie’s t</w:t>
            </w:r>
            <w:r w:rsidRPr="00211817">
              <w:rPr>
                <w:rFonts w:eastAsia="Arial" w:cs="Times New Roman"/>
                <w:szCs w:val="20"/>
              </w:rPr>
              <w:t>hyroid accumulation studies (</w:t>
            </w:r>
            <w:r w:rsidRPr="00211817">
              <w:rPr>
                <w:rFonts w:eastAsia="Times New Roman" w:cs="Times New Roman"/>
                <w:szCs w:val="20"/>
              </w:rPr>
              <w:t>Fisher and Oddie 1969a, 1969b)</w:t>
            </w:r>
            <w:r w:rsidRPr="00211817">
              <w:rPr>
                <w:rFonts w:eastAsia="Arial" w:cs="Times New Roman"/>
                <w:szCs w:val="20"/>
              </w:rPr>
              <w:t xml:space="preserve"> measured UIE at 410µg/day and 280 µg/day respectively, suggestive of higher habitual iodine intakes that may not reflect the Australian and New Zealand context.</w:t>
            </w:r>
          </w:p>
          <w:p w14:paraId="2BBAD2D5" w14:textId="77777777" w:rsidR="003E5592" w:rsidRPr="00211817" w:rsidRDefault="003E5592">
            <w:pPr>
              <w:spacing w:before="120" w:after="0"/>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Times New Roman" w:cs="Times New Roman"/>
                <w:szCs w:val="20"/>
              </w:rPr>
              <w:t>A 2014 balance study (Tan, 2019) found that neutral balance was achieved with an iodine intake of 111</w:t>
            </w:r>
            <w:r w:rsidRPr="00211817">
              <w:rPr>
                <w:rFonts w:eastAsia="Arial" w:cs="Times New Roman"/>
                <w:szCs w:val="20"/>
              </w:rPr>
              <w:t xml:space="preserve"> </w:t>
            </w:r>
            <w:proofErr w:type="spellStart"/>
            <w:r w:rsidRPr="00211817">
              <w:rPr>
                <w:rFonts w:eastAsia="Arial" w:cs="Times New Roman"/>
                <w:szCs w:val="20"/>
              </w:rPr>
              <w:t>μg</w:t>
            </w:r>
            <w:proofErr w:type="spellEnd"/>
            <w:r w:rsidRPr="00211817">
              <w:rPr>
                <w:rFonts w:eastAsia="Arial" w:cs="Times New Roman"/>
                <w:szCs w:val="20"/>
              </w:rPr>
              <w:t xml:space="preserve">/day, which equates to an RDI of 155 </w:t>
            </w:r>
            <w:proofErr w:type="spellStart"/>
            <w:r w:rsidRPr="00211817">
              <w:rPr>
                <w:rFonts w:eastAsia="Arial" w:cs="Times New Roman"/>
                <w:szCs w:val="20"/>
              </w:rPr>
              <w:t>μg</w:t>
            </w:r>
            <w:proofErr w:type="spellEnd"/>
            <w:r w:rsidRPr="00211817">
              <w:rPr>
                <w:rFonts w:eastAsia="Arial" w:cs="Times New Roman"/>
                <w:szCs w:val="20"/>
              </w:rPr>
              <w:t xml:space="preserve">/day when a 20% CV is applied. The balance study had several limitations, including no run-in period, and it was conducted in a small sample (N=25) of iodine replete, euthyroid female students. Consequently, findings may not be broadly generalisable to the Australian and New Zealand context. </w:t>
            </w:r>
          </w:p>
          <w:p w14:paraId="393708DA" w14:textId="77777777" w:rsidR="003E5592" w:rsidRPr="00211817" w:rsidRDefault="003E5592">
            <w:pPr>
              <w:spacing w:before="120" w:after="0"/>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 xml:space="preserve">Despite uncertainty in the evidence, the thyroid accumulation </w:t>
            </w:r>
            <w:proofErr w:type="gramStart"/>
            <w:r w:rsidRPr="00211817">
              <w:rPr>
                <w:rFonts w:eastAsia="Arial" w:cs="Times New Roman"/>
                <w:szCs w:val="20"/>
              </w:rPr>
              <w:t>studies</w:t>
            </w:r>
            <w:proofErr w:type="gramEnd"/>
            <w:r w:rsidRPr="00211817">
              <w:rPr>
                <w:rFonts w:eastAsia="Arial" w:cs="Times New Roman"/>
                <w:szCs w:val="20"/>
              </w:rPr>
              <w:t xml:space="preserve"> and recent balance studies collectively estimate requirements between 90 and 110 µg/day. The available </w:t>
            </w:r>
            <w:r w:rsidRPr="00211817">
              <w:rPr>
                <w:rFonts w:eastAsia="Arial" w:cs="Times New Roman"/>
                <w:szCs w:val="20"/>
              </w:rPr>
              <w:lastRenderedPageBreak/>
              <w:t xml:space="preserve">evidence supports maintaining the current EAR of 100 </w:t>
            </w:r>
            <w:proofErr w:type="spellStart"/>
            <w:r w:rsidRPr="00211817">
              <w:rPr>
                <w:rFonts w:eastAsia="Arial" w:cs="Times New Roman"/>
                <w:szCs w:val="20"/>
              </w:rPr>
              <w:t>μg</w:t>
            </w:r>
            <w:proofErr w:type="spellEnd"/>
            <w:r w:rsidRPr="00211817">
              <w:rPr>
                <w:rFonts w:eastAsia="Arial" w:cs="Times New Roman"/>
                <w:szCs w:val="20"/>
              </w:rPr>
              <w:t>/day.</w:t>
            </w:r>
          </w:p>
          <w:p w14:paraId="0F5B5403" w14:textId="77777777" w:rsidR="003E5592" w:rsidRPr="00211817" w:rsidRDefault="003E5592">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Cs/>
                <w:szCs w:val="20"/>
                <w:highlight w:val="lightGray"/>
                <w:lang w:eastAsia="en-AU"/>
              </w:rPr>
            </w:pPr>
            <w:r w:rsidRPr="00211817">
              <w:rPr>
                <w:rFonts w:eastAsia="Arial" w:cs="Times New Roman"/>
                <w:szCs w:val="20"/>
              </w:rPr>
              <w:t xml:space="preserve">Furthermore, the RDI of 150 </w:t>
            </w:r>
            <w:proofErr w:type="spellStart"/>
            <w:r w:rsidRPr="00211817">
              <w:rPr>
                <w:rFonts w:eastAsia="Arial" w:cs="Times New Roman"/>
                <w:szCs w:val="20"/>
              </w:rPr>
              <w:t>μg</w:t>
            </w:r>
            <w:proofErr w:type="spellEnd"/>
            <w:r w:rsidRPr="00211817">
              <w:rPr>
                <w:rFonts w:eastAsia="Arial" w:cs="Times New Roman"/>
                <w:szCs w:val="20"/>
              </w:rPr>
              <w:t xml:space="preserve">/day </w:t>
            </w:r>
            <w:r w:rsidRPr="00211817">
              <w:rPr>
                <w:rFonts w:eastAsia="Times New Roman" w:cs="Times New Roman"/>
                <w:szCs w:val="20"/>
              </w:rPr>
              <w:t xml:space="preserve">- derived by applying a CV of 20% to the EAR of 100 </w:t>
            </w:r>
            <w:proofErr w:type="spellStart"/>
            <w:r w:rsidRPr="00211817">
              <w:rPr>
                <w:rFonts w:eastAsia="Arial" w:cs="Times New Roman"/>
                <w:szCs w:val="20"/>
              </w:rPr>
              <w:t>μg</w:t>
            </w:r>
            <w:proofErr w:type="spellEnd"/>
            <w:r w:rsidRPr="00211817">
              <w:rPr>
                <w:rFonts w:eastAsia="Arial" w:cs="Times New Roman"/>
                <w:szCs w:val="20"/>
              </w:rPr>
              <w:t xml:space="preserve">/day - is supported by observational data suggesting that </w:t>
            </w:r>
            <w:r w:rsidRPr="00211817">
              <w:rPr>
                <w:rFonts w:eastAsia="Times New Roman" w:cs="Times New Roman"/>
                <w:szCs w:val="20"/>
              </w:rPr>
              <w:t>150 µg/day intake in adults corresponds with a low population prevalence of goitre (EFSA 2014).</w:t>
            </w:r>
          </w:p>
        </w:tc>
        <w:tc>
          <w:tcPr>
            <w:tcW w:w="6136" w:type="dxa"/>
          </w:tcPr>
          <w:p w14:paraId="3DB2AF23" w14:textId="77777777" w:rsidR="003E5592" w:rsidRPr="00211817" w:rsidRDefault="003E5592" w:rsidP="000A4520">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lastRenderedPageBreak/>
              <w:t xml:space="preserve">When developing NRV recommendations for nutritional adequacy, other international bodies (EFSA, 2014; </w:t>
            </w:r>
            <w:proofErr w:type="spellStart"/>
            <w:r w:rsidRPr="00211817">
              <w:rPr>
                <w:rFonts w:eastAsia="Times New Roman" w:cs="Times New Roman"/>
                <w:szCs w:val="20"/>
              </w:rPr>
              <w:t>Blomhoff</w:t>
            </w:r>
            <w:proofErr w:type="spellEnd"/>
            <w:r w:rsidRPr="00211817">
              <w:rPr>
                <w:rFonts w:eastAsia="Times New Roman" w:cs="Times New Roman"/>
                <w:szCs w:val="20"/>
              </w:rPr>
              <w:t xml:space="preserve"> et al. 2023) concluded that the available evidence is insufficient to support derivation of an EAR and RDI. This reflects concerns about the reliability of balance and thyroid accumulation studies for estimating requirements, including:</w:t>
            </w:r>
          </w:p>
          <w:p w14:paraId="0AF5A676" w14:textId="77777777" w:rsidR="003E5592" w:rsidRPr="00211817" w:rsidRDefault="003E5592" w:rsidP="000A4520">
            <w:pPr>
              <w:spacing w:before="120"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methodological limitations of balance studies (</w:t>
            </w:r>
            <w:proofErr w:type="spellStart"/>
            <w:r w:rsidRPr="00211817">
              <w:rPr>
                <w:rFonts w:eastAsia="Times New Roman" w:cs="Times New Roman"/>
                <w:szCs w:val="20"/>
              </w:rPr>
              <w:t>eg.</w:t>
            </w:r>
            <w:proofErr w:type="spellEnd"/>
            <w:r w:rsidRPr="00211817">
              <w:rPr>
                <w:rFonts w:eastAsia="Times New Roman" w:cs="Times New Roman"/>
                <w:szCs w:val="20"/>
              </w:rPr>
              <w:t xml:space="preserve"> inadequate run-in periods, accuracy of methods for measuring intake and losses) </w:t>
            </w:r>
          </w:p>
          <w:p w14:paraId="0CFFC10E" w14:textId="77777777" w:rsidR="003E5592" w:rsidRPr="00211817" w:rsidRDefault="003E5592" w:rsidP="000A4520">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that observed ‘balance’ may reflect requirements that only apply in a narrow range of contexts, or reflect transient adaptive changes rather than steady state requirements</w:t>
            </w:r>
          </w:p>
          <w:p w14:paraId="4A9DF4CD" w14:textId="77777777" w:rsidR="003E5592" w:rsidRPr="00211817" w:rsidRDefault="003E5592" w:rsidP="000A4520">
            <w:pPr>
              <w:spacing w:line="240" w:lineRule="auto"/>
              <w:contextualSpacing/>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Times New Roman" w:cs="Times New Roman"/>
                <w:szCs w:val="20"/>
              </w:rPr>
              <w:t>wide variation in the iodine intakes associated with ‘null’ balance reported across studies</w:t>
            </w:r>
          </w:p>
          <w:p w14:paraId="28C53796" w14:textId="77777777" w:rsidR="003E5592" w:rsidRPr="00211817" w:rsidRDefault="003E5592" w:rsidP="000A4520">
            <w:pPr>
              <w:spacing w:before="120"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poor generalisability of estimates based on thyroid accumulation studies, noting that thyroidal iodine capture is downregulated with increasing iodine intake. T</w:t>
            </w:r>
            <w:r w:rsidRPr="00211817">
              <w:rPr>
                <w:rFonts w:eastAsia="Arial" w:cs="Times New Roman"/>
                <w:szCs w:val="20"/>
              </w:rPr>
              <w:t>hyroid accumulation studies upon which current NRVs are based (</w:t>
            </w:r>
            <w:r w:rsidRPr="00211817">
              <w:rPr>
                <w:rFonts w:eastAsia="Times New Roman" w:cs="Times New Roman"/>
                <w:szCs w:val="20"/>
              </w:rPr>
              <w:t>Fisher and Oddie, 1969a, Fisher and Oddie, 1969b)</w:t>
            </w:r>
            <w:r w:rsidRPr="00211817">
              <w:rPr>
                <w:rFonts w:eastAsia="Arial" w:cs="Times New Roman"/>
                <w:szCs w:val="20"/>
              </w:rPr>
              <w:t xml:space="preserve"> measured UIE at 410 µg/day and 280 µg/day respectively, suggestive of higher habitual iodine intakes that may not reflect the Australian and New Zealand context.</w:t>
            </w:r>
          </w:p>
          <w:p w14:paraId="30F24A89" w14:textId="77777777" w:rsidR="003E5592" w:rsidRPr="00211817" w:rsidRDefault="003E5592" w:rsidP="000A4520">
            <w:pPr>
              <w:spacing w:before="120"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A 2014 balance study (Tan, 2019) found that neutral balance was achieved with an iodine intake of 111</w:t>
            </w:r>
            <w:r w:rsidRPr="00211817">
              <w:rPr>
                <w:rFonts w:eastAsia="Arial" w:cs="Times New Roman"/>
                <w:szCs w:val="20"/>
              </w:rPr>
              <w:t xml:space="preserve"> </w:t>
            </w:r>
            <w:proofErr w:type="spellStart"/>
            <w:r w:rsidRPr="00211817">
              <w:rPr>
                <w:rFonts w:eastAsia="Arial" w:cs="Times New Roman"/>
                <w:szCs w:val="20"/>
              </w:rPr>
              <w:t>μg</w:t>
            </w:r>
            <w:proofErr w:type="spellEnd"/>
            <w:r w:rsidRPr="00211817">
              <w:rPr>
                <w:rFonts w:eastAsia="Arial" w:cs="Times New Roman"/>
                <w:szCs w:val="20"/>
              </w:rPr>
              <w:t xml:space="preserve">/day, which equates to an RDI of 155 </w:t>
            </w:r>
            <w:proofErr w:type="spellStart"/>
            <w:r w:rsidRPr="00211817">
              <w:rPr>
                <w:rFonts w:eastAsia="Arial" w:cs="Times New Roman"/>
                <w:szCs w:val="20"/>
              </w:rPr>
              <w:t>μg</w:t>
            </w:r>
            <w:proofErr w:type="spellEnd"/>
            <w:r w:rsidRPr="00211817">
              <w:rPr>
                <w:rFonts w:eastAsia="Arial" w:cs="Times New Roman"/>
                <w:szCs w:val="20"/>
              </w:rPr>
              <w:t xml:space="preserve">/day when a 20% CV is applied. However, the balance study had several limitations including no run-in period, and it was conducted in a small sample (N=25) of iodine replete, euthyroid female students. Consequently, findings may not be broadly generalisable to the Australian and New Zealand context. </w:t>
            </w:r>
          </w:p>
          <w:p w14:paraId="5A2249D4" w14:textId="77777777" w:rsidR="003E5592" w:rsidRPr="00211817" w:rsidRDefault="003E5592" w:rsidP="000A4520">
            <w:pPr>
              <w:spacing w:before="120"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For most health outcomes or biomarkers related to deficiency or adequacy, the relationship with iodine intake is either not sufficiently </w:t>
            </w:r>
            <w:proofErr w:type="gramStart"/>
            <w:r w:rsidRPr="00211817">
              <w:rPr>
                <w:rFonts w:eastAsia="Times New Roman" w:cs="Times New Roman"/>
                <w:szCs w:val="20"/>
              </w:rPr>
              <w:t>characterised, or</w:t>
            </w:r>
            <w:proofErr w:type="gramEnd"/>
            <w:r w:rsidRPr="00211817">
              <w:rPr>
                <w:rFonts w:eastAsia="Times New Roman" w:cs="Times New Roman"/>
                <w:szCs w:val="20"/>
              </w:rPr>
              <w:t xml:space="preserve"> is insufficiently sensitive or reliable to inform establishment of an NRV. </w:t>
            </w:r>
          </w:p>
          <w:p w14:paraId="70771E9B" w14:textId="77777777" w:rsidR="003E5592" w:rsidRPr="00211817" w:rsidRDefault="003E5592" w:rsidP="000A4520">
            <w:pPr>
              <w:spacing w:before="120"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Establishing an Adequate Intake (AI) in place of the existing EAR and RDI recommendations reflects uncertainties in the underlying evidence base.</w:t>
            </w:r>
          </w:p>
          <w:p w14:paraId="24DE2349" w14:textId="77777777" w:rsidR="003E5592" w:rsidRPr="00211817" w:rsidRDefault="003E5592" w:rsidP="000A4520">
            <w:pPr>
              <w:spacing w:before="120"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lastRenderedPageBreak/>
              <w:t>Under the NHMRC’s methodological framework for NRV development (NHMRC, 2025), an AI can be established based on experimental or observational data.</w:t>
            </w:r>
          </w:p>
          <w:p w14:paraId="78FC6E79" w14:textId="77777777" w:rsidR="003E5592" w:rsidRPr="00211817" w:rsidRDefault="003E5592" w:rsidP="000A4520">
            <w:pPr>
              <w:spacing w:before="120"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Australian and New Zealand population data were deemed to be unsuitable for deriving AIs because:</w:t>
            </w:r>
          </w:p>
          <w:p w14:paraId="072718B0" w14:textId="77777777" w:rsidR="003E5592" w:rsidRPr="00211817" w:rsidRDefault="003E5592" w:rsidP="000A4520">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there is substantial variation between estimates (both between Australia and New Zealand, and across Australian jurisdictions).</w:t>
            </w:r>
          </w:p>
          <w:p w14:paraId="01EACDD1" w14:textId="77777777" w:rsidR="003E5592" w:rsidRPr="00211817" w:rsidRDefault="003E5592" w:rsidP="000A4520">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2014/15 data suggest that mild deficiency remains an issue in some New Zealand populations, including females</w:t>
            </w:r>
          </w:p>
          <w:p w14:paraId="27E66F0B" w14:textId="77777777" w:rsidR="003E5592" w:rsidRPr="00211817" w:rsidRDefault="003E5592" w:rsidP="000A4520">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using Australian population data may overestimate requirements, because:</w:t>
            </w:r>
          </w:p>
          <w:p w14:paraId="4E3EC19A" w14:textId="77777777" w:rsidR="003E5592" w:rsidRPr="00211817" w:rsidRDefault="003E5592" w:rsidP="000A4520">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there is no evidence that the general Australian population has any level of deficiency for most age groups (excluding pregnant and lactating populations, and women of child-bearing age)</w:t>
            </w:r>
          </w:p>
          <w:p w14:paraId="58962229" w14:textId="77777777" w:rsidR="003E5592" w:rsidRPr="00211817" w:rsidRDefault="003E5592" w:rsidP="000A4520">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the CV of intake typically exceeds the CV of requirement</w:t>
            </w:r>
          </w:p>
          <w:p w14:paraId="12A96A58" w14:textId="77777777" w:rsidR="003E5592" w:rsidRPr="00211817" w:rsidRDefault="003E5592" w:rsidP="000A4520">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due to mandatory fortification, intakes in some populations (e.g. children) are likely to substantially exceed requirements.</w:t>
            </w:r>
          </w:p>
          <w:p w14:paraId="08617795" w14:textId="77777777" w:rsidR="003E5592" w:rsidRPr="00211817" w:rsidRDefault="003E5592" w:rsidP="000A45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The approach taken by EFSA (2014) and NNR (</w:t>
            </w:r>
            <w:proofErr w:type="spellStart"/>
            <w:r w:rsidRPr="00211817">
              <w:rPr>
                <w:rFonts w:eastAsia="Times New Roman" w:cs="Times New Roman"/>
                <w:szCs w:val="20"/>
              </w:rPr>
              <w:t>Blomhoff</w:t>
            </w:r>
            <w:proofErr w:type="spellEnd"/>
            <w:r w:rsidRPr="00211817">
              <w:rPr>
                <w:rFonts w:eastAsia="Times New Roman" w:cs="Times New Roman"/>
                <w:szCs w:val="20"/>
              </w:rPr>
              <w:t xml:space="preserve"> et. al. 2023) suggested an AI of 150 </w:t>
            </w:r>
            <w:proofErr w:type="spellStart"/>
            <w:r w:rsidRPr="00211817">
              <w:rPr>
                <w:rFonts w:eastAsia="Arial" w:cs="Times New Roman"/>
                <w:szCs w:val="20"/>
              </w:rPr>
              <w:t>μg</w:t>
            </w:r>
            <w:proofErr w:type="spellEnd"/>
            <w:r w:rsidRPr="00211817">
              <w:rPr>
                <w:rFonts w:eastAsia="Arial" w:cs="Times New Roman"/>
                <w:szCs w:val="20"/>
              </w:rPr>
              <w:t xml:space="preserve">/day can be derived from </w:t>
            </w:r>
            <w:r w:rsidRPr="00211817">
              <w:rPr>
                <w:rFonts w:eastAsia="Times New Roman" w:cs="Times New Roman"/>
                <w:szCs w:val="20"/>
              </w:rPr>
              <w:t>observational data suggesting that UIC of 100 µg/day in children is associated with low prevalence of goitre (Delange et al 1997), which corresponds to an estimated 150 µg/day intake in adults (EFSA 2014).</w:t>
            </w:r>
          </w:p>
          <w:p w14:paraId="1E3538CB" w14:textId="77777777" w:rsidR="003E5592" w:rsidRPr="00211817" w:rsidRDefault="003E5592" w:rsidP="000A45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This value is supported by:</w:t>
            </w:r>
          </w:p>
          <w:p w14:paraId="7AD076EB" w14:textId="77777777" w:rsidR="003E5592" w:rsidRPr="00211817" w:rsidRDefault="003E5592" w:rsidP="000A4520">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data from thyroid accumulation studies upon which the existing RDI of 150 µg/day is based</w:t>
            </w:r>
          </w:p>
          <w:p w14:paraId="2A6F17E6" w14:textId="77777777" w:rsidR="003E5592" w:rsidRPr="00211817" w:rsidRDefault="003E5592" w:rsidP="000A4520">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balance study data suggesting that 155 µg/day is sufficient to meet the requirements of almost all individuals (Tan 2019).</w:t>
            </w:r>
          </w:p>
        </w:tc>
      </w:tr>
      <w:tr w:rsidR="003E5592" w:rsidRPr="00211817" w14:paraId="649FE995" w14:textId="77777777" w:rsidTr="000362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tcPr>
          <w:p w14:paraId="7C3396A4" w14:textId="77777777" w:rsidR="003E5592" w:rsidRPr="00211817" w:rsidRDefault="003E5592">
            <w:pPr>
              <w:rPr>
                <w:rFonts w:eastAsia="Times New Roman" w:cs="Arial"/>
                <w:szCs w:val="20"/>
              </w:rPr>
            </w:pPr>
            <w:r w:rsidRPr="00211817">
              <w:rPr>
                <w:rFonts w:eastAsia="Times New Roman" w:cs="Arial"/>
                <w:szCs w:val="20"/>
              </w:rPr>
              <w:lastRenderedPageBreak/>
              <w:t xml:space="preserve">Iodine exposure in Australia and New Zealand </w:t>
            </w:r>
          </w:p>
        </w:tc>
        <w:tc>
          <w:tcPr>
            <w:tcW w:w="12331" w:type="dxa"/>
            <w:gridSpan w:val="2"/>
          </w:tcPr>
          <w:p w14:paraId="6227098A" w14:textId="77777777" w:rsidR="003E5592" w:rsidRPr="00211817" w:rsidRDefault="003E5592">
            <w:pPr>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211817">
              <w:rPr>
                <w:rFonts w:eastAsia="Times New Roman" w:cs="Times New Roman"/>
                <w:szCs w:val="20"/>
              </w:rPr>
              <w:t xml:space="preserve">Recent (2022-24) urinary iodine data from Australia suggests that the adult population in Australia is iodine sufficient - based on WHO criteria - </w:t>
            </w:r>
            <w:r w:rsidRPr="00211817">
              <w:rPr>
                <w:rFonts w:eastAsia="Arial" w:cs="Times New Roman"/>
                <w:szCs w:val="20"/>
              </w:rPr>
              <w:t xml:space="preserve">with almost all age groups having median UIC &gt;100 µg/L </w:t>
            </w:r>
            <w:r w:rsidRPr="00211817">
              <w:rPr>
                <w:rFonts w:eastAsia="Times New Roman" w:cs="Times New Roman"/>
                <w:szCs w:val="20"/>
              </w:rPr>
              <w:t>(WHO 2013; ABS 2025a)</w:t>
            </w:r>
            <w:r w:rsidRPr="00211817">
              <w:rPr>
                <w:rFonts w:eastAsia="Arial" w:cs="Times New Roman"/>
                <w:szCs w:val="20"/>
              </w:rPr>
              <w:t xml:space="preserve">. However, data suggests mild population deficiency in females of reproductive age (aged 25 to 44 years). This </w:t>
            </w:r>
            <w:r w:rsidRPr="00211817">
              <w:rPr>
                <w:rFonts w:eastAsia="Times New Roman" w:cs="Times New Roman"/>
                <w:szCs w:val="20"/>
              </w:rPr>
              <w:t xml:space="preserve">raises concerns about iodine intakes and status in this population, given the critical role of iodine in </w:t>
            </w:r>
            <w:proofErr w:type="spellStart"/>
            <w:r w:rsidRPr="00211817">
              <w:rPr>
                <w:rFonts w:eastAsia="Times New Roman" w:cs="Times New Roman"/>
                <w:szCs w:val="20"/>
              </w:rPr>
              <w:t>fetal</w:t>
            </w:r>
            <w:proofErr w:type="spellEnd"/>
            <w:r w:rsidRPr="00211817">
              <w:rPr>
                <w:rFonts w:eastAsia="Times New Roman" w:cs="Times New Roman"/>
                <w:szCs w:val="20"/>
              </w:rPr>
              <w:t xml:space="preserve"> and neonatal development. </w:t>
            </w:r>
          </w:p>
          <w:p w14:paraId="0EA5DC8F" w14:textId="77777777" w:rsidR="003E5592" w:rsidRPr="00211817" w:rsidRDefault="003E5592">
            <w:pPr>
              <w:cnfStyle w:val="000000100000" w:firstRow="0" w:lastRow="0" w:firstColumn="0" w:lastColumn="0" w:oddVBand="0" w:evenVBand="0" w:oddHBand="1" w:evenHBand="0" w:firstRowFirstColumn="0" w:firstRowLastColumn="0" w:lastRowFirstColumn="0" w:lastRowLastColumn="0"/>
              <w:rPr>
                <w:rFonts w:eastAsia="Times New Roman" w:cs="Times New Roman"/>
                <w:i/>
                <w:iCs/>
                <w:szCs w:val="20"/>
                <w:highlight w:val="yellow"/>
              </w:rPr>
            </w:pPr>
            <w:r w:rsidRPr="00211817">
              <w:rPr>
                <w:rFonts w:eastAsia="Times New Roman" w:cs="Times New Roman"/>
                <w:szCs w:val="20"/>
              </w:rPr>
              <w:t xml:space="preserve">National dietary intake data from the 2023 National Nutrition and Physical Activity Survey (NNPAS; ABS 2025c) and 2011-13 Australian Health Survey (AHS; ABS 2015) are presented in Table 2. Intakes in females were lower than those of males across all age groups in both 2011-13 and 2023 surveys. Based 2011-13 data, females were more than 4 times as likely to have inadequate intakes as males with inadequate intake prevalent in 2% of males and 10% of females aged 19 years and over. However, it is unclear whether this data continues to reflect the situation in Australia, with the 2023 NNPAS reporting an increase in iodine intake between 2011 and 2023 (ABS 2025c). </w:t>
            </w:r>
          </w:p>
          <w:p w14:paraId="0C0B233C" w14:textId="77777777" w:rsidR="003E5592" w:rsidRPr="00211817" w:rsidRDefault="003E5592">
            <w:pPr>
              <w:keepNext/>
              <w:spacing w:after="80"/>
              <w:cnfStyle w:val="000000100000" w:firstRow="0" w:lastRow="0" w:firstColumn="0" w:lastColumn="0" w:oddVBand="0" w:evenVBand="0" w:oddHBand="1" w:evenHBand="0" w:firstRowFirstColumn="0" w:firstRowLastColumn="0" w:lastRowFirstColumn="0" w:lastRowLastColumn="0"/>
              <w:rPr>
                <w:rFonts w:eastAsia="Arial" w:cs="Times New Roman"/>
                <w:iCs/>
                <w:caps/>
                <w:szCs w:val="20"/>
              </w:rPr>
            </w:pPr>
            <w:r w:rsidRPr="00211817">
              <w:rPr>
                <w:rFonts w:eastAsia="Arial" w:cs="Times New Roman"/>
                <w:iCs/>
                <w:caps/>
                <w:szCs w:val="20"/>
              </w:rPr>
              <w:t xml:space="preserve">Table </w:t>
            </w:r>
            <w:r w:rsidRPr="00211817">
              <w:rPr>
                <w:rFonts w:eastAsia="Arial"/>
                <w:iCs/>
                <w:caps/>
                <w:szCs w:val="20"/>
              </w:rPr>
              <w:fldChar w:fldCharType="begin"/>
            </w:r>
            <w:r w:rsidRPr="00211817">
              <w:rPr>
                <w:rFonts w:eastAsia="Arial" w:cs="Times New Roman"/>
                <w:iCs/>
                <w:caps/>
                <w:szCs w:val="20"/>
              </w:rPr>
              <w:instrText xml:space="preserve"> SEQ Table \* ARABIC </w:instrText>
            </w:r>
            <w:r w:rsidRPr="00211817">
              <w:rPr>
                <w:rFonts w:eastAsia="Arial"/>
                <w:iCs/>
                <w:caps/>
                <w:szCs w:val="20"/>
              </w:rPr>
              <w:fldChar w:fldCharType="separate"/>
            </w:r>
            <w:r w:rsidRPr="00211817">
              <w:rPr>
                <w:rFonts w:eastAsia="Arial" w:cs="Times New Roman"/>
                <w:iCs/>
                <w:caps/>
                <w:noProof/>
                <w:szCs w:val="20"/>
              </w:rPr>
              <w:t>2</w:t>
            </w:r>
            <w:r w:rsidRPr="00211817">
              <w:rPr>
                <w:rFonts w:eastAsia="Arial"/>
                <w:iCs/>
                <w:caps/>
                <w:noProof/>
                <w:szCs w:val="20"/>
              </w:rPr>
              <w:fldChar w:fldCharType="end"/>
            </w:r>
            <w:r w:rsidRPr="00211817">
              <w:rPr>
                <w:rFonts w:eastAsia="Arial" w:cs="Times New Roman"/>
                <w:iCs/>
                <w:caps/>
                <w:szCs w:val="20"/>
              </w:rPr>
              <w:t xml:space="preserve"> - Australian national DIETARY IODINE INTAKE data IN ADULTS, 2023 NNPAS (ABS 2025c) and 2011-13 AHS (ABS 2015)</w:t>
            </w:r>
          </w:p>
          <w:tbl>
            <w:tblPr>
              <w:tblW w:w="1172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976"/>
              <w:gridCol w:w="1418"/>
              <w:gridCol w:w="1559"/>
              <w:gridCol w:w="1559"/>
              <w:gridCol w:w="1134"/>
              <w:gridCol w:w="1701"/>
              <w:gridCol w:w="1373"/>
            </w:tblGrid>
            <w:tr w:rsidR="003E5592" w:rsidRPr="00211817" w14:paraId="3ACA5C8F" w14:textId="77777777" w:rsidTr="00175AC7">
              <w:trPr>
                <w:trHeight w:val="300"/>
              </w:trPr>
              <w:tc>
                <w:tcPr>
                  <w:tcW w:w="2976" w:type="dxa"/>
                  <w:vMerge w:val="restart"/>
                  <w:shd w:val="clear" w:color="auto" w:fill="005F85"/>
                  <w:noWrap/>
                  <w:vAlign w:val="bottom"/>
                </w:tcPr>
                <w:p w14:paraId="22535AA3" w14:textId="77777777" w:rsidR="003E5592" w:rsidRPr="00211817" w:rsidRDefault="003E5592">
                  <w:pPr>
                    <w:keepNext/>
                    <w:spacing w:after="0" w:line="240" w:lineRule="auto"/>
                    <w:rPr>
                      <w:rFonts w:eastAsia="Times New Roman" w:cs="Calibri"/>
                      <w:b/>
                      <w:bCs/>
                      <w:color w:val="FFFFFF"/>
                      <w:szCs w:val="20"/>
                    </w:rPr>
                  </w:pPr>
                  <w:r w:rsidRPr="00211817">
                    <w:rPr>
                      <w:rFonts w:eastAsia="Times New Roman" w:cs="Calibri"/>
                      <w:b/>
                      <w:bCs/>
                      <w:color w:val="FFFFFF"/>
                      <w:szCs w:val="20"/>
                    </w:rPr>
                    <w:t xml:space="preserve">Age groups in years </w:t>
                  </w:r>
                </w:p>
                <w:p w14:paraId="72C8EEA3" w14:textId="77777777" w:rsidR="003E5592" w:rsidRPr="00211817" w:rsidRDefault="003E5592">
                  <w:pPr>
                    <w:keepNext/>
                    <w:spacing w:after="0" w:line="240" w:lineRule="auto"/>
                    <w:rPr>
                      <w:rFonts w:eastAsia="Times New Roman" w:cs="Calibri"/>
                      <w:b/>
                      <w:bCs/>
                      <w:color w:val="FFFFFF"/>
                      <w:szCs w:val="20"/>
                    </w:rPr>
                  </w:pPr>
                  <w:r w:rsidRPr="00211817">
                    <w:rPr>
                      <w:rFonts w:eastAsia="Times New Roman" w:cs="Calibri"/>
                      <w:b/>
                      <w:bCs/>
                      <w:color w:val="FFFFFF"/>
                      <w:szCs w:val="20"/>
                    </w:rPr>
                    <w:t>(2023/2011-13)</w:t>
                  </w:r>
                </w:p>
              </w:tc>
              <w:tc>
                <w:tcPr>
                  <w:tcW w:w="2977" w:type="dxa"/>
                  <w:gridSpan w:val="2"/>
                  <w:shd w:val="clear" w:color="auto" w:fill="005F85"/>
                </w:tcPr>
                <w:p w14:paraId="2177D1BC"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2023 NNPAS (ABS, 2025c)</w:t>
                  </w:r>
                </w:p>
              </w:tc>
              <w:tc>
                <w:tcPr>
                  <w:tcW w:w="5767" w:type="dxa"/>
                  <w:gridSpan w:val="4"/>
                  <w:shd w:val="clear" w:color="auto" w:fill="005F85"/>
                </w:tcPr>
                <w:p w14:paraId="0CB5F024"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2011-13 AHS (ABS, 2015)</w:t>
                  </w:r>
                </w:p>
              </w:tc>
            </w:tr>
            <w:tr w:rsidR="003E5592" w:rsidRPr="00211817" w14:paraId="31C1525C" w14:textId="77777777" w:rsidTr="00175AC7">
              <w:trPr>
                <w:trHeight w:val="300"/>
              </w:trPr>
              <w:tc>
                <w:tcPr>
                  <w:tcW w:w="2976" w:type="dxa"/>
                  <w:vMerge/>
                  <w:noWrap/>
                  <w:vAlign w:val="bottom"/>
                </w:tcPr>
                <w:p w14:paraId="004DBEBB" w14:textId="77777777" w:rsidR="003E5592" w:rsidRPr="00211817" w:rsidRDefault="003E5592">
                  <w:pPr>
                    <w:keepNext/>
                    <w:spacing w:after="0" w:line="240" w:lineRule="auto"/>
                    <w:rPr>
                      <w:rFonts w:eastAsia="Times New Roman" w:cs="Calibri"/>
                      <w:b/>
                      <w:bCs/>
                      <w:color w:val="FFFFFF"/>
                      <w:szCs w:val="20"/>
                    </w:rPr>
                  </w:pPr>
                </w:p>
              </w:tc>
              <w:tc>
                <w:tcPr>
                  <w:tcW w:w="1418" w:type="dxa"/>
                  <w:shd w:val="clear" w:color="auto" w:fill="005F85"/>
                </w:tcPr>
                <w:p w14:paraId="419ACB2C"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Males</w:t>
                  </w:r>
                </w:p>
              </w:tc>
              <w:tc>
                <w:tcPr>
                  <w:tcW w:w="1559" w:type="dxa"/>
                  <w:shd w:val="clear" w:color="auto" w:fill="005F85"/>
                </w:tcPr>
                <w:p w14:paraId="6A713C83"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Females</w:t>
                  </w:r>
                </w:p>
              </w:tc>
              <w:tc>
                <w:tcPr>
                  <w:tcW w:w="2693" w:type="dxa"/>
                  <w:gridSpan w:val="2"/>
                  <w:shd w:val="clear" w:color="auto" w:fill="005F85"/>
                </w:tcPr>
                <w:p w14:paraId="152B5A8A"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Males</w:t>
                  </w:r>
                </w:p>
              </w:tc>
              <w:tc>
                <w:tcPr>
                  <w:tcW w:w="3074" w:type="dxa"/>
                  <w:gridSpan w:val="2"/>
                  <w:shd w:val="clear" w:color="auto" w:fill="005F85"/>
                </w:tcPr>
                <w:p w14:paraId="3B3D17A8"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Females</w:t>
                  </w:r>
                </w:p>
              </w:tc>
            </w:tr>
            <w:tr w:rsidR="003E5592" w:rsidRPr="00211817" w14:paraId="0FC23028" w14:textId="77777777" w:rsidTr="00175AC7">
              <w:trPr>
                <w:trHeight w:val="300"/>
              </w:trPr>
              <w:tc>
                <w:tcPr>
                  <w:tcW w:w="2976" w:type="dxa"/>
                  <w:vMerge/>
                  <w:noWrap/>
                  <w:vAlign w:val="bottom"/>
                  <w:hideMark/>
                </w:tcPr>
                <w:p w14:paraId="60817474" w14:textId="77777777" w:rsidR="003E5592" w:rsidRPr="00211817" w:rsidRDefault="003E5592">
                  <w:pPr>
                    <w:keepNext/>
                    <w:spacing w:after="0" w:line="240" w:lineRule="auto"/>
                    <w:rPr>
                      <w:rFonts w:eastAsia="Times New Roman" w:cs="Calibri"/>
                      <w:b/>
                      <w:bCs/>
                      <w:color w:val="FFFFFF"/>
                      <w:szCs w:val="20"/>
                    </w:rPr>
                  </w:pPr>
                </w:p>
              </w:tc>
              <w:tc>
                <w:tcPr>
                  <w:tcW w:w="1418" w:type="dxa"/>
                  <w:shd w:val="clear" w:color="auto" w:fill="005F85"/>
                </w:tcPr>
                <w:p w14:paraId="615D6898"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Mean intake (µg/day)</w:t>
                  </w:r>
                </w:p>
              </w:tc>
              <w:tc>
                <w:tcPr>
                  <w:tcW w:w="1559" w:type="dxa"/>
                  <w:shd w:val="clear" w:color="auto" w:fill="005F85"/>
                </w:tcPr>
                <w:p w14:paraId="578282FB"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Mean intake (µg/day)</w:t>
                  </w:r>
                </w:p>
              </w:tc>
              <w:tc>
                <w:tcPr>
                  <w:tcW w:w="1559" w:type="dxa"/>
                  <w:shd w:val="clear" w:color="auto" w:fill="005F85"/>
                </w:tcPr>
                <w:p w14:paraId="44E7C960"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 xml:space="preserve">Mean (95% CI) </w:t>
                  </w:r>
                </w:p>
                <w:p w14:paraId="0B253AD3"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Intake (µg/day)</w:t>
                  </w:r>
                </w:p>
              </w:tc>
              <w:tc>
                <w:tcPr>
                  <w:tcW w:w="1134" w:type="dxa"/>
                  <w:shd w:val="clear" w:color="auto" w:fill="005F85"/>
                </w:tcPr>
                <w:p w14:paraId="2E4E670D"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 less than EAR</w:t>
                  </w:r>
                </w:p>
              </w:tc>
              <w:tc>
                <w:tcPr>
                  <w:tcW w:w="1701" w:type="dxa"/>
                  <w:shd w:val="clear" w:color="auto" w:fill="005F85"/>
                </w:tcPr>
                <w:p w14:paraId="10D4329F"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Mean (95% CI) Intake (µg/day)</w:t>
                  </w:r>
                </w:p>
              </w:tc>
              <w:tc>
                <w:tcPr>
                  <w:tcW w:w="1373" w:type="dxa"/>
                  <w:shd w:val="clear" w:color="auto" w:fill="005F85"/>
                </w:tcPr>
                <w:p w14:paraId="37A6A985" w14:textId="77777777" w:rsidR="003E5592" w:rsidRPr="00211817" w:rsidRDefault="003E5592">
                  <w:pPr>
                    <w:keepNext/>
                    <w:spacing w:after="0" w:line="240" w:lineRule="auto"/>
                    <w:jc w:val="center"/>
                    <w:rPr>
                      <w:rFonts w:eastAsia="Times New Roman" w:cs="Calibri"/>
                      <w:b/>
                      <w:bCs/>
                      <w:color w:val="FFFFFF"/>
                      <w:szCs w:val="20"/>
                    </w:rPr>
                  </w:pPr>
                  <w:r w:rsidRPr="00211817">
                    <w:rPr>
                      <w:rFonts w:eastAsia="Times New Roman" w:cs="Calibri"/>
                      <w:b/>
                      <w:bCs/>
                      <w:color w:val="FFFFFF"/>
                      <w:szCs w:val="20"/>
                    </w:rPr>
                    <w:t>% less than EAR</w:t>
                  </w:r>
                </w:p>
              </w:tc>
            </w:tr>
            <w:tr w:rsidR="003E5592" w:rsidRPr="00211817" w14:paraId="09FB22B3" w14:textId="77777777" w:rsidTr="00175AC7">
              <w:trPr>
                <w:trHeight w:val="300"/>
              </w:trPr>
              <w:tc>
                <w:tcPr>
                  <w:tcW w:w="2976" w:type="dxa"/>
                  <w:noWrap/>
                  <w:vAlign w:val="bottom"/>
                </w:tcPr>
                <w:p w14:paraId="27BE2408" w14:textId="77777777" w:rsidR="003E5592" w:rsidRPr="00211817" w:rsidRDefault="003E5592">
                  <w:pPr>
                    <w:keepNext/>
                    <w:spacing w:after="0" w:line="240" w:lineRule="auto"/>
                    <w:rPr>
                      <w:rFonts w:eastAsia="Times New Roman" w:cs="Calibri"/>
                      <w:b/>
                      <w:bCs/>
                      <w:szCs w:val="20"/>
                    </w:rPr>
                  </w:pPr>
                  <w:r w:rsidRPr="00211817">
                    <w:rPr>
                      <w:rFonts w:eastAsia="Times New Roman" w:cs="Calibri"/>
                      <w:b/>
                      <w:bCs/>
                      <w:szCs w:val="20"/>
                    </w:rPr>
                    <w:t>18 to &lt;30y/19 to &lt;31y</w:t>
                  </w:r>
                </w:p>
              </w:tc>
              <w:tc>
                <w:tcPr>
                  <w:tcW w:w="1418" w:type="dxa"/>
                </w:tcPr>
                <w:p w14:paraId="447914E8" w14:textId="77777777" w:rsidR="003E5592" w:rsidRPr="00211817" w:rsidRDefault="003E5592">
                  <w:pPr>
                    <w:keepNext/>
                    <w:spacing w:after="0" w:line="240" w:lineRule="auto"/>
                    <w:jc w:val="center"/>
                    <w:rPr>
                      <w:rFonts w:eastAsia="Times New Roman" w:cs="Calibri"/>
                      <w:color w:val="000000"/>
                      <w:szCs w:val="20"/>
                    </w:rPr>
                  </w:pPr>
                  <w:r w:rsidRPr="00211817">
                    <w:rPr>
                      <w:rFonts w:eastAsia="Arial"/>
                      <w:szCs w:val="20"/>
                    </w:rPr>
                    <w:t>194.2</w:t>
                  </w:r>
                </w:p>
              </w:tc>
              <w:tc>
                <w:tcPr>
                  <w:tcW w:w="1559" w:type="dxa"/>
                </w:tcPr>
                <w:p w14:paraId="7423E57D" w14:textId="77777777" w:rsidR="003E5592" w:rsidRPr="00211817" w:rsidRDefault="003E5592">
                  <w:pPr>
                    <w:keepNext/>
                    <w:spacing w:after="0" w:line="240" w:lineRule="auto"/>
                    <w:jc w:val="center"/>
                    <w:rPr>
                      <w:rFonts w:eastAsia="Times New Roman" w:cs="Calibri"/>
                      <w:color w:val="000000"/>
                      <w:szCs w:val="20"/>
                    </w:rPr>
                  </w:pPr>
                  <w:r w:rsidRPr="00211817">
                    <w:rPr>
                      <w:rFonts w:eastAsia="Arial"/>
                      <w:szCs w:val="20"/>
                    </w:rPr>
                    <w:t>144.6</w:t>
                  </w:r>
                </w:p>
              </w:tc>
              <w:tc>
                <w:tcPr>
                  <w:tcW w:w="1559" w:type="dxa"/>
                </w:tcPr>
                <w:p w14:paraId="2027EB1E"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202 (120 - 299)</w:t>
                  </w:r>
                </w:p>
              </w:tc>
              <w:tc>
                <w:tcPr>
                  <w:tcW w:w="1134" w:type="dxa"/>
                </w:tcPr>
                <w:p w14:paraId="3673975F"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1.5%</w:t>
                  </w:r>
                </w:p>
              </w:tc>
              <w:tc>
                <w:tcPr>
                  <w:tcW w:w="1701" w:type="dxa"/>
                </w:tcPr>
                <w:p w14:paraId="0B82D734"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146 (86 - 218)</w:t>
                  </w:r>
                </w:p>
              </w:tc>
              <w:tc>
                <w:tcPr>
                  <w:tcW w:w="1373" w:type="dxa"/>
                </w:tcPr>
                <w:p w14:paraId="3586A881"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11.7%</w:t>
                  </w:r>
                </w:p>
              </w:tc>
            </w:tr>
            <w:tr w:rsidR="003E5592" w:rsidRPr="00211817" w14:paraId="07ED6D02" w14:textId="77777777" w:rsidTr="00175AC7">
              <w:trPr>
                <w:trHeight w:val="300"/>
              </w:trPr>
              <w:tc>
                <w:tcPr>
                  <w:tcW w:w="2976" w:type="dxa"/>
                  <w:noWrap/>
                  <w:vAlign w:val="bottom"/>
                  <w:hideMark/>
                </w:tcPr>
                <w:p w14:paraId="026EEB99" w14:textId="77777777" w:rsidR="003E5592" w:rsidRPr="00211817" w:rsidRDefault="003E5592">
                  <w:pPr>
                    <w:keepNext/>
                    <w:spacing w:after="0" w:line="240" w:lineRule="auto"/>
                    <w:rPr>
                      <w:rFonts w:eastAsia="Times New Roman" w:cs="Calibri"/>
                      <w:b/>
                      <w:bCs/>
                      <w:szCs w:val="20"/>
                    </w:rPr>
                  </w:pPr>
                  <w:r w:rsidRPr="00211817">
                    <w:rPr>
                      <w:rFonts w:eastAsia="Times New Roman" w:cs="Calibri"/>
                      <w:b/>
                      <w:bCs/>
                      <w:szCs w:val="20"/>
                    </w:rPr>
                    <w:t>30 to &lt;50y/31 to &lt;51y</w:t>
                  </w:r>
                </w:p>
              </w:tc>
              <w:tc>
                <w:tcPr>
                  <w:tcW w:w="1418" w:type="dxa"/>
                </w:tcPr>
                <w:p w14:paraId="7450F364" w14:textId="77777777" w:rsidR="003E5592" w:rsidRPr="00211817" w:rsidRDefault="003E5592">
                  <w:pPr>
                    <w:keepNext/>
                    <w:spacing w:after="0" w:line="240" w:lineRule="auto"/>
                    <w:jc w:val="center"/>
                    <w:rPr>
                      <w:rFonts w:eastAsia="Times New Roman" w:cs="Calibri"/>
                      <w:color w:val="000000"/>
                      <w:szCs w:val="20"/>
                    </w:rPr>
                  </w:pPr>
                  <w:r w:rsidRPr="00211817">
                    <w:rPr>
                      <w:rFonts w:eastAsia="Arial"/>
                      <w:szCs w:val="20"/>
                    </w:rPr>
                    <w:t>197.3</w:t>
                  </w:r>
                </w:p>
              </w:tc>
              <w:tc>
                <w:tcPr>
                  <w:tcW w:w="1559" w:type="dxa"/>
                </w:tcPr>
                <w:p w14:paraId="609646FA" w14:textId="77777777" w:rsidR="003E5592" w:rsidRPr="00211817" w:rsidRDefault="003E5592">
                  <w:pPr>
                    <w:keepNext/>
                    <w:spacing w:after="0" w:line="240" w:lineRule="auto"/>
                    <w:jc w:val="center"/>
                    <w:rPr>
                      <w:rFonts w:eastAsia="Times New Roman" w:cs="Calibri"/>
                      <w:color w:val="000000"/>
                      <w:szCs w:val="20"/>
                    </w:rPr>
                  </w:pPr>
                  <w:r w:rsidRPr="00211817">
                    <w:rPr>
                      <w:rFonts w:eastAsia="Arial"/>
                      <w:szCs w:val="20"/>
                    </w:rPr>
                    <w:t>160.0</w:t>
                  </w:r>
                </w:p>
              </w:tc>
              <w:tc>
                <w:tcPr>
                  <w:tcW w:w="1559" w:type="dxa"/>
                </w:tcPr>
                <w:p w14:paraId="002DDB23"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200 (119 - 297)</w:t>
                  </w:r>
                </w:p>
              </w:tc>
              <w:tc>
                <w:tcPr>
                  <w:tcW w:w="1134" w:type="dxa"/>
                </w:tcPr>
                <w:p w14:paraId="7A3C79EB"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1.6%</w:t>
                  </w:r>
                </w:p>
              </w:tc>
              <w:tc>
                <w:tcPr>
                  <w:tcW w:w="1701" w:type="dxa"/>
                </w:tcPr>
                <w:p w14:paraId="7D1E3304"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152 (91 - 226)</w:t>
                  </w:r>
                </w:p>
              </w:tc>
              <w:tc>
                <w:tcPr>
                  <w:tcW w:w="1373" w:type="dxa"/>
                </w:tcPr>
                <w:p w14:paraId="0A98186B"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9.0%</w:t>
                  </w:r>
                </w:p>
              </w:tc>
            </w:tr>
            <w:tr w:rsidR="003E5592" w:rsidRPr="00211817" w14:paraId="2AED1036" w14:textId="77777777" w:rsidTr="00175AC7">
              <w:trPr>
                <w:trHeight w:val="300"/>
              </w:trPr>
              <w:tc>
                <w:tcPr>
                  <w:tcW w:w="2976" w:type="dxa"/>
                  <w:noWrap/>
                  <w:vAlign w:val="bottom"/>
                  <w:hideMark/>
                </w:tcPr>
                <w:p w14:paraId="3A7B98AE" w14:textId="77777777" w:rsidR="003E5592" w:rsidRPr="00211817" w:rsidRDefault="003E5592">
                  <w:pPr>
                    <w:keepNext/>
                    <w:spacing w:after="0" w:line="240" w:lineRule="auto"/>
                    <w:rPr>
                      <w:rFonts w:eastAsia="Times New Roman" w:cs="Calibri"/>
                      <w:b/>
                      <w:bCs/>
                      <w:szCs w:val="20"/>
                    </w:rPr>
                  </w:pPr>
                  <w:r w:rsidRPr="00211817">
                    <w:rPr>
                      <w:rFonts w:eastAsia="Times New Roman" w:cs="Calibri"/>
                      <w:b/>
                      <w:bCs/>
                      <w:szCs w:val="20"/>
                    </w:rPr>
                    <w:t>50 to &lt;65y/51 to &lt;71y</w:t>
                  </w:r>
                </w:p>
              </w:tc>
              <w:tc>
                <w:tcPr>
                  <w:tcW w:w="1418" w:type="dxa"/>
                </w:tcPr>
                <w:p w14:paraId="329D1278"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199.6</w:t>
                  </w:r>
                </w:p>
              </w:tc>
              <w:tc>
                <w:tcPr>
                  <w:tcW w:w="1559" w:type="dxa"/>
                </w:tcPr>
                <w:p w14:paraId="4EDA5577"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158.2</w:t>
                  </w:r>
                </w:p>
              </w:tc>
              <w:tc>
                <w:tcPr>
                  <w:tcW w:w="1559" w:type="dxa"/>
                </w:tcPr>
                <w:p w14:paraId="290DA833"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182 (106 - 274)</w:t>
                  </w:r>
                </w:p>
              </w:tc>
              <w:tc>
                <w:tcPr>
                  <w:tcW w:w="1134" w:type="dxa"/>
                </w:tcPr>
                <w:p w14:paraId="0BFA6A92"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3.5%</w:t>
                  </w:r>
                </w:p>
              </w:tc>
              <w:tc>
                <w:tcPr>
                  <w:tcW w:w="1701" w:type="dxa"/>
                </w:tcPr>
                <w:p w14:paraId="20D725CD"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149 (89 - 221)</w:t>
                  </w:r>
                </w:p>
              </w:tc>
              <w:tc>
                <w:tcPr>
                  <w:tcW w:w="1373" w:type="dxa"/>
                </w:tcPr>
                <w:p w14:paraId="78D1FD3D"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10.5%</w:t>
                  </w:r>
                </w:p>
              </w:tc>
            </w:tr>
            <w:tr w:rsidR="003E5592" w:rsidRPr="00211817" w14:paraId="41956D27" w14:textId="77777777" w:rsidTr="00175AC7">
              <w:trPr>
                <w:trHeight w:val="300"/>
              </w:trPr>
              <w:tc>
                <w:tcPr>
                  <w:tcW w:w="2976" w:type="dxa"/>
                  <w:noWrap/>
                  <w:vAlign w:val="bottom"/>
                  <w:hideMark/>
                </w:tcPr>
                <w:p w14:paraId="6393B59E" w14:textId="77777777" w:rsidR="003E5592" w:rsidRPr="00211817" w:rsidRDefault="003E5592">
                  <w:pPr>
                    <w:keepNext/>
                    <w:spacing w:after="0" w:line="240" w:lineRule="auto"/>
                    <w:rPr>
                      <w:rFonts w:eastAsia="Times New Roman" w:cs="Calibri"/>
                      <w:b/>
                      <w:bCs/>
                      <w:szCs w:val="20"/>
                    </w:rPr>
                  </w:pPr>
                  <w:r w:rsidRPr="00211817">
                    <w:rPr>
                      <w:rFonts w:eastAsia="Times New Roman" w:cs="Calibri"/>
                      <w:b/>
                      <w:bCs/>
                      <w:szCs w:val="20"/>
                    </w:rPr>
                    <w:t>65 to &lt;75y/71y and over</w:t>
                  </w:r>
                </w:p>
              </w:tc>
              <w:tc>
                <w:tcPr>
                  <w:tcW w:w="1418" w:type="dxa"/>
                </w:tcPr>
                <w:p w14:paraId="34AB4B9C"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190.9</w:t>
                  </w:r>
                </w:p>
              </w:tc>
              <w:tc>
                <w:tcPr>
                  <w:tcW w:w="1559" w:type="dxa"/>
                </w:tcPr>
                <w:p w14:paraId="2A807804"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167.1</w:t>
                  </w:r>
                </w:p>
              </w:tc>
              <w:tc>
                <w:tcPr>
                  <w:tcW w:w="1559" w:type="dxa"/>
                  <w:vMerge w:val="restart"/>
                  <w:vAlign w:val="center"/>
                </w:tcPr>
                <w:p w14:paraId="1D88EADA"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178 (103 - 270)</w:t>
                  </w:r>
                </w:p>
              </w:tc>
              <w:tc>
                <w:tcPr>
                  <w:tcW w:w="1134" w:type="dxa"/>
                  <w:vMerge w:val="restart"/>
                  <w:vAlign w:val="center"/>
                </w:tcPr>
                <w:p w14:paraId="28A665EB"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4.2%</w:t>
                  </w:r>
                </w:p>
              </w:tc>
              <w:tc>
                <w:tcPr>
                  <w:tcW w:w="1701" w:type="dxa"/>
                  <w:vMerge w:val="restart"/>
                  <w:vAlign w:val="center"/>
                </w:tcPr>
                <w:p w14:paraId="12A0AF1B"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151 (91 - 224)</w:t>
                  </w:r>
                </w:p>
              </w:tc>
              <w:tc>
                <w:tcPr>
                  <w:tcW w:w="1373" w:type="dxa"/>
                  <w:vMerge w:val="restart"/>
                  <w:vAlign w:val="center"/>
                </w:tcPr>
                <w:p w14:paraId="396A6445"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9.2%</w:t>
                  </w:r>
                </w:p>
              </w:tc>
            </w:tr>
            <w:tr w:rsidR="003E5592" w:rsidRPr="00211817" w14:paraId="651FD62E" w14:textId="77777777" w:rsidTr="00175AC7">
              <w:trPr>
                <w:trHeight w:val="300"/>
              </w:trPr>
              <w:tc>
                <w:tcPr>
                  <w:tcW w:w="2976" w:type="dxa"/>
                  <w:noWrap/>
                  <w:vAlign w:val="bottom"/>
                </w:tcPr>
                <w:p w14:paraId="1C8952F4" w14:textId="77777777" w:rsidR="003E5592" w:rsidRPr="00211817" w:rsidRDefault="003E5592">
                  <w:pPr>
                    <w:keepNext/>
                    <w:spacing w:after="0" w:line="240" w:lineRule="auto"/>
                    <w:rPr>
                      <w:rFonts w:eastAsia="Times New Roman" w:cs="Calibri"/>
                      <w:b/>
                      <w:bCs/>
                      <w:szCs w:val="20"/>
                    </w:rPr>
                  </w:pPr>
                  <w:r w:rsidRPr="00211817">
                    <w:rPr>
                      <w:rFonts w:eastAsia="Times New Roman" w:cs="Calibri"/>
                      <w:b/>
                      <w:bCs/>
                      <w:szCs w:val="20"/>
                    </w:rPr>
                    <w:t>75y and over/71 y and over</w:t>
                  </w:r>
                </w:p>
              </w:tc>
              <w:tc>
                <w:tcPr>
                  <w:tcW w:w="1418" w:type="dxa"/>
                </w:tcPr>
                <w:p w14:paraId="5B400FB0"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193.1</w:t>
                  </w:r>
                </w:p>
              </w:tc>
              <w:tc>
                <w:tcPr>
                  <w:tcW w:w="1559" w:type="dxa"/>
                </w:tcPr>
                <w:p w14:paraId="43A6C3DB" w14:textId="77777777" w:rsidR="003E5592" w:rsidRPr="00211817" w:rsidRDefault="003E5592">
                  <w:pPr>
                    <w:keepNext/>
                    <w:spacing w:after="0" w:line="240" w:lineRule="auto"/>
                    <w:jc w:val="center"/>
                    <w:rPr>
                      <w:rFonts w:eastAsia="Times New Roman" w:cs="Calibri"/>
                      <w:color w:val="000000"/>
                      <w:szCs w:val="20"/>
                    </w:rPr>
                  </w:pPr>
                  <w:r w:rsidRPr="00211817">
                    <w:rPr>
                      <w:rFonts w:eastAsia="Times New Roman" w:cs="Calibri"/>
                      <w:color w:val="000000"/>
                      <w:szCs w:val="20"/>
                    </w:rPr>
                    <w:t>164.6</w:t>
                  </w:r>
                </w:p>
              </w:tc>
              <w:tc>
                <w:tcPr>
                  <w:tcW w:w="1559" w:type="dxa"/>
                  <w:vMerge/>
                </w:tcPr>
                <w:p w14:paraId="6FB47821" w14:textId="77777777" w:rsidR="003E5592" w:rsidRPr="00211817" w:rsidRDefault="003E5592">
                  <w:pPr>
                    <w:keepNext/>
                    <w:spacing w:after="0" w:line="240" w:lineRule="auto"/>
                    <w:jc w:val="center"/>
                    <w:rPr>
                      <w:rFonts w:eastAsia="Times New Roman" w:cs="Calibri"/>
                      <w:color w:val="000000"/>
                      <w:szCs w:val="20"/>
                    </w:rPr>
                  </w:pPr>
                </w:p>
              </w:tc>
              <w:tc>
                <w:tcPr>
                  <w:tcW w:w="1134" w:type="dxa"/>
                  <w:vMerge/>
                </w:tcPr>
                <w:p w14:paraId="79718671" w14:textId="77777777" w:rsidR="003E5592" w:rsidRPr="00211817" w:rsidRDefault="003E5592">
                  <w:pPr>
                    <w:keepNext/>
                    <w:spacing w:after="0" w:line="240" w:lineRule="auto"/>
                    <w:jc w:val="center"/>
                    <w:rPr>
                      <w:rFonts w:eastAsia="Times New Roman" w:cs="Calibri"/>
                      <w:color w:val="000000"/>
                      <w:szCs w:val="20"/>
                    </w:rPr>
                  </w:pPr>
                </w:p>
              </w:tc>
              <w:tc>
                <w:tcPr>
                  <w:tcW w:w="1701" w:type="dxa"/>
                  <w:vMerge/>
                </w:tcPr>
                <w:p w14:paraId="133F9204" w14:textId="77777777" w:rsidR="003E5592" w:rsidRPr="00211817" w:rsidRDefault="003E5592">
                  <w:pPr>
                    <w:keepNext/>
                    <w:spacing w:after="0" w:line="240" w:lineRule="auto"/>
                    <w:jc w:val="center"/>
                    <w:rPr>
                      <w:rFonts w:eastAsia="Times New Roman" w:cs="Calibri"/>
                      <w:color w:val="000000"/>
                      <w:szCs w:val="20"/>
                    </w:rPr>
                  </w:pPr>
                </w:p>
              </w:tc>
              <w:tc>
                <w:tcPr>
                  <w:tcW w:w="1373" w:type="dxa"/>
                  <w:vMerge/>
                </w:tcPr>
                <w:p w14:paraId="08D16BC3" w14:textId="77777777" w:rsidR="003E5592" w:rsidRPr="00211817" w:rsidRDefault="003E5592">
                  <w:pPr>
                    <w:keepNext/>
                    <w:spacing w:after="0" w:line="240" w:lineRule="auto"/>
                    <w:jc w:val="center"/>
                    <w:rPr>
                      <w:rFonts w:eastAsia="Times New Roman" w:cs="Calibri"/>
                      <w:color w:val="000000"/>
                      <w:szCs w:val="20"/>
                    </w:rPr>
                  </w:pPr>
                </w:p>
              </w:tc>
            </w:tr>
          </w:tbl>
          <w:p w14:paraId="11688159" w14:textId="77777777" w:rsidR="003E5592" w:rsidRPr="00211817" w:rsidRDefault="003E5592">
            <w:pPr>
              <w:spacing w:before="160"/>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211817">
              <w:rPr>
                <w:rFonts w:eastAsia="Arial" w:cs="Times New Roman"/>
                <w:szCs w:val="20"/>
              </w:rPr>
              <w:t xml:space="preserve">In New Zealand, the most recent national data found that median UIC for all adults was 103 µg/L, however one in five (20.3%) of those surveyed had UIC below 50 µg/L - slightly above the WHO threshold for population sufficiency (NZ MoH, </w:t>
            </w:r>
            <w:r w:rsidRPr="00211817">
              <w:rPr>
                <w:rFonts w:eastAsia="Arial" w:cs="Times New Roman"/>
                <w:szCs w:val="20"/>
              </w:rPr>
              <w:lastRenderedPageBreak/>
              <w:t>2020; WHO, 2013). Furthermore, whilst the median UIC for men was &gt;100µg/L across all ages and ethnic groups, the median UIC for women remained below the WHO threshold for sufficiency at 93 µg/L, with only those women aged 15-24 years or of Māori, Pacific and Asian ethnicities reporting concentrations &gt;100 µg/L (NZ MoH 2020)</w:t>
            </w:r>
          </w:p>
          <w:p w14:paraId="7136F69D" w14:textId="77777777" w:rsidR="003E5592" w:rsidRPr="00211817" w:rsidRDefault="003E5592">
            <w:pPr>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lightGray"/>
              </w:rPr>
            </w:pPr>
            <w:r w:rsidRPr="00211817">
              <w:rPr>
                <w:rFonts w:eastAsia="Times New Roman" w:cs="Times New Roman"/>
                <w:szCs w:val="20"/>
              </w:rPr>
              <w:t>There are no clear indicators of population-level health effects associated with iodine deficiency in Australia and New Zealand, following the introduction of mandatory fortification in 2009. However, the persistence of mild deficiency in women of reproductive age is of concern and requires careful consideration. Individuals with diets low in iodine-containing foods - such as vegan/vegetarian or dairy-free diets, low commercial bread intake, or low iodised salt intake - may be at increased risk of deficiency. This is a particular consideration with reduced consumption of commercial bread and bread products (ABS 2025b; ABS 2025c) and growing interest in plant-forward diets with lower animal product consumption in Australia and New Zealand (Roy Morgan 2016; Kantar 2022; Riverola et al. 2023).</w:t>
            </w:r>
          </w:p>
        </w:tc>
      </w:tr>
      <w:tr w:rsidR="003E5592" w:rsidRPr="00211817" w14:paraId="3B56B677" w14:textId="77777777" w:rsidTr="000362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tcPr>
          <w:p w14:paraId="65D0DF67" w14:textId="77777777" w:rsidR="003E5592" w:rsidRPr="00211817" w:rsidRDefault="003E5592">
            <w:pPr>
              <w:rPr>
                <w:rFonts w:eastAsia="Times New Roman" w:cs="Arial"/>
                <w:szCs w:val="20"/>
              </w:rPr>
            </w:pPr>
            <w:r w:rsidRPr="00211817">
              <w:rPr>
                <w:rFonts w:eastAsia="Times New Roman" w:cs="Arial"/>
                <w:szCs w:val="20"/>
              </w:rPr>
              <w:lastRenderedPageBreak/>
              <w:t>Benchmarking against comparable international jurisdictions</w:t>
            </w:r>
          </w:p>
        </w:tc>
        <w:tc>
          <w:tcPr>
            <w:tcW w:w="12331" w:type="dxa"/>
            <w:gridSpan w:val="2"/>
          </w:tcPr>
          <w:p w14:paraId="1917704D" w14:textId="77777777" w:rsidR="003E5592" w:rsidRPr="00211817" w:rsidRDefault="003E5592">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Irrespective of whether an EAR and RDI is retained - or an AI set - the recommended iodine intake for adults aligns with values from comparable international jurisdictions, noting that the type of NRV (EAR &amp; RDI vs AI) varies across jurisdictions. Table 3 shows NRV recommendations for comparable international jurisdictions. Where a jurisdiction specifies an EAR and RDI, the RDI has been extracted for comparison purposes.</w:t>
            </w:r>
          </w:p>
          <w:p w14:paraId="333BF372" w14:textId="77777777" w:rsidR="003E5592" w:rsidRPr="00211817" w:rsidRDefault="003E5592">
            <w:pPr>
              <w:keepNext/>
              <w:spacing w:after="200"/>
              <w:cnfStyle w:val="000000010000" w:firstRow="0" w:lastRow="0" w:firstColumn="0" w:lastColumn="0" w:oddVBand="0" w:evenVBand="0" w:oddHBand="0" w:evenHBand="1" w:firstRowFirstColumn="0" w:firstRowLastColumn="0" w:lastRowFirstColumn="0" w:lastRowLastColumn="0"/>
              <w:rPr>
                <w:rFonts w:eastAsia="Arial" w:cs="Times New Roman"/>
                <w:iCs/>
                <w:caps/>
                <w:szCs w:val="20"/>
              </w:rPr>
            </w:pPr>
            <w:r w:rsidRPr="00211817">
              <w:rPr>
                <w:rFonts w:eastAsia="Arial" w:cs="Times New Roman"/>
                <w:iCs/>
                <w:caps/>
                <w:szCs w:val="20"/>
              </w:rPr>
              <w:t xml:space="preserve">Table </w:t>
            </w:r>
            <w:r w:rsidRPr="00211817">
              <w:rPr>
                <w:rFonts w:eastAsia="Arial"/>
                <w:iCs/>
                <w:caps/>
                <w:szCs w:val="20"/>
              </w:rPr>
              <w:fldChar w:fldCharType="begin"/>
            </w:r>
            <w:r w:rsidRPr="00211817">
              <w:rPr>
                <w:rFonts w:eastAsia="Arial" w:cs="Times New Roman"/>
                <w:iCs/>
                <w:caps/>
                <w:szCs w:val="20"/>
              </w:rPr>
              <w:instrText xml:space="preserve"> SEQ Table \* ARABIC </w:instrText>
            </w:r>
            <w:r w:rsidRPr="00211817">
              <w:rPr>
                <w:rFonts w:eastAsia="Arial"/>
                <w:iCs/>
                <w:caps/>
                <w:szCs w:val="20"/>
              </w:rPr>
              <w:fldChar w:fldCharType="separate"/>
            </w:r>
            <w:r w:rsidRPr="00211817">
              <w:rPr>
                <w:rFonts w:eastAsia="Arial" w:cs="Times New Roman"/>
                <w:iCs/>
                <w:caps/>
                <w:noProof/>
                <w:szCs w:val="20"/>
              </w:rPr>
              <w:t>3</w:t>
            </w:r>
            <w:r w:rsidRPr="00211817">
              <w:rPr>
                <w:rFonts w:eastAsia="Arial"/>
                <w:iCs/>
                <w:caps/>
                <w:noProof/>
                <w:szCs w:val="20"/>
              </w:rPr>
              <w:fldChar w:fldCharType="end"/>
            </w:r>
            <w:r w:rsidRPr="00211817">
              <w:rPr>
                <w:rFonts w:eastAsia="Arial" w:cs="Times New Roman"/>
                <w:iCs/>
                <w:caps/>
                <w:szCs w:val="20"/>
              </w:rPr>
              <w:t xml:space="preserve"> - ADULT NUTRITIONAL ADEQUACY RECOMMENDATIONS ACROSS COMPARABLE JURISDICTIONS</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909"/>
              <w:gridCol w:w="1524"/>
              <w:gridCol w:w="1453"/>
              <w:gridCol w:w="1276"/>
              <w:gridCol w:w="1276"/>
              <w:gridCol w:w="1275"/>
              <w:gridCol w:w="1276"/>
            </w:tblGrid>
            <w:tr w:rsidR="003E5592" w:rsidRPr="00211817" w14:paraId="3C17BC41" w14:textId="77777777" w:rsidTr="00175AC7">
              <w:trPr>
                <w:trHeight w:val="900"/>
              </w:trPr>
              <w:tc>
                <w:tcPr>
                  <w:tcW w:w="1909" w:type="dxa"/>
                  <w:shd w:val="clear" w:color="auto" w:fill="005F85"/>
                  <w:vAlign w:val="bottom"/>
                  <w:hideMark/>
                </w:tcPr>
                <w:p w14:paraId="1DF71C1B" w14:textId="77777777" w:rsidR="003E5592" w:rsidRPr="00211817" w:rsidRDefault="003E5592">
                  <w:pPr>
                    <w:spacing w:after="0" w:line="240" w:lineRule="auto"/>
                    <w:rPr>
                      <w:rFonts w:eastAsia="Times New Roman"/>
                      <w:b/>
                      <w:bCs/>
                      <w:color w:val="FFFFFF"/>
                      <w:szCs w:val="20"/>
                    </w:rPr>
                  </w:pPr>
                  <w:r w:rsidRPr="00211817">
                    <w:rPr>
                      <w:rFonts w:eastAsia="Times New Roman"/>
                      <w:b/>
                      <w:bCs/>
                      <w:color w:val="FFFFFF"/>
                      <w:szCs w:val="20"/>
                    </w:rPr>
                    <w:t>Age (years)</w:t>
                  </w:r>
                </w:p>
              </w:tc>
              <w:tc>
                <w:tcPr>
                  <w:tcW w:w="1524" w:type="dxa"/>
                  <w:shd w:val="clear" w:color="auto" w:fill="005F85"/>
                  <w:vAlign w:val="bottom"/>
                </w:tcPr>
                <w:p w14:paraId="2BFDFA6C"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Proposed ANZ</w:t>
                  </w:r>
                </w:p>
                <w:p w14:paraId="497CC711"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 xml:space="preserve">AI </w:t>
                  </w:r>
                </w:p>
                <w:p w14:paraId="52EDBC1A"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(µg/day)</w:t>
                  </w:r>
                </w:p>
              </w:tc>
              <w:tc>
                <w:tcPr>
                  <w:tcW w:w="1453" w:type="dxa"/>
                  <w:shd w:val="clear" w:color="auto" w:fill="005F85"/>
                  <w:vAlign w:val="bottom"/>
                  <w:hideMark/>
                </w:tcPr>
                <w:p w14:paraId="055624FD"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 xml:space="preserve">Current/ Proposed ANZ RDI </w:t>
                  </w:r>
                </w:p>
                <w:p w14:paraId="54D5B4D5"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(2006)</w:t>
                  </w:r>
                </w:p>
                <w:p w14:paraId="25872EB1"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(µg/day)</w:t>
                  </w:r>
                </w:p>
              </w:tc>
              <w:tc>
                <w:tcPr>
                  <w:tcW w:w="1276" w:type="dxa"/>
                  <w:shd w:val="clear" w:color="auto" w:fill="005F85"/>
                  <w:vAlign w:val="bottom"/>
                  <w:hideMark/>
                </w:tcPr>
                <w:p w14:paraId="4E16F193"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 xml:space="preserve">EFSA AI </w:t>
                  </w:r>
                </w:p>
                <w:p w14:paraId="613E73DC"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(2014)</w:t>
                  </w:r>
                </w:p>
                <w:p w14:paraId="33EFA87F"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(µg/day)</w:t>
                  </w:r>
                </w:p>
              </w:tc>
              <w:tc>
                <w:tcPr>
                  <w:tcW w:w="1276" w:type="dxa"/>
                  <w:shd w:val="clear" w:color="auto" w:fill="005F85"/>
                  <w:vAlign w:val="bottom"/>
                  <w:hideMark/>
                </w:tcPr>
                <w:p w14:paraId="0C1FE75B"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NNR AI (2023)</w:t>
                  </w:r>
                </w:p>
                <w:p w14:paraId="3EFB5205"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(µg/day)</w:t>
                  </w:r>
                </w:p>
              </w:tc>
              <w:tc>
                <w:tcPr>
                  <w:tcW w:w="1275" w:type="dxa"/>
                  <w:shd w:val="clear" w:color="auto" w:fill="005F85"/>
                  <w:vAlign w:val="bottom"/>
                </w:tcPr>
                <w:p w14:paraId="4A8659FD"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WHO RDI (2007)</w:t>
                  </w:r>
                </w:p>
                <w:p w14:paraId="1F372663"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(µg/day)</w:t>
                  </w:r>
                </w:p>
              </w:tc>
              <w:tc>
                <w:tcPr>
                  <w:tcW w:w="1276" w:type="dxa"/>
                  <w:shd w:val="clear" w:color="auto" w:fill="005F85"/>
                  <w:vAlign w:val="bottom"/>
                </w:tcPr>
                <w:p w14:paraId="21C877E3"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D-A-C-H RDI (2013)</w:t>
                  </w:r>
                </w:p>
                <w:p w14:paraId="22AC03BA" w14:textId="77777777" w:rsidR="003E5592" w:rsidRPr="00211817" w:rsidRDefault="003E5592">
                  <w:pPr>
                    <w:spacing w:after="0" w:line="240" w:lineRule="auto"/>
                    <w:jc w:val="center"/>
                    <w:rPr>
                      <w:rFonts w:eastAsia="Times New Roman"/>
                      <w:b/>
                      <w:bCs/>
                      <w:color w:val="FFFFFF"/>
                      <w:szCs w:val="20"/>
                    </w:rPr>
                  </w:pPr>
                  <w:r w:rsidRPr="00211817">
                    <w:rPr>
                      <w:rFonts w:eastAsia="Times New Roman"/>
                      <w:b/>
                      <w:bCs/>
                      <w:color w:val="FFFFFF"/>
                      <w:szCs w:val="20"/>
                    </w:rPr>
                    <w:t>(µg/day)</w:t>
                  </w:r>
                </w:p>
              </w:tc>
            </w:tr>
            <w:tr w:rsidR="003E5592" w:rsidRPr="00211817" w14:paraId="62C0F6D8" w14:textId="77777777" w:rsidTr="00175AC7">
              <w:trPr>
                <w:trHeight w:val="300"/>
              </w:trPr>
              <w:tc>
                <w:tcPr>
                  <w:tcW w:w="1909" w:type="dxa"/>
                  <w:noWrap/>
                  <w:vAlign w:val="center"/>
                </w:tcPr>
                <w:p w14:paraId="759DE09A" w14:textId="77777777" w:rsidR="003E5592" w:rsidRPr="00211817" w:rsidRDefault="003E5592">
                  <w:pPr>
                    <w:spacing w:after="0" w:line="240" w:lineRule="auto"/>
                    <w:rPr>
                      <w:rFonts w:eastAsia="Times New Roman"/>
                      <w:color w:val="000000"/>
                      <w:szCs w:val="20"/>
                    </w:rPr>
                  </w:pPr>
                  <w:r w:rsidRPr="00211817">
                    <w:rPr>
                      <w:rFonts w:eastAsia="Times New Roman"/>
                      <w:color w:val="000000"/>
                      <w:szCs w:val="20"/>
                    </w:rPr>
                    <w:t>Adults 18 +years:</w:t>
                  </w:r>
                </w:p>
              </w:tc>
              <w:tc>
                <w:tcPr>
                  <w:tcW w:w="1524" w:type="dxa"/>
                  <w:vAlign w:val="center"/>
                </w:tcPr>
                <w:p w14:paraId="44BE6FBA" w14:textId="77777777" w:rsidR="003E5592" w:rsidRPr="00211817" w:rsidRDefault="003E5592">
                  <w:pPr>
                    <w:spacing w:after="0" w:line="240" w:lineRule="auto"/>
                    <w:jc w:val="center"/>
                    <w:rPr>
                      <w:rFonts w:eastAsia="Times New Roman"/>
                      <w:color w:val="000000"/>
                      <w:szCs w:val="20"/>
                    </w:rPr>
                  </w:pPr>
                  <w:r w:rsidRPr="00211817">
                    <w:rPr>
                      <w:rFonts w:eastAsia="Times New Roman"/>
                      <w:color w:val="000000"/>
                      <w:szCs w:val="20"/>
                    </w:rPr>
                    <w:t>150</w:t>
                  </w:r>
                </w:p>
              </w:tc>
              <w:tc>
                <w:tcPr>
                  <w:tcW w:w="1453" w:type="dxa"/>
                  <w:noWrap/>
                  <w:vAlign w:val="center"/>
                </w:tcPr>
                <w:p w14:paraId="58D10F1B" w14:textId="77777777" w:rsidR="003E5592" w:rsidRPr="00211817" w:rsidRDefault="003E5592">
                  <w:pPr>
                    <w:spacing w:after="0" w:line="240" w:lineRule="auto"/>
                    <w:jc w:val="center"/>
                    <w:rPr>
                      <w:rFonts w:eastAsia="Times New Roman"/>
                      <w:color w:val="000000"/>
                      <w:szCs w:val="20"/>
                    </w:rPr>
                  </w:pPr>
                  <w:r w:rsidRPr="00211817">
                    <w:rPr>
                      <w:rFonts w:eastAsia="Times New Roman"/>
                      <w:color w:val="000000"/>
                      <w:szCs w:val="20"/>
                    </w:rPr>
                    <w:t>150</w:t>
                  </w:r>
                </w:p>
              </w:tc>
              <w:tc>
                <w:tcPr>
                  <w:tcW w:w="1276" w:type="dxa"/>
                  <w:noWrap/>
                  <w:vAlign w:val="center"/>
                </w:tcPr>
                <w:p w14:paraId="673D6529" w14:textId="77777777" w:rsidR="003E5592" w:rsidRPr="00211817" w:rsidRDefault="003E5592">
                  <w:pPr>
                    <w:spacing w:after="0" w:line="240" w:lineRule="auto"/>
                    <w:jc w:val="center"/>
                    <w:rPr>
                      <w:rFonts w:eastAsia="Times New Roman"/>
                      <w:color w:val="000000"/>
                      <w:szCs w:val="20"/>
                    </w:rPr>
                  </w:pPr>
                  <w:r w:rsidRPr="00211817">
                    <w:rPr>
                      <w:rFonts w:eastAsia="Times New Roman"/>
                      <w:color w:val="000000"/>
                      <w:szCs w:val="20"/>
                    </w:rPr>
                    <w:t>150</w:t>
                  </w:r>
                </w:p>
              </w:tc>
              <w:tc>
                <w:tcPr>
                  <w:tcW w:w="1276" w:type="dxa"/>
                  <w:noWrap/>
                  <w:vAlign w:val="center"/>
                </w:tcPr>
                <w:p w14:paraId="395EB461" w14:textId="77777777" w:rsidR="003E5592" w:rsidRPr="00211817" w:rsidRDefault="003E5592">
                  <w:pPr>
                    <w:spacing w:after="0" w:line="240" w:lineRule="auto"/>
                    <w:jc w:val="center"/>
                    <w:rPr>
                      <w:rFonts w:eastAsia="Times New Roman"/>
                      <w:color w:val="000000"/>
                      <w:szCs w:val="20"/>
                    </w:rPr>
                  </w:pPr>
                  <w:r w:rsidRPr="00211817">
                    <w:rPr>
                      <w:rFonts w:eastAsia="Times New Roman"/>
                      <w:color w:val="000000"/>
                      <w:szCs w:val="20"/>
                    </w:rPr>
                    <w:t>150</w:t>
                  </w:r>
                </w:p>
              </w:tc>
              <w:tc>
                <w:tcPr>
                  <w:tcW w:w="1275" w:type="dxa"/>
                  <w:vAlign w:val="center"/>
                </w:tcPr>
                <w:p w14:paraId="013AC8F4" w14:textId="77777777" w:rsidR="003E5592" w:rsidRPr="00211817" w:rsidRDefault="003E5592">
                  <w:pPr>
                    <w:spacing w:after="0" w:line="240" w:lineRule="auto"/>
                    <w:jc w:val="center"/>
                    <w:rPr>
                      <w:rFonts w:eastAsia="Times New Roman"/>
                      <w:color w:val="000000"/>
                      <w:szCs w:val="20"/>
                    </w:rPr>
                  </w:pPr>
                  <w:r w:rsidRPr="00211817">
                    <w:rPr>
                      <w:rFonts w:eastAsia="Times New Roman"/>
                      <w:color w:val="000000"/>
                      <w:szCs w:val="20"/>
                    </w:rPr>
                    <w:t>150</w:t>
                  </w:r>
                </w:p>
              </w:tc>
              <w:tc>
                <w:tcPr>
                  <w:tcW w:w="1276" w:type="dxa"/>
                  <w:vAlign w:val="center"/>
                </w:tcPr>
                <w:p w14:paraId="473BF8B4" w14:textId="77777777" w:rsidR="003E5592" w:rsidRPr="00211817" w:rsidRDefault="003E5592">
                  <w:pPr>
                    <w:spacing w:after="0" w:line="240" w:lineRule="auto"/>
                    <w:jc w:val="center"/>
                    <w:rPr>
                      <w:rFonts w:eastAsia="Times New Roman"/>
                      <w:color w:val="000000"/>
                      <w:szCs w:val="20"/>
                    </w:rPr>
                  </w:pPr>
                  <w:r w:rsidRPr="00211817">
                    <w:rPr>
                      <w:rFonts w:eastAsia="Times New Roman"/>
                      <w:color w:val="000000"/>
                      <w:szCs w:val="20"/>
                    </w:rPr>
                    <w:t>200</w:t>
                  </w:r>
                </w:p>
              </w:tc>
            </w:tr>
          </w:tbl>
          <w:p w14:paraId="19CA6AC0" w14:textId="77777777" w:rsidR="003E5592" w:rsidRDefault="003E5592">
            <w:pPr>
              <w:ind w:left="36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p>
          <w:p w14:paraId="1FCA9F87" w14:textId="77777777" w:rsidR="00175AC7" w:rsidRPr="00211817" w:rsidRDefault="00175AC7">
            <w:pPr>
              <w:ind w:left="36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p>
        </w:tc>
      </w:tr>
      <w:tr w:rsidR="003E5592" w:rsidRPr="00211817" w14:paraId="74B08183" w14:textId="77777777" w:rsidTr="000362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hideMark/>
          </w:tcPr>
          <w:p w14:paraId="08A2C475" w14:textId="77777777" w:rsidR="003E5592" w:rsidRPr="00211817" w:rsidRDefault="003E5592">
            <w:pPr>
              <w:rPr>
                <w:rFonts w:eastAsia="Arial" w:cs="Helvetica"/>
                <w:szCs w:val="20"/>
              </w:rPr>
            </w:pPr>
            <w:r w:rsidRPr="00211817">
              <w:rPr>
                <w:rFonts w:eastAsia="Arial" w:cs="Arial"/>
                <w:szCs w:val="20"/>
              </w:rPr>
              <w:lastRenderedPageBreak/>
              <w:t>Balance of effects (benefits and harms)</w:t>
            </w:r>
          </w:p>
          <w:p w14:paraId="67576C15" w14:textId="77777777" w:rsidR="003E5592" w:rsidRPr="00211817" w:rsidRDefault="003E5592">
            <w:pPr>
              <w:ind w:right="-1346"/>
              <w:rPr>
                <w:rFonts w:eastAsia="Times New Roman" w:cs="Arial"/>
                <w:szCs w:val="20"/>
              </w:rPr>
            </w:pPr>
          </w:p>
        </w:tc>
        <w:tc>
          <w:tcPr>
            <w:tcW w:w="6195" w:type="dxa"/>
          </w:tcPr>
          <w:p w14:paraId="1FDA4895" w14:textId="77777777" w:rsidR="003E5592" w:rsidRPr="00211817" w:rsidRDefault="003E559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The current recommendations are expected to be protective of public health. There is no physiological or epidemiologic evidence of deficiency at intakes aligned with current recommendations.</w:t>
            </w:r>
          </w:p>
          <w:p w14:paraId="141F45A3" w14:textId="77777777" w:rsidR="003E5592" w:rsidRPr="00211817" w:rsidRDefault="003E5592">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Arial"/>
                <w:iCs/>
                <w:szCs w:val="20"/>
              </w:rPr>
              <w:t>Presenting NRV recommendations for iodine as an EAR and RDI may imply a degree of certainty in an NRV for which the underpinning evidence base is more limited. However, the relative consistency between estimates from thyroid accumulation studies, balance studies and observational studies provides some comfort in the robustness of estimates, with several studies suggestive of an EAR in the range of 95 - 110 µg/day. There is also no new evidence to suggest that the current recommendations are not suitable.</w:t>
            </w:r>
          </w:p>
          <w:p w14:paraId="0EBF38F6" w14:textId="77777777" w:rsidR="003E5592" w:rsidRPr="00211817" w:rsidRDefault="003E5592">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Arial"/>
                <w:iCs/>
                <w:szCs w:val="20"/>
              </w:rPr>
              <w:t>Furthermore, comparison of food system modelling and estimated dietary intakes against the EAR provides a critical measure for monitoring and evaluating public health interventions, such as mandatory fortification. This is an important consideration, given the current iodine fortification program in Australia and New Zealand.</w:t>
            </w:r>
          </w:p>
          <w:p w14:paraId="58F8F86D" w14:textId="77777777" w:rsidR="003E5592" w:rsidRPr="00211817" w:rsidRDefault="003E5592">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p>
        </w:tc>
        <w:tc>
          <w:tcPr>
            <w:tcW w:w="6136" w:type="dxa"/>
          </w:tcPr>
          <w:p w14:paraId="625F5D3D" w14:textId="77777777" w:rsidR="003E5592" w:rsidRPr="00211817" w:rsidRDefault="003E559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The proposed AI recommendation will be protective of public health and align with the current recommended RDIs. There is no physiological or epidemiologic evidence of deficiency at intakes aligned with current recommendations.</w:t>
            </w:r>
          </w:p>
          <w:p w14:paraId="7F88DFB9" w14:textId="77777777" w:rsidR="003E5592" w:rsidRPr="00211817" w:rsidRDefault="003E559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Revising the recommendations from an EAR and RDI to an AI communicates uncertainties in the evidence base more clearly. However, the AI cannot be used to determine the prevalence of inadequate nutrient intakes within a population. Although a low prevalence of inadequacy may be presumed in populations with mean intakes around or above the AI, for those with intakes below the AI, adequacy cannot be determined (US IoM 2000). Consequently, removing the EAR in favour of an AI impedes analysis of population inadequacy for iodine using dietary intake data compared with EAR. This analysis is often performed by researchers and policymakers - including in the Australian Health Survey.</w:t>
            </w:r>
          </w:p>
          <w:p w14:paraId="40FBB1FF" w14:textId="77777777" w:rsidR="003E5592" w:rsidRPr="00211817" w:rsidRDefault="003E559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 xml:space="preserve">Although dietary intake is not a reliable measure of iodine intake in Australia and New Zealand, given wide variability of iodine in the food supply, limitations in food composition data and the need to factor in </w:t>
            </w:r>
            <w:r w:rsidRPr="00211817">
              <w:rPr>
                <w:rFonts w:eastAsia="Times New Roman" w:cs="Times New Roman"/>
                <w:szCs w:val="20"/>
              </w:rPr>
              <w:t xml:space="preserve">use of iodised salt at the table and in cooking. In contrast, median UIC is an established biomarker for evaluating population iodine status (WHO 2007) and is routinely measured both in research and in the Australian National Health Measures Survey. The 2008/09 New Zealand National Nutrition Survey measured urinary iodine concentration to assess iodine status over dietary intake data, owing to concerns about the accuracy of food composition data for estimating intake (University of Otago and </w:t>
            </w:r>
            <w:proofErr w:type="spellStart"/>
            <w:r w:rsidRPr="00211817">
              <w:rPr>
                <w:rFonts w:eastAsia="Times New Roman" w:cs="Times New Roman"/>
                <w:szCs w:val="20"/>
              </w:rPr>
              <w:t>NZMoH</w:t>
            </w:r>
            <w:proofErr w:type="spellEnd"/>
            <w:r w:rsidRPr="00211817">
              <w:rPr>
                <w:rFonts w:eastAsia="Times New Roman" w:cs="Times New Roman"/>
                <w:szCs w:val="20"/>
              </w:rPr>
              <w:t xml:space="preserve"> 2011). Consequently, removal of the EAR may not impede population monitoring of iodine status. </w:t>
            </w:r>
          </w:p>
          <w:p w14:paraId="12E84BCC" w14:textId="77777777" w:rsidR="003E5592" w:rsidRPr="00211817" w:rsidRDefault="003E559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lastRenderedPageBreak/>
              <w:t xml:space="preserve">However, </w:t>
            </w:r>
            <w:r w:rsidRPr="00211817">
              <w:rPr>
                <w:rFonts w:eastAsia="Times New Roman" w:cs="Arial"/>
                <w:iCs/>
                <w:szCs w:val="20"/>
              </w:rPr>
              <w:t>comparison of food system modelling and estimated dietary intakes against the EAR provides a critical measure for monitoring and evaluating public health interventions, such as mandatory fortification. This analysis would be precluded, if the EAR were replaced with an AI, for the reasons stated above.</w:t>
            </w:r>
          </w:p>
        </w:tc>
      </w:tr>
      <w:tr w:rsidR="003E5592" w:rsidRPr="00211817" w14:paraId="360CD2EC" w14:textId="77777777" w:rsidTr="000362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tcPr>
          <w:p w14:paraId="32656578" w14:textId="77777777" w:rsidR="003E5592" w:rsidRPr="00211817" w:rsidRDefault="003E5592">
            <w:pPr>
              <w:rPr>
                <w:rFonts w:eastAsia="Arial" w:cs="Arial"/>
                <w:szCs w:val="20"/>
              </w:rPr>
            </w:pPr>
            <w:r w:rsidRPr="00211817">
              <w:rPr>
                <w:rFonts w:eastAsia="Arial" w:cs="Arial"/>
                <w:szCs w:val="20"/>
              </w:rPr>
              <w:lastRenderedPageBreak/>
              <w:t xml:space="preserve">Certainty of the evidence </w:t>
            </w:r>
          </w:p>
        </w:tc>
        <w:tc>
          <w:tcPr>
            <w:tcW w:w="12331" w:type="dxa"/>
            <w:gridSpan w:val="2"/>
          </w:tcPr>
          <w:p w14:paraId="76F26F34" w14:textId="77777777" w:rsidR="003E5592" w:rsidRPr="00211817" w:rsidRDefault="003E5592">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The evidence for iodine requirements comes from experimental studies such as thyroid accumulation and balance studies, which are imprecise and may not accurately account for iodine requirements. Findings from observational studies on goitre prevalence vary substantially across geographic regions are subject to confounding due to a range of factors including past iodine status. </w:t>
            </w:r>
          </w:p>
          <w:p w14:paraId="4DA10A16" w14:textId="77777777" w:rsidR="003E5592" w:rsidRPr="00211817" w:rsidRDefault="003E5592">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Overall, the evidence for the intake of iodine required to prevent deficiency is very uncertain. However, the level of consistency across estimates derived using different approaches provides some assurance that the proposed recommendations - whether an EAR and RDI or an AI </w:t>
            </w:r>
            <w:proofErr w:type="gramStart"/>
            <w:r w:rsidRPr="00211817">
              <w:rPr>
                <w:rFonts w:eastAsia="Times New Roman" w:cs="Arial"/>
                <w:szCs w:val="20"/>
              </w:rPr>
              <w:t>-  will</w:t>
            </w:r>
            <w:proofErr w:type="gramEnd"/>
            <w:r w:rsidRPr="00211817">
              <w:rPr>
                <w:rFonts w:eastAsia="Times New Roman" w:cs="Arial"/>
                <w:szCs w:val="20"/>
              </w:rPr>
              <w:t xml:space="preserve"> be protective of public health.</w:t>
            </w:r>
          </w:p>
        </w:tc>
      </w:tr>
      <w:tr w:rsidR="003E5592" w:rsidRPr="00211817" w14:paraId="123AA864" w14:textId="77777777" w:rsidTr="000362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tcPr>
          <w:p w14:paraId="250474EA" w14:textId="77777777" w:rsidR="003E5592" w:rsidRPr="00211817" w:rsidRDefault="003E5592">
            <w:pPr>
              <w:rPr>
                <w:rFonts w:eastAsia="Arial" w:cs="Arial"/>
                <w:szCs w:val="20"/>
              </w:rPr>
            </w:pPr>
            <w:r w:rsidRPr="00211817">
              <w:rPr>
                <w:rFonts w:eastAsia="Arial" w:cs="Arial"/>
                <w:szCs w:val="20"/>
              </w:rPr>
              <w:lastRenderedPageBreak/>
              <w:t>Values, preferences and feasibility (consumers, communities)</w:t>
            </w:r>
          </w:p>
        </w:tc>
        <w:tc>
          <w:tcPr>
            <w:tcW w:w="12331" w:type="dxa"/>
            <w:gridSpan w:val="2"/>
          </w:tcPr>
          <w:p w14:paraId="3705EBEE" w14:textId="77777777" w:rsidR="003E5592" w:rsidRPr="00211817" w:rsidRDefault="003E5592">
            <w:pPr>
              <w:spacing w:before="120"/>
              <w:ind w:right="170"/>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 xml:space="preserve">The current RDI - or proposed AI recommendation - for adults are feasible to achieve, based on estimated iodine intakes across all foundation diets, and for each individual foundation diet (omnivore, rice-based, pasta-based and lacto-ovo-vegetarian). Relevant food modelling data are shown at Table 4. </w:t>
            </w:r>
          </w:p>
          <w:p w14:paraId="7938E8C4" w14:textId="77777777" w:rsidR="003E5592" w:rsidRPr="00211817" w:rsidRDefault="003E5592">
            <w:pPr>
              <w:keepNext/>
              <w:spacing w:after="200"/>
              <w:cnfStyle w:val="000000100000" w:firstRow="0" w:lastRow="0" w:firstColumn="0" w:lastColumn="0" w:oddVBand="0" w:evenVBand="0" w:oddHBand="1" w:evenHBand="0" w:firstRowFirstColumn="0" w:firstRowLastColumn="0" w:lastRowFirstColumn="0" w:lastRowLastColumn="0"/>
              <w:rPr>
                <w:rFonts w:eastAsia="Arial" w:cs="Times New Roman"/>
                <w:iCs/>
                <w:caps/>
                <w:szCs w:val="20"/>
              </w:rPr>
            </w:pPr>
            <w:r w:rsidRPr="00211817">
              <w:rPr>
                <w:rFonts w:eastAsia="Arial" w:cs="Times New Roman"/>
                <w:iCs/>
                <w:caps/>
                <w:szCs w:val="20"/>
              </w:rPr>
              <w:t xml:space="preserve">Table </w:t>
            </w:r>
            <w:r w:rsidRPr="00211817">
              <w:rPr>
                <w:rFonts w:eastAsia="Arial"/>
                <w:iCs/>
                <w:caps/>
                <w:szCs w:val="20"/>
              </w:rPr>
              <w:fldChar w:fldCharType="begin"/>
            </w:r>
            <w:r w:rsidRPr="00211817">
              <w:rPr>
                <w:rFonts w:eastAsia="Arial" w:cs="Times New Roman"/>
                <w:iCs/>
                <w:caps/>
                <w:szCs w:val="20"/>
              </w:rPr>
              <w:instrText xml:space="preserve"> SEQ Table \* ARABIC </w:instrText>
            </w:r>
            <w:r w:rsidRPr="00211817">
              <w:rPr>
                <w:rFonts w:eastAsia="Arial"/>
                <w:iCs/>
                <w:caps/>
                <w:szCs w:val="20"/>
              </w:rPr>
              <w:fldChar w:fldCharType="separate"/>
            </w:r>
            <w:r w:rsidRPr="00211817">
              <w:rPr>
                <w:rFonts w:eastAsia="Arial" w:cs="Times New Roman"/>
                <w:iCs/>
                <w:caps/>
                <w:noProof/>
                <w:szCs w:val="20"/>
              </w:rPr>
              <w:t>4</w:t>
            </w:r>
            <w:r w:rsidRPr="00211817">
              <w:rPr>
                <w:rFonts w:eastAsia="Arial"/>
                <w:iCs/>
                <w:caps/>
                <w:noProof/>
                <w:szCs w:val="20"/>
              </w:rPr>
              <w:fldChar w:fldCharType="end"/>
            </w:r>
            <w:r w:rsidRPr="00211817">
              <w:rPr>
                <w:rFonts w:eastAsia="Arial" w:cs="Times New Roman"/>
                <w:iCs/>
                <w:caps/>
                <w:szCs w:val="20"/>
              </w:rPr>
              <w:t xml:space="preserve"> - FOOD MODELLING DATA (NHMRC, 2011) IN ADULTS</w:t>
            </w:r>
          </w:p>
          <w:tbl>
            <w:tblPr>
              <w:tblStyle w:val="TableGrid2"/>
              <w:tblW w:w="12115" w:type="dxa"/>
              <w:tblInd w:w="0" w:type="dxa"/>
              <w:tblLook w:val="04A0" w:firstRow="1" w:lastRow="0" w:firstColumn="1" w:lastColumn="0" w:noHBand="0" w:noVBand="1"/>
            </w:tblPr>
            <w:tblGrid>
              <w:gridCol w:w="1342"/>
              <w:gridCol w:w="1134"/>
              <w:gridCol w:w="1276"/>
              <w:gridCol w:w="1134"/>
              <w:gridCol w:w="1276"/>
              <w:gridCol w:w="1134"/>
              <w:gridCol w:w="1276"/>
              <w:gridCol w:w="1134"/>
              <w:gridCol w:w="1275"/>
              <w:gridCol w:w="1134"/>
            </w:tblGrid>
            <w:tr w:rsidR="003E5592" w:rsidRPr="00211817" w14:paraId="051E2805" w14:textId="77777777">
              <w:tc>
                <w:tcPr>
                  <w:tcW w:w="1342" w:type="dxa"/>
                  <w:vMerge w:val="restart"/>
                  <w:shd w:val="clear" w:color="auto" w:fill="005F85"/>
                  <w:vAlign w:val="bottom"/>
                </w:tcPr>
                <w:p w14:paraId="1746A935" w14:textId="77777777" w:rsidR="003E5592" w:rsidRPr="00211817" w:rsidRDefault="003E5592">
                  <w:pPr>
                    <w:spacing w:after="0"/>
                    <w:ind w:right="206"/>
                    <w:rPr>
                      <w:rFonts w:eastAsia="Times New Roman" w:cs="Arial"/>
                      <w:b/>
                      <w:bCs/>
                      <w:color w:val="FFFFFF"/>
                      <w:szCs w:val="20"/>
                    </w:rPr>
                  </w:pPr>
                  <w:r w:rsidRPr="00211817">
                    <w:rPr>
                      <w:rFonts w:eastAsia="Times New Roman" w:cs="Arial"/>
                      <w:b/>
                      <w:bCs/>
                      <w:color w:val="FFFFFF"/>
                      <w:szCs w:val="20"/>
                    </w:rPr>
                    <w:t>Age group (years)</w:t>
                  </w:r>
                </w:p>
              </w:tc>
              <w:tc>
                <w:tcPr>
                  <w:tcW w:w="1134" w:type="dxa"/>
                  <w:shd w:val="clear" w:color="auto" w:fill="005F85"/>
                </w:tcPr>
                <w:p w14:paraId="0CD60F6D" w14:textId="77777777" w:rsidR="003E5592" w:rsidRPr="00211817" w:rsidRDefault="003E5592">
                  <w:pPr>
                    <w:spacing w:after="0"/>
                    <w:jc w:val="center"/>
                    <w:rPr>
                      <w:rFonts w:eastAsia="Times New Roman" w:cs="Arial"/>
                      <w:b/>
                      <w:bCs/>
                      <w:color w:val="FFFFFF"/>
                      <w:szCs w:val="20"/>
                    </w:rPr>
                  </w:pPr>
                  <w:r w:rsidRPr="00211817">
                    <w:rPr>
                      <w:rFonts w:eastAsia="Times New Roman" w:cs="Arial"/>
                      <w:b/>
                      <w:bCs/>
                      <w:color w:val="FFFFFF"/>
                      <w:szCs w:val="20"/>
                    </w:rPr>
                    <w:t>Core food groups^</w:t>
                  </w:r>
                </w:p>
              </w:tc>
              <w:tc>
                <w:tcPr>
                  <w:tcW w:w="2410" w:type="dxa"/>
                  <w:gridSpan w:val="2"/>
                  <w:shd w:val="clear" w:color="auto" w:fill="005F85"/>
                </w:tcPr>
                <w:p w14:paraId="0B1A92C8" w14:textId="77777777" w:rsidR="003E5592" w:rsidRPr="00211817" w:rsidRDefault="003E5592">
                  <w:pPr>
                    <w:spacing w:after="0"/>
                    <w:jc w:val="center"/>
                    <w:rPr>
                      <w:rFonts w:eastAsia="Times New Roman" w:cs="Arial"/>
                      <w:b/>
                      <w:bCs/>
                      <w:color w:val="FFFFFF"/>
                      <w:szCs w:val="20"/>
                    </w:rPr>
                  </w:pPr>
                  <w:r w:rsidRPr="00211817">
                    <w:rPr>
                      <w:rFonts w:eastAsia="Times New Roman" w:cs="Arial"/>
                      <w:b/>
                      <w:bCs/>
                      <w:color w:val="FFFFFF"/>
                      <w:szCs w:val="20"/>
                    </w:rPr>
                    <w:t>Foundation diets - overall</w:t>
                  </w:r>
                </w:p>
              </w:tc>
              <w:tc>
                <w:tcPr>
                  <w:tcW w:w="2410" w:type="dxa"/>
                  <w:gridSpan w:val="2"/>
                  <w:shd w:val="clear" w:color="auto" w:fill="005F85"/>
                </w:tcPr>
                <w:p w14:paraId="157DAF64" w14:textId="77777777" w:rsidR="003E5592" w:rsidRPr="00211817" w:rsidRDefault="003E5592">
                  <w:pPr>
                    <w:spacing w:after="0"/>
                    <w:jc w:val="center"/>
                    <w:rPr>
                      <w:rFonts w:eastAsia="Times New Roman" w:cs="Arial"/>
                      <w:b/>
                      <w:bCs/>
                      <w:color w:val="FFFFFF"/>
                      <w:szCs w:val="20"/>
                    </w:rPr>
                  </w:pPr>
                  <w:r w:rsidRPr="00211817">
                    <w:rPr>
                      <w:rFonts w:eastAsia="Times New Roman" w:cs="Arial"/>
                      <w:b/>
                      <w:bCs/>
                      <w:color w:val="FFFFFF"/>
                      <w:szCs w:val="20"/>
                    </w:rPr>
                    <w:t>Rice-based</w:t>
                  </w:r>
                </w:p>
              </w:tc>
              <w:tc>
                <w:tcPr>
                  <w:tcW w:w="2410" w:type="dxa"/>
                  <w:gridSpan w:val="2"/>
                  <w:shd w:val="clear" w:color="auto" w:fill="005F85"/>
                </w:tcPr>
                <w:p w14:paraId="11BE53AA" w14:textId="77777777" w:rsidR="003E5592" w:rsidRPr="00211817" w:rsidRDefault="003E5592">
                  <w:pPr>
                    <w:spacing w:after="0"/>
                    <w:ind w:right="27"/>
                    <w:jc w:val="center"/>
                    <w:rPr>
                      <w:rFonts w:eastAsia="Times New Roman" w:cs="Arial"/>
                      <w:b/>
                      <w:bCs/>
                      <w:color w:val="FFFFFF"/>
                      <w:szCs w:val="20"/>
                    </w:rPr>
                  </w:pPr>
                  <w:r w:rsidRPr="00211817">
                    <w:rPr>
                      <w:rFonts w:eastAsia="Times New Roman" w:cs="Arial"/>
                      <w:b/>
                      <w:bCs/>
                      <w:color w:val="FFFFFF"/>
                      <w:szCs w:val="20"/>
                    </w:rPr>
                    <w:t>Pasta-based</w:t>
                  </w:r>
                </w:p>
              </w:tc>
              <w:tc>
                <w:tcPr>
                  <w:tcW w:w="2409" w:type="dxa"/>
                  <w:gridSpan w:val="2"/>
                  <w:shd w:val="clear" w:color="auto" w:fill="005F85"/>
                </w:tcPr>
                <w:p w14:paraId="4D9C6D69" w14:textId="77777777" w:rsidR="003E5592" w:rsidRPr="00211817" w:rsidRDefault="003E5592">
                  <w:pPr>
                    <w:spacing w:after="0"/>
                    <w:ind w:right="34"/>
                    <w:jc w:val="center"/>
                    <w:rPr>
                      <w:rFonts w:eastAsia="Times New Roman" w:cs="Arial"/>
                      <w:b/>
                      <w:bCs/>
                      <w:color w:val="FFFFFF"/>
                      <w:szCs w:val="20"/>
                    </w:rPr>
                  </w:pPr>
                  <w:proofErr w:type="spellStart"/>
                  <w:r w:rsidRPr="00211817">
                    <w:rPr>
                      <w:rFonts w:eastAsia="Times New Roman" w:cs="Arial"/>
                      <w:b/>
                      <w:bCs/>
                      <w:color w:val="FFFFFF"/>
                      <w:szCs w:val="20"/>
                    </w:rPr>
                    <w:t>Lacto</w:t>
                  </w:r>
                  <w:proofErr w:type="spellEnd"/>
                  <w:r w:rsidRPr="00211817">
                    <w:rPr>
                      <w:rFonts w:eastAsia="Times New Roman" w:cs="Arial"/>
                      <w:b/>
                      <w:bCs/>
                      <w:color w:val="FFFFFF"/>
                      <w:szCs w:val="20"/>
                    </w:rPr>
                    <w:t>-ovo-vego</w:t>
                  </w:r>
                </w:p>
              </w:tc>
            </w:tr>
            <w:tr w:rsidR="003E5592" w:rsidRPr="00211817" w14:paraId="6C2AF2D4" w14:textId="77777777">
              <w:trPr>
                <w:trHeight w:val="400"/>
              </w:trPr>
              <w:tc>
                <w:tcPr>
                  <w:tcW w:w="1342" w:type="dxa"/>
                  <w:vMerge/>
                  <w:shd w:val="clear" w:color="auto" w:fill="005F85"/>
                </w:tcPr>
                <w:p w14:paraId="70F1F73E" w14:textId="77777777" w:rsidR="003E5592" w:rsidRPr="00211817" w:rsidRDefault="003E5592">
                  <w:pPr>
                    <w:spacing w:after="0"/>
                    <w:ind w:right="-1346"/>
                    <w:rPr>
                      <w:rFonts w:eastAsia="Times New Roman" w:cs="Arial"/>
                      <w:b/>
                      <w:bCs/>
                      <w:color w:val="FFFFFF"/>
                      <w:szCs w:val="20"/>
                    </w:rPr>
                  </w:pPr>
                </w:p>
              </w:tc>
              <w:tc>
                <w:tcPr>
                  <w:tcW w:w="1134" w:type="dxa"/>
                  <w:vMerge w:val="restart"/>
                  <w:shd w:val="clear" w:color="auto" w:fill="005F85"/>
                  <w:vAlign w:val="bottom"/>
                </w:tcPr>
                <w:p w14:paraId="0DA704E8" w14:textId="77777777" w:rsidR="003E5592" w:rsidRPr="00211817" w:rsidRDefault="003E5592">
                  <w:pPr>
                    <w:spacing w:after="0"/>
                    <w:jc w:val="center"/>
                    <w:rPr>
                      <w:rFonts w:eastAsia="Times New Roman" w:cs="Arial"/>
                      <w:b/>
                      <w:bCs/>
                      <w:color w:val="FFFFFF"/>
                      <w:szCs w:val="20"/>
                    </w:rPr>
                  </w:pPr>
                  <w:r w:rsidRPr="00211817">
                    <w:rPr>
                      <w:rFonts w:eastAsia="Times New Roman" w:cs="Arial"/>
                      <w:b/>
                      <w:bCs/>
                      <w:color w:val="FFFFFF"/>
                      <w:szCs w:val="20"/>
                    </w:rPr>
                    <w:t>Intake in persons</w:t>
                  </w:r>
                </w:p>
                <w:p w14:paraId="5B73E3AA" w14:textId="77777777" w:rsidR="003E5592" w:rsidRPr="00211817" w:rsidRDefault="003E5592">
                  <w:pPr>
                    <w:spacing w:after="0"/>
                    <w:jc w:val="center"/>
                    <w:rPr>
                      <w:rFonts w:eastAsia="Times New Roman" w:cs="Arial"/>
                      <w:b/>
                      <w:bCs/>
                      <w:color w:val="FFFFFF"/>
                      <w:szCs w:val="20"/>
                    </w:rPr>
                  </w:pPr>
                  <w:r w:rsidRPr="00211817">
                    <w:rPr>
                      <w:rFonts w:eastAsia="Times New Roman" w:cs="Arial"/>
                      <w:b/>
                      <w:bCs/>
                      <w:color w:val="FFFFFF"/>
                      <w:szCs w:val="20"/>
                    </w:rPr>
                    <w:t>(µg/day</w:t>
                  </w:r>
                </w:p>
              </w:tc>
              <w:tc>
                <w:tcPr>
                  <w:tcW w:w="1276" w:type="dxa"/>
                  <w:vMerge w:val="restart"/>
                  <w:shd w:val="clear" w:color="auto" w:fill="005F85"/>
                  <w:vAlign w:val="bottom"/>
                </w:tcPr>
                <w:p w14:paraId="07F1D11F" w14:textId="77777777" w:rsidR="003E5592" w:rsidRPr="00211817" w:rsidRDefault="003E5592">
                  <w:pPr>
                    <w:spacing w:after="0"/>
                    <w:rPr>
                      <w:rFonts w:eastAsia="Times New Roman" w:cs="Arial"/>
                      <w:b/>
                      <w:bCs/>
                      <w:color w:val="FFFFFF"/>
                      <w:szCs w:val="20"/>
                    </w:rPr>
                  </w:pPr>
                  <w:r w:rsidRPr="00211817">
                    <w:rPr>
                      <w:rFonts w:eastAsia="Times New Roman" w:cs="Arial"/>
                      <w:b/>
                      <w:bCs/>
                      <w:color w:val="FFFFFF"/>
                      <w:szCs w:val="20"/>
                    </w:rPr>
                    <w:t>Intake in males</w:t>
                  </w:r>
                </w:p>
                <w:p w14:paraId="62F03600" w14:textId="77777777" w:rsidR="003E5592" w:rsidRPr="00211817" w:rsidRDefault="003E5592">
                  <w:pPr>
                    <w:spacing w:after="0"/>
                    <w:rPr>
                      <w:rFonts w:eastAsia="Times New Roman" w:cs="Arial"/>
                      <w:b/>
                      <w:bCs/>
                      <w:color w:val="FFFFFF"/>
                      <w:szCs w:val="20"/>
                    </w:rPr>
                  </w:pPr>
                  <w:r w:rsidRPr="00211817">
                    <w:rPr>
                      <w:rFonts w:eastAsia="Times New Roman" w:cs="Arial"/>
                      <w:b/>
                      <w:bCs/>
                      <w:color w:val="FFFFFF"/>
                      <w:szCs w:val="20"/>
                    </w:rPr>
                    <w:t>(µg/day)</w:t>
                  </w:r>
                </w:p>
              </w:tc>
              <w:tc>
                <w:tcPr>
                  <w:tcW w:w="1134" w:type="dxa"/>
                  <w:vMerge w:val="restart"/>
                  <w:shd w:val="clear" w:color="auto" w:fill="005F85"/>
                  <w:vAlign w:val="bottom"/>
                </w:tcPr>
                <w:p w14:paraId="3454907E" w14:textId="77777777" w:rsidR="003E5592" w:rsidRPr="00211817" w:rsidRDefault="003E5592">
                  <w:pPr>
                    <w:spacing w:after="0"/>
                    <w:ind w:right="-112"/>
                    <w:rPr>
                      <w:rFonts w:eastAsia="Times New Roman" w:cs="Arial"/>
                      <w:b/>
                      <w:bCs/>
                      <w:color w:val="FFFFFF"/>
                      <w:szCs w:val="20"/>
                    </w:rPr>
                  </w:pPr>
                  <w:r w:rsidRPr="00211817">
                    <w:rPr>
                      <w:rFonts w:eastAsia="Times New Roman" w:cs="Arial"/>
                      <w:b/>
                      <w:bCs/>
                      <w:color w:val="FFFFFF"/>
                      <w:szCs w:val="20"/>
                    </w:rPr>
                    <w:t>Intake in females</w:t>
                  </w:r>
                </w:p>
                <w:p w14:paraId="2B37FA3B" w14:textId="77777777" w:rsidR="003E5592" w:rsidRPr="00211817" w:rsidRDefault="003E5592">
                  <w:pPr>
                    <w:spacing w:after="0"/>
                    <w:ind w:right="-112"/>
                    <w:rPr>
                      <w:rFonts w:eastAsia="Times New Roman" w:cs="Arial"/>
                      <w:b/>
                      <w:bCs/>
                      <w:color w:val="FFFFFF"/>
                      <w:szCs w:val="20"/>
                    </w:rPr>
                  </w:pPr>
                  <w:r w:rsidRPr="00211817">
                    <w:rPr>
                      <w:rFonts w:eastAsia="Times New Roman" w:cs="Arial"/>
                      <w:b/>
                      <w:bCs/>
                      <w:color w:val="FFFFFF"/>
                      <w:szCs w:val="20"/>
                    </w:rPr>
                    <w:t>(µg/day)</w:t>
                  </w:r>
                </w:p>
              </w:tc>
              <w:tc>
                <w:tcPr>
                  <w:tcW w:w="1276" w:type="dxa"/>
                  <w:vMerge w:val="restart"/>
                  <w:shd w:val="clear" w:color="auto" w:fill="005F85"/>
                  <w:vAlign w:val="bottom"/>
                </w:tcPr>
                <w:p w14:paraId="1D8775B7" w14:textId="77777777" w:rsidR="003E5592" w:rsidRPr="00211817" w:rsidRDefault="003E5592">
                  <w:pPr>
                    <w:spacing w:after="0"/>
                    <w:rPr>
                      <w:rFonts w:eastAsia="Times New Roman" w:cs="Arial"/>
                      <w:b/>
                      <w:bCs/>
                      <w:color w:val="FFFFFF"/>
                      <w:szCs w:val="20"/>
                    </w:rPr>
                  </w:pPr>
                  <w:r w:rsidRPr="00211817">
                    <w:rPr>
                      <w:rFonts w:eastAsia="Times New Roman" w:cs="Arial"/>
                      <w:b/>
                      <w:bCs/>
                      <w:color w:val="FFFFFF"/>
                      <w:szCs w:val="20"/>
                    </w:rPr>
                    <w:t>Intake in males</w:t>
                  </w:r>
                </w:p>
                <w:p w14:paraId="70BB9D82" w14:textId="77777777" w:rsidR="003E5592" w:rsidRPr="00211817" w:rsidRDefault="003E5592">
                  <w:pPr>
                    <w:spacing w:after="0"/>
                    <w:rPr>
                      <w:rFonts w:eastAsia="Times New Roman" w:cs="Arial"/>
                      <w:b/>
                      <w:bCs/>
                      <w:color w:val="FFFFFF"/>
                      <w:szCs w:val="20"/>
                    </w:rPr>
                  </w:pPr>
                  <w:r w:rsidRPr="00211817">
                    <w:rPr>
                      <w:rFonts w:eastAsia="Times New Roman" w:cs="Arial"/>
                      <w:b/>
                      <w:bCs/>
                      <w:color w:val="FFFFFF"/>
                      <w:szCs w:val="20"/>
                    </w:rPr>
                    <w:t>(µg/day)</w:t>
                  </w:r>
                </w:p>
              </w:tc>
              <w:tc>
                <w:tcPr>
                  <w:tcW w:w="1134" w:type="dxa"/>
                  <w:vMerge w:val="restart"/>
                  <w:shd w:val="clear" w:color="auto" w:fill="005F85"/>
                  <w:vAlign w:val="bottom"/>
                </w:tcPr>
                <w:p w14:paraId="68966E9F" w14:textId="77777777" w:rsidR="003E5592" w:rsidRPr="00211817" w:rsidRDefault="003E5592">
                  <w:pPr>
                    <w:spacing w:after="0"/>
                    <w:ind w:right="-112"/>
                    <w:rPr>
                      <w:rFonts w:eastAsia="Times New Roman" w:cs="Arial"/>
                      <w:b/>
                      <w:bCs/>
                      <w:color w:val="FFFFFF"/>
                      <w:szCs w:val="20"/>
                    </w:rPr>
                  </w:pPr>
                  <w:r w:rsidRPr="00211817">
                    <w:rPr>
                      <w:rFonts w:eastAsia="Times New Roman" w:cs="Arial"/>
                      <w:b/>
                      <w:bCs/>
                      <w:color w:val="FFFFFF"/>
                      <w:szCs w:val="20"/>
                    </w:rPr>
                    <w:t>Intake in females</w:t>
                  </w:r>
                </w:p>
                <w:p w14:paraId="6E1EC744" w14:textId="77777777" w:rsidR="003E5592" w:rsidRPr="00211817" w:rsidRDefault="003E5592">
                  <w:pPr>
                    <w:spacing w:after="0"/>
                    <w:ind w:right="-110"/>
                    <w:rPr>
                      <w:rFonts w:eastAsia="Times New Roman" w:cs="Arial"/>
                      <w:b/>
                      <w:bCs/>
                      <w:color w:val="FFFFFF"/>
                      <w:szCs w:val="20"/>
                    </w:rPr>
                  </w:pPr>
                  <w:r w:rsidRPr="00211817">
                    <w:rPr>
                      <w:rFonts w:eastAsia="Times New Roman" w:cs="Arial"/>
                      <w:b/>
                      <w:bCs/>
                      <w:color w:val="FFFFFF"/>
                      <w:szCs w:val="20"/>
                    </w:rPr>
                    <w:t>(µg/day)</w:t>
                  </w:r>
                </w:p>
              </w:tc>
              <w:tc>
                <w:tcPr>
                  <w:tcW w:w="1276" w:type="dxa"/>
                  <w:vMerge w:val="restart"/>
                  <w:shd w:val="clear" w:color="auto" w:fill="005F85"/>
                  <w:vAlign w:val="bottom"/>
                </w:tcPr>
                <w:p w14:paraId="2DCF5F0F" w14:textId="77777777" w:rsidR="003E5592" w:rsidRPr="00211817" w:rsidRDefault="003E5592">
                  <w:pPr>
                    <w:spacing w:after="0"/>
                    <w:rPr>
                      <w:rFonts w:eastAsia="Times New Roman" w:cs="Arial"/>
                      <w:b/>
                      <w:bCs/>
                      <w:color w:val="FFFFFF"/>
                      <w:szCs w:val="20"/>
                    </w:rPr>
                  </w:pPr>
                  <w:r w:rsidRPr="00211817">
                    <w:rPr>
                      <w:rFonts w:eastAsia="Times New Roman" w:cs="Arial"/>
                      <w:b/>
                      <w:bCs/>
                      <w:color w:val="FFFFFF"/>
                      <w:szCs w:val="20"/>
                    </w:rPr>
                    <w:t>Intake in males</w:t>
                  </w:r>
                </w:p>
                <w:p w14:paraId="077E96E6" w14:textId="77777777" w:rsidR="003E5592" w:rsidRPr="00211817" w:rsidRDefault="003E5592">
                  <w:pPr>
                    <w:spacing w:after="0"/>
                    <w:rPr>
                      <w:rFonts w:eastAsia="Times New Roman" w:cs="Arial"/>
                      <w:b/>
                      <w:bCs/>
                      <w:color w:val="FFFFFF"/>
                      <w:szCs w:val="20"/>
                    </w:rPr>
                  </w:pPr>
                  <w:r w:rsidRPr="00211817">
                    <w:rPr>
                      <w:rFonts w:eastAsia="Times New Roman" w:cs="Arial"/>
                      <w:b/>
                      <w:bCs/>
                      <w:color w:val="FFFFFF"/>
                      <w:szCs w:val="20"/>
                    </w:rPr>
                    <w:t>(µg/day)</w:t>
                  </w:r>
                </w:p>
              </w:tc>
              <w:tc>
                <w:tcPr>
                  <w:tcW w:w="1134" w:type="dxa"/>
                  <w:vMerge w:val="restart"/>
                  <w:shd w:val="clear" w:color="auto" w:fill="005F85"/>
                  <w:vAlign w:val="bottom"/>
                </w:tcPr>
                <w:p w14:paraId="1E6F9DDE" w14:textId="77777777" w:rsidR="003E5592" w:rsidRPr="00211817" w:rsidRDefault="003E5592">
                  <w:pPr>
                    <w:spacing w:after="0"/>
                    <w:ind w:right="-112"/>
                    <w:rPr>
                      <w:rFonts w:eastAsia="Times New Roman" w:cs="Arial"/>
                      <w:b/>
                      <w:bCs/>
                      <w:color w:val="FFFFFF"/>
                      <w:szCs w:val="20"/>
                    </w:rPr>
                  </w:pPr>
                  <w:r w:rsidRPr="00211817">
                    <w:rPr>
                      <w:rFonts w:eastAsia="Times New Roman" w:cs="Arial"/>
                      <w:b/>
                      <w:bCs/>
                      <w:color w:val="FFFFFF"/>
                      <w:szCs w:val="20"/>
                    </w:rPr>
                    <w:t>Intake in females</w:t>
                  </w:r>
                </w:p>
                <w:p w14:paraId="3B081CD9" w14:textId="77777777" w:rsidR="003E5592" w:rsidRPr="00211817" w:rsidRDefault="003E5592">
                  <w:pPr>
                    <w:spacing w:after="0"/>
                    <w:ind w:right="-108"/>
                    <w:rPr>
                      <w:rFonts w:eastAsia="Times New Roman" w:cs="Arial"/>
                      <w:b/>
                      <w:bCs/>
                      <w:color w:val="FFFFFF"/>
                      <w:szCs w:val="20"/>
                    </w:rPr>
                  </w:pPr>
                  <w:r w:rsidRPr="00211817">
                    <w:rPr>
                      <w:rFonts w:eastAsia="Times New Roman" w:cs="Arial"/>
                      <w:b/>
                      <w:bCs/>
                      <w:color w:val="FFFFFF"/>
                      <w:szCs w:val="20"/>
                    </w:rPr>
                    <w:t>(µg/day)</w:t>
                  </w:r>
                </w:p>
              </w:tc>
              <w:tc>
                <w:tcPr>
                  <w:tcW w:w="1275" w:type="dxa"/>
                  <w:vMerge w:val="restart"/>
                  <w:shd w:val="clear" w:color="auto" w:fill="005F85"/>
                  <w:vAlign w:val="bottom"/>
                </w:tcPr>
                <w:p w14:paraId="41478A72" w14:textId="77777777" w:rsidR="003E5592" w:rsidRPr="00211817" w:rsidRDefault="003E5592">
                  <w:pPr>
                    <w:spacing w:after="0"/>
                    <w:rPr>
                      <w:rFonts w:eastAsia="Times New Roman" w:cs="Arial"/>
                      <w:b/>
                      <w:bCs/>
                      <w:color w:val="FFFFFF"/>
                      <w:szCs w:val="20"/>
                    </w:rPr>
                  </w:pPr>
                  <w:r w:rsidRPr="00211817">
                    <w:rPr>
                      <w:rFonts w:eastAsia="Times New Roman" w:cs="Arial"/>
                      <w:b/>
                      <w:bCs/>
                      <w:color w:val="FFFFFF"/>
                      <w:szCs w:val="20"/>
                    </w:rPr>
                    <w:t>Intake in males</w:t>
                  </w:r>
                </w:p>
                <w:p w14:paraId="70971A8B" w14:textId="77777777" w:rsidR="003E5592" w:rsidRPr="00211817" w:rsidRDefault="003E5592">
                  <w:pPr>
                    <w:spacing w:after="0"/>
                    <w:rPr>
                      <w:rFonts w:eastAsia="Times New Roman" w:cs="Arial"/>
                      <w:b/>
                      <w:bCs/>
                      <w:color w:val="FFFFFF"/>
                      <w:szCs w:val="20"/>
                    </w:rPr>
                  </w:pPr>
                  <w:r w:rsidRPr="00211817">
                    <w:rPr>
                      <w:rFonts w:eastAsia="Times New Roman" w:cs="Arial"/>
                      <w:b/>
                      <w:bCs/>
                      <w:color w:val="FFFFFF"/>
                      <w:szCs w:val="20"/>
                    </w:rPr>
                    <w:t>(µg/day)</w:t>
                  </w:r>
                </w:p>
              </w:tc>
              <w:tc>
                <w:tcPr>
                  <w:tcW w:w="1134" w:type="dxa"/>
                  <w:vMerge w:val="restart"/>
                  <w:shd w:val="clear" w:color="auto" w:fill="005F85"/>
                  <w:vAlign w:val="bottom"/>
                </w:tcPr>
                <w:p w14:paraId="6FE22C3F" w14:textId="77777777" w:rsidR="003E5592" w:rsidRPr="00211817" w:rsidRDefault="003E5592">
                  <w:pPr>
                    <w:spacing w:after="0"/>
                    <w:ind w:right="-112"/>
                    <w:rPr>
                      <w:rFonts w:eastAsia="Times New Roman" w:cs="Arial"/>
                      <w:b/>
                      <w:bCs/>
                      <w:color w:val="FFFFFF"/>
                      <w:szCs w:val="20"/>
                    </w:rPr>
                  </w:pPr>
                  <w:r w:rsidRPr="00211817">
                    <w:rPr>
                      <w:rFonts w:eastAsia="Times New Roman" w:cs="Arial"/>
                      <w:b/>
                      <w:bCs/>
                      <w:color w:val="FFFFFF"/>
                      <w:szCs w:val="20"/>
                    </w:rPr>
                    <w:t>Intake in females</w:t>
                  </w:r>
                </w:p>
                <w:p w14:paraId="52C86080" w14:textId="77777777" w:rsidR="003E5592" w:rsidRPr="00211817" w:rsidRDefault="003E5592">
                  <w:pPr>
                    <w:spacing w:after="0"/>
                    <w:ind w:right="-104"/>
                    <w:rPr>
                      <w:rFonts w:eastAsia="Times New Roman" w:cs="Arial"/>
                      <w:b/>
                      <w:bCs/>
                      <w:color w:val="FFFFFF"/>
                      <w:szCs w:val="20"/>
                    </w:rPr>
                  </w:pPr>
                  <w:r w:rsidRPr="00211817">
                    <w:rPr>
                      <w:rFonts w:eastAsia="Times New Roman" w:cs="Arial"/>
                      <w:b/>
                      <w:bCs/>
                      <w:color w:val="FFFFFF"/>
                      <w:szCs w:val="20"/>
                    </w:rPr>
                    <w:t>(µg/day)</w:t>
                  </w:r>
                </w:p>
              </w:tc>
            </w:tr>
            <w:tr w:rsidR="003E5592" w:rsidRPr="00211817" w14:paraId="70611EB2" w14:textId="77777777">
              <w:trPr>
                <w:trHeight w:val="400"/>
              </w:trPr>
              <w:tc>
                <w:tcPr>
                  <w:tcW w:w="1342" w:type="dxa"/>
                  <w:vMerge/>
                  <w:shd w:val="clear" w:color="auto" w:fill="005F85"/>
                </w:tcPr>
                <w:p w14:paraId="46B2912C" w14:textId="77777777" w:rsidR="003E5592" w:rsidRPr="00211817" w:rsidRDefault="003E5592">
                  <w:pPr>
                    <w:spacing w:after="0"/>
                    <w:ind w:right="-1346"/>
                    <w:rPr>
                      <w:rFonts w:eastAsia="Times New Roman" w:cs="Arial"/>
                      <w:b/>
                      <w:bCs/>
                      <w:color w:val="FFFFFF"/>
                      <w:szCs w:val="20"/>
                    </w:rPr>
                  </w:pPr>
                </w:p>
              </w:tc>
              <w:tc>
                <w:tcPr>
                  <w:tcW w:w="1134" w:type="dxa"/>
                  <w:vMerge/>
                  <w:shd w:val="clear" w:color="auto" w:fill="005F85"/>
                </w:tcPr>
                <w:p w14:paraId="4B781D06" w14:textId="77777777" w:rsidR="003E5592" w:rsidRPr="00211817" w:rsidRDefault="003E5592">
                  <w:pPr>
                    <w:spacing w:after="0"/>
                    <w:jc w:val="center"/>
                    <w:rPr>
                      <w:rFonts w:eastAsia="Times New Roman" w:cs="Arial"/>
                      <w:b/>
                      <w:bCs/>
                      <w:color w:val="FFFFFF"/>
                      <w:szCs w:val="20"/>
                    </w:rPr>
                  </w:pPr>
                </w:p>
              </w:tc>
              <w:tc>
                <w:tcPr>
                  <w:tcW w:w="1276" w:type="dxa"/>
                  <w:vMerge/>
                  <w:shd w:val="clear" w:color="auto" w:fill="005F85"/>
                </w:tcPr>
                <w:p w14:paraId="59FE596D" w14:textId="77777777" w:rsidR="003E5592" w:rsidRPr="00211817" w:rsidRDefault="003E5592">
                  <w:pPr>
                    <w:spacing w:after="0"/>
                    <w:rPr>
                      <w:rFonts w:eastAsia="Times New Roman" w:cs="Arial"/>
                      <w:b/>
                      <w:bCs/>
                      <w:color w:val="FFFFFF"/>
                      <w:szCs w:val="20"/>
                    </w:rPr>
                  </w:pPr>
                </w:p>
              </w:tc>
              <w:tc>
                <w:tcPr>
                  <w:tcW w:w="1134" w:type="dxa"/>
                  <w:vMerge/>
                  <w:shd w:val="clear" w:color="auto" w:fill="005F85"/>
                </w:tcPr>
                <w:p w14:paraId="0DB99A2B" w14:textId="77777777" w:rsidR="003E5592" w:rsidRPr="00211817" w:rsidRDefault="003E5592">
                  <w:pPr>
                    <w:spacing w:after="0"/>
                    <w:rPr>
                      <w:rFonts w:eastAsia="Times New Roman" w:cs="Arial"/>
                      <w:b/>
                      <w:bCs/>
                      <w:color w:val="FFFFFF"/>
                      <w:szCs w:val="20"/>
                    </w:rPr>
                  </w:pPr>
                </w:p>
              </w:tc>
              <w:tc>
                <w:tcPr>
                  <w:tcW w:w="1276" w:type="dxa"/>
                  <w:vMerge/>
                  <w:shd w:val="clear" w:color="auto" w:fill="005F85"/>
                </w:tcPr>
                <w:p w14:paraId="245C28DB" w14:textId="77777777" w:rsidR="003E5592" w:rsidRPr="00211817" w:rsidRDefault="003E5592">
                  <w:pPr>
                    <w:spacing w:after="0"/>
                    <w:rPr>
                      <w:rFonts w:eastAsia="Times New Roman" w:cs="Arial"/>
                      <w:b/>
                      <w:bCs/>
                      <w:color w:val="FFFFFF"/>
                      <w:szCs w:val="20"/>
                    </w:rPr>
                  </w:pPr>
                </w:p>
              </w:tc>
              <w:tc>
                <w:tcPr>
                  <w:tcW w:w="1134" w:type="dxa"/>
                  <w:vMerge/>
                  <w:shd w:val="clear" w:color="auto" w:fill="005F85"/>
                </w:tcPr>
                <w:p w14:paraId="7E982D1A" w14:textId="77777777" w:rsidR="003E5592" w:rsidRPr="00211817" w:rsidRDefault="003E5592">
                  <w:pPr>
                    <w:spacing w:after="0"/>
                    <w:rPr>
                      <w:rFonts w:eastAsia="Times New Roman" w:cs="Arial"/>
                      <w:b/>
                      <w:bCs/>
                      <w:color w:val="FFFFFF"/>
                      <w:szCs w:val="20"/>
                    </w:rPr>
                  </w:pPr>
                </w:p>
              </w:tc>
              <w:tc>
                <w:tcPr>
                  <w:tcW w:w="1276" w:type="dxa"/>
                  <w:vMerge/>
                  <w:shd w:val="clear" w:color="auto" w:fill="005F85"/>
                </w:tcPr>
                <w:p w14:paraId="2F072C97" w14:textId="77777777" w:rsidR="003E5592" w:rsidRPr="00211817" w:rsidRDefault="003E5592">
                  <w:pPr>
                    <w:spacing w:after="0"/>
                    <w:rPr>
                      <w:rFonts w:eastAsia="Times New Roman" w:cs="Arial"/>
                      <w:b/>
                      <w:bCs/>
                      <w:color w:val="FFFFFF"/>
                      <w:szCs w:val="20"/>
                    </w:rPr>
                  </w:pPr>
                </w:p>
              </w:tc>
              <w:tc>
                <w:tcPr>
                  <w:tcW w:w="1134" w:type="dxa"/>
                  <w:vMerge/>
                  <w:shd w:val="clear" w:color="auto" w:fill="005F85"/>
                </w:tcPr>
                <w:p w14:paraId="4146774B" w14:textId="77777777" w:rsidR="003E5592" w:rsidRPr="00211817" w:rsidRDefault="003E5592">
                  <w:pPr>
                    <w:spacing w:after="0"/>
                    <w:rPr>
                      <w:rFonts w:eastAsia="Times New Roman" w:cs="Arial"/>
                      <w:b/>
                      <w:bCs/>
                      <w:color w:val="FFFFFF"/>
                      <w:szCs w:val="20"/>
                    </w:rPr>
                  </w:pPr>
                </w:p>
              </w:tc>
              <w:tc>
                <w:tcPr>
                  <w:tcW w:w="1275" w:type="dxa"/>
                  <w:vMerge/>
                  <w:shd w:val="clear" w:color="auto" w:fill="005F85"/>
                </w:tcPr>
                <w:p w14:paraId="475B5B4D" w14:textId="77777777" w:rsidR="003E5592" w:rsidRPr="00211817" w:rsidRDefault="003E5592">
                  <w:pPr>
                    <w:spacing w:after="0"/>
                    <w:rPr>
                      <w:rFonts w:eastAsia="Times New Roman" w:cs="Arial"/>
                      <w:b/>
                      <w:bCs/>
                      <w:color w:val="FFFFFF"/>
                      <w:szCs w:val="20"/>
                    </w:rPr>
                  </w:pPr>
                </w:p>
              </w:tc>
              <w:tc>
                <w:tcPr>
                  <w:tcW w:w="1134" w:type="dxa"/>
                  <w:vMerge/>
                  <w:shd w:val="clear" w:color="auto" w:fill="005F85"/>
                </w:tcPr>
                <w:p w14:paraId="16CA77C3" w14:textId="77777777" w:rsidR="003E5592" w:rsidRPr="00211817" w:rsidRDefault="003E5592">
                  <w:pPr>
                    <w:spacing w:after="0"/>
                    <w:rPr>
                      <w:rFonts w:eastAsia="Times New Roman" w:cs="Arial"/>
                      <w:b/>
                      <w:bCs/>
                      <w:color w:val="FFFFFF"/>
                      <w:szCs w:val="20"/>
                    </w:rPr>
                  </w:pPr>
                </w:p>
              </w:tc>
            </w:tr>
            <w:tr w:rsidR="003E5592" w:rsidRPr="00211817" w14:paraId="69A0FA0C" w14:textId="77777777">
              <w:tc>
                <w:tcPr>
                  <w:tcW w:w="1342" w:type="dxa"/>
                </w:tcPr>
                <w:p w14:paraId="58E38EF8" w14:textId="77777777" w:rsidR="003E5592" w:rsidRPr="00211817" w:rsidRDefault="003E5592">
                  <w:pPr>
                    <w:spacing w:after="0"/>
                    <w:ind w:right="-1346"/>
                    <w:rPr>
                      <w:rFonts w:eastAsia="Times New Roman" w:cs="Arial"/>
                      <w:szCs w:val="20"/>
                    </w:rPr>
                  </w:pPr>
                  <w:r w:rsidRPr="00211817">
                    <w:rPr>
                      <w:rFonts w:eastAsia="Times New Roman" w:cs="Arial"/>
                      <w:szCs w:val="20"/>
                    </w:rPr>
                    <w:t>19-30 yr</w:t>
                  </w:r>
                </w:p>
              </w:tc>
              <w:tc>
                <w:tcPr>
                  <w:tcW w:w="1134" w:type="dxa"/>
                  <w:vMerge w:val="restart"/>
                  <w:vAlign w:val="center"/>
                </w:tcPr>
                <w:p w14:paraId="2CF0A71F" w14:textId="77777777" w:rsidR="003E5592" w:rsidRPr="00211817" w:rsidRDefault="003E5592">
                  <w:pPr>
                    <w:spacing w:after="0"/>
                    <w:ind w:right="38"/>
                    <w:jc w:val="center"/>
                    <w:rPr>
                      <w:rFonts w:eastAsia="Times New Roman" w:cs="Arial"/>
                      <w:szCs w:val="20"/>
                    </w:rPr>
                  </w:pPr>
                  <w:r w:rsidRPr="00211817">
                    <w:rPr>
                      <w:rFonts w:eastAsia="Times New Roman" w:cs="Arial"/>
                      <w:szCs w:val="20"/>
                    </w:rPr>
                    <w:t>148</w:t>
                  </w:r>
                </w:p>
              </w:tc>
              <w:tc>
                <w:tcPr>
                  <w:tcW w:w="1276" w:type="dxa"/>
                </w:tcPr>
                <w:p w14:paraId="274820BD"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197</w:t>
                  </w:r>
                </w:p>
              </w:tc>
              <w:tc>
                <w:tcPr>
                  <w:tcW w:w="1134" w:type="dxa"/>
                </w:tcPr>
                <w:p w14:paraId="151CA949"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210</w:t>
                  </w:r>
                </w:p>
              </w:tc>
              <w:tc>
                <w:tcPr>
                  <w:tcW w:w="1276" w:type="dxa"/>
                </w:tcPr>
                <w:p w14:paraId="079718F5" w14:textId="77777777" w:rsidR="003E5592" w:rsidRPr="00211817" w:rsidRDefault="003E5592">
                  <w:pPr>
                    <w:spacing w:after="0"/>
                    <w:ind w:right="36"/>
                    <w:jc w:val="center"/>
                    <w:rPr>
                      <w:rFonts w:eastAsia="Times New Roman" w:cs="Arial"/>
                      <w:szCs w:val="20"/>
                    </w:rPr>
                  </w:pPr>
                  <w:r w:rsidRPr="00211817">
                    <w:rPr>
                      <w:rFonts w:eastAsia="Times New Roman" w:cs="Arial"/>
                      <w:szCs w:val="20"/>
                    </w:rPr>
                    <w:t>213</w:t>
                  </w:r>
                </w:p>
              </w:tc>
              <w:tc>
                <w:tcPr>
                  <w:tcW w:w="1134" w:type="dxa"/>
                </w:tcPr>
                <w:p w14:paraId="4AA534C3"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204</w:t>
                  </w:r>
                </w:p>
              </w:tc>
              <w:tc>
                <w:tcPr>
                  <w:tcW w:w="1276" w:type="dxa"/>
                </w:tcPr>
                <w:p w14:paraId="3EE5FACD" w14:textId="77777777" w:rsidR="003E5592" w:rsidRPr="00211817" w:rsidRDefault="003E5592">
                  <w:pPr>
                    <w:spacing w:after="0"/>
                    <w:ind w:right="27"/>
                    <w:jc w:val="center"/>
                    <w:rPr>
                      <w:rFonts w:eastAsia="Times New Roman" w:cs="Arial"/>
                      <w:szCs w:val="20"/>
                    </w:rPr>
                  </w:pPr>
                  <w:r w:rsidRPr="00211817">
                    <w:rPr>
                      <w:rFonts w:eastAsia="Times New Roman" w:cs="Arial"/>
                      <w:szCs w:val="20"/>
                    </w:rPr>
                    <w:t>181</w:t>
                  </w:r>
                </w:p>
              </w:tc>
              <w:tc>
                <w:tcPr>
                  <w:tcW w:w="1134" w:type="dxa"/>
                </w:tcPr>
                <w:p w14:paraId="17D35BC6" w14:textId="77777777" w:rsidR="003E5592" w:rsidRPr="00211817" w:rsidRDefault="003E5592">
                  <w:pPr>
                    <w:spacing w:after="0"/>
                    <w:ind w:right="27"/>
                    <w:jc w:val="center"/>
                    <w:rPr>
                      <w:rFonts w:eastAsia="Times New Roman" w:cs="Arial"/>
                      <w:szCs w:val="20"/>
                    </w:rPr>
                  </w:pPr>
                  <w:r w:rsidRPr="00211817">
                    <w:rPr>
                      <w:rFonts w:eastAsia="Times New Roman" w:cs="Arial"/>
                      <w:szCs w:val="20"/>
                    </w:rPr>
                    <w:t>187</w:t>
                  </w:r>
                </w:p>
              </w:tc>
              <w:tc>
                <w:tcPr>
                  <w:tcW w:w="1275" w:type="dxa"/>
                </w:tcPr>
                <w:p w14:paraId="2274717B" w14:textId="77777777" w:rsidR="003E5592" w:rsidRPr="00211817" w:rsidRDefault="003E5592">
                  <w:pPr>
                    <w:spacing w:after="0"/>
                    <w:ind w:right="34"/>
                    <w:jc w:val="center"/>
                    <w:rPr>
                      <w:rFonts w:eastAsia="Times New Roman" w:cs="Arial"/>
                      <w:szCs w:val="20"/>
                    </w:rPr>
                  </w:pPr>
                  <w:r w:rsidRPr="00211817">
                    <w:rPr>
                      <w:rFonts w:eastAsia="Times New Roman" w:cs="Arial"/>
                      <w:szCs w:val="20"/>
                    </w:rPr>
                    <w:t>177</w:t>
                  </w:r>
                </w:p>
              </w:tc>
              <w:tc>
                <w:tcPr>
                  <w:tcW w:w="1134" w:type="dxa"/>
                </w:tcPr>
                <w:p w14:paraId="68323826" w14:textId="77777777" w:rsidR="003E5592" w:rsidRPr="00211817" w:rsidRDefault="003E5592">
                  <w:pPr>
                    <w:spacing w:after="0"/>
                    <w:ind w:right="34"/>
                    <w:jc w:val="center"/>
                    <w:rPr>
                      <w:rFonts w:eastAsia="Times New Roman" w:cs="Arial"/>
                      <w:szCs w:val="20"/>
                    </w:rPr>
                  </w:pPr>
                  <w:r w:rsidRPr="00211817">
                    <w:rPr>
                      <w:rFonts w:eastAsia="Times New Roman" w:cs="Arial"/>
                      <w:szCs w:val="20"/>
                    </w:rPr>
                    <w:t>173</w:t>
                  </w:r>
                </w:p>
              </w:tc>
            </w:tr>
            <w:tr w:rsidR="003E5592" w:rsidRPr="00211817" w14:paraId="23E96310" w14:textId="77777777">
              <w:tc>
                <w:tcPr>
                  <w:tcW w:w="1342" w:type="dxa"/>
                </w:tcPr>
                <w:p w14:paraId="5FA57BF1" w14:textId="77777777" w:rsidR="003E5592" w:rsidRPr="00211817" w:rsidRDefault="003E5592">
                  <w:pPr>
                    <w:spacing w:after="0"/>
                    <w:ind w:right="-1346"/>
                    <w:rPr>
                      <w:rFonts w:eastAsia="Times New Roman" w:cs="Arial"/>
                      <w:szCs w:val="20"/>
                    </w:rPr>
                  </w:pPr>
                  <w:r w:rsidRPr="00211817">
                    <w:rPr>
                      <w:rFonts w:eastAsia="Times New Roman" w:cs="Arial"/>
                      <w:szCs w:val="20"/>
                    </w:rPr>
                    <w:t>31-50 yr</w:t>
                  </w:r>
                </w:p>
              </w:tc>
              <w:tc>
                <w:tcPr>
                  <w:tcW w:w="1134" w:type="dxa"/>
                  <w:vMerge/>
                </w:tcPr>
                <w:p w14:paraId="6A90C7BB" w14:textId="77777777" w:rsidR="003E5592" w:rsidRPr="00211817" w:rsidRDefault="003E5592">
                  <w:pPr>
                    <w:spacing w:after="0"/>
                    <w:ind w:right="38"/>
                    <w:jc w:val="center"/>
                    <w:rPr>
                      <w:rFonts w:eastAsia="Times New Roman" w:cs="Arial"/>
                      <w:szCs w:val="20"/>
                    </w:rPr>
                  </w:pPr>
                </w:p>
              </w:tc>
              <w:tc>
                <w:tcPr>
                  <w:tcW w:w="1276" w:type="dxa"/>
                </w:tcPr>
                <w:p w14:paraId="4F4B4273"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210</w:t>
                  </w:r>
                </w:p>
              </w:tc>
              <w:tc>
                <w:tcPr>
                  <w:tcW w:w="1134" w:type="dxa"/>
                </w:tcPr>
                <w:p w14:paraId="154116BD"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211</w:t>
                  </w:r>
                </w:p>
              </w:tc>
              <w:tc>
                <w:tcPr>
                  <w:tcW w:w="1276" w:type="dxa"/>
                </w:tcPr>
                <w:p w14:paraId="7D1205C8" w14:textId="77777777" w:rsidR="003E5592" w:rsidRPr="00211817" w:rsidRDefault="003E5592">
                  <w:pPr>
                    <w:spacing w:after="0"/>
                    <w:ind w:right="36"/>
                    <w:jc w:val="center"/>
                    <w:rPr>
                      <w:rFonts w:eastAsia="Times New Roman" w:cs="Arial"/>
                      <w:szCs w:val="20"/>
                    </w:rPr>
                  </w:pPr>
                  <w:r w:rsidRPr="00211817">
                    <w:rPr>
                      <w:rFonts w:eastAsia="Times New Roman" w:cs="Arial"/>
                      <w:szCs w:val="20"/>
                    </w:rPr>
                    <w:t>224</w:t>
                  </w:r>
                </w:p>
              </w:tc>
              <w:tc>
                <w:tcPr>
                  <w:tcW w:w="1134" w:type="dxa"/>
                </w:tcPr>
                <w:p w14:paraId="3774C18B"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210</w:t>
                  </w:r>
                </w:p>
              </w:tc>
              <w:tc>
                <w:tcPr>
                  <w:tcW w:w="1276" w:type="dxa"/>
                </w:tcPr>
                <w:p w14:paraId="1531BCF4" w14:textId="77777777" w:rsidR="003E5592" w:rsidRPr="00211817" w:rsidRDefault="003E5592">
                  <w:pPr>
                    <w:spacing w:after="0"/>
                    <w:ind w:right="27"/>
                    <w:jc w:val="center"/>
                    <w:rPr>
                      <w:rFonts w:eastAsia="Times New Roman" w:cs="Arial"/>
                      <w:szCs w:val="20"/>
                    </w:rPr>
                  </w:pPr>
                  <w:r w:rsidRPr="00211817">
                    <w:rPr>
                      <w:rFonts w:eastAsia="Times New Roman" w:cs="Arial"/>
                      <w:szCs w:val="20"/>
                    </w:rPr>
                    <w:t>192</w:t>
                  </w:r>
                </w:p>
              </w:tc>
              <w:tc>
                <w:tcPr>
                  <w:tcW w:w="1134" w:type="dxa"/>
                </w:tcPr>
                <w:p w14:paraId="302A8CBF" w14:textId="77777777" w:rsidR="003E5592" w:rsidRPr="00211817" w:rsidRDefault="003E5592">
                  <w:pPr>
                    <w:spacing w:after="0"/>
                    <w:ind w:right="27"/>
                    <w:jc w:val="center"/>
                    <w:rPr>
                      <w:rFonts w:eastAsia="Times New Roman" w:cs="Arial"/>
                      <w:szCs w:val="20"/>
                    </w:rPr>
                  </w:pPr>
                  <w:r w:rsidRPr="00211817">
                    <w:rPr>
                      <w:rFonts w:eastAsia="Times New Roman" w:cs="Arial"/>
                      <w:szCs w:val="20"/>
                    </w:rPr>
                    <w:t>197</w:t>
                  </w:r>
                </w:p>
              </w:tc>
              <w:tc>
                <w:tcPr>
                  <w:tcW w:w="1275" w:type="dxa"/>
                </w:tcPr>
                <w:p w14:paraId="6B664663"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190</w:t>
                  </w:r>
                </w:p>
              </w:tc>
              <w:tc>
                <w:tcPr>
                  <w:tcW w:w="1134" w:type="dxa"/>
                </w:tcPr>
                <w:p w14:paraId="4DA73D59" w14:textId="77777777" w:rsidR="003E5592" w:rsidRPr="00211817" w:rsidRDefault="003E5592">
                  <w:pPr>
                    <w:spacing w:after="0"/>
                    <w:ind w:right="34"/>
                    <w:jc w:val="center"/>
                    <w:rPr>
                      <w:rFonts w:eastAsia="Times New Roman" w:cs="Arial"/>
                      <w:szCs w:val="20"/>
                    </w:rPr>
                  </w:pPr>
                  <w:r w:rsidRPr="00211817">
                    <w:rPr>
                      <w:rFonts w:eastAsia="Times New Roman" w:cs="Arial"/>
                      <w:szCs w:val="20"/>
                    </w:rPr>
                    <w:t>178</w:t>
                  </w:r>
                </w:p>
              </w:tc>
            </w:tr>
            <w:tr w:rsidR="003E5592" w:rsidRPr="00211817" w14:paraId="57172897" w14:textId="77777777">
              <w:tc>
                <w:tcPr>
                  <w:tcW w:w="1342" w:type="dxa"/>
                </w:tcPr>
                <w:p w14:paraId="4B8A2D96" w14:textId="77777777" w:rsidR="003E5592" w:rsidRPr="00211817" w:rsidRDefault="003E5592">
                  <w:pPr>
                    <w:spacing w:after="0"/>
                    <w:ind w:right="-1346"/>
                    <w:rPr>
                      <w:rFonts w:eastAsia="Times New Roman" w:cs="Arial"/>
                      <w:szCs w:val="20"/>
                    </w:rPr>
                  </w:pPr>
                  <w:r w:rsidRPr="00211817">
                    <w:rPr>
                      <w:rFonts w:eastAsia="Times New Roman" w:cs="Arial"/>
                      <w:szCs w:val="20"/>
                    </w:rPr>
                    <w:t>51-70 yr</w:t>
                  </w:r>
                </w:p>
              </w:tc>
              <w:tc>
                <w:tcPr>
                  <w:tcW w:w="1134" w:type="dxa"/>
                  <w:vMerge/>
                </w:tcPr>
                <w:p w14:paraId="0F03A5FE" w14:textId="77777777" w:rsidR="003E5592" w:rsidRPr="00211817" w:rsidRDefault="003E5592">
                  <w:pPr>
                    <w:spacing w:after="0"/>
                    <w:ind w:right="38"/>
                    <w:jc w:val="center"/>
                    <w:rPr>
                      <w:rFonts w:eastAsia="Times New Roman" w:cs="Arial"/>
                      <w:szCs w:val="20"/>
                    </w:rPr>
                  </w:pPr>
                </w:p>
              </w:tc>
              <w:tc>
                <w:tcPr>
                  <w:tcW w:w="1276" w:type="dxa"/>
                </w:tcPr>
                <w:p w14:paraId="1A03B43A"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219</w:t>
                  </w:r>
                </w:p>
              </w:tc>
              <w:tc>
                <w:tcPr>
                  <w:tcW w:w="1134" w:type="dxa"/>
                </w:tcPr>
                <w:p w14:paraId="1B25DC54"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275</w:t>
                  </w:r>
                </w:p>
              </w:tc>
              <w:tc>
                <w:tcPr>
                  <w:tcW w:w="1276" w:type="dxa"/>
                </w:tcPr>
                <w:p w14:paraId="16825264" w14:textId="77777777" w:rsidR="003E5592" w:rsidRPr="00211817" w:rsidRDefault="003E5592">
                  <w:pPr>
                    <w:spacing w:after="0"/>
                    <w:ind w:right="36"/>
                    <w:jc w:val="center"/>
                    <w:rPr>
                      <w:rFonts w:eastAsia="Times New Roman" w:cs="Arial"/>
                      <w:szCs w:val="20"/>
                    </w:rPr>
                  </w:pPr>
                  <w:r w:rsidRPr="00211817">
                    <w:rPr>
                      <w:rFonts w:eastAsia="Times New Roman" w:cs="Arial"/>
                      <w:szCs w:val="20"/>
                    </w:rPr>
                    <w:t>229</w:t>
                  </w:r>
                </w:p>
              </w:tc>
              <w:tc>
                <w:tcPr>
                  <w:tcW w:w="1134" w:type="dxa"/>
                </w:tcPr>
                <w:p w14:paraId="209F91EF"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290</w:t>
                  </w:r>
                </w:p>
              </w:tc>
              <w:tc>
                <w:tcPr>
                  <w:tcW w:w="1276" w:type="dxa"/>
                </w:tcPr>
                <w:p w14:paraId="24AE3BDE" w14:textId="77777777" w:rsidR="003E5592" w:rsidRPr="00211817" w:rsidRDefault="003E5592">
                  <w:pPr>
                    <w:spacing w:after="0"/>
                    <w:ind w:right="27"/>
                    <w:jc w:val="center"/>
                    <w:rPr>
                      <w:rFonts w:eastAsia="Times New Roman" w:cs="Arial"/>
                      <w:szCs w:val="20"/>
                    </w:rPr>
                  </w:pPr>
                  <w:r w:rsidRPr="00211817">
                    <w:rPr>
                      <w:rFonts w:eastAsia="Times New Roman" w:cs="Arial"/>
                      <w:szCs w:val="20"/>
                    </w:rPr>
                    <w:t>198</w:t>
                  </w:r>
                </w:p>
              </w:tc>
              <w:tc>
                <w:tcPr>
                  <w:tcW w:w="1134" w:type="dxa"/>
                </w:tcPr>
                <w:p w14:paraId="4B3B7669" w14:textId="77777777" w:rsidR="003E5592" w:rsidRPr="00211817" w:rsidRDefault="003E5592">
                  <w:pPr>
                    <w:spacing w:after="0"/>
                    <w:ind w:right="27"/>
                    <w:jc w:val="center"/>
                    <w:rPr>
                      <w:rFonts w:eastAsia="Times New Roman" w:cs="Arial"/>
                      <w:szCs w:val="20"/>
                    </w:rPr>
                  </w:pPr>
                  <w:r w:rsidRPr="00211817">
                    <w:rPr>
                      <w:rFonts w:eastAsia="Times New Roman" w:cs="Arial"/>
                      <w:szCs w:val="20"/>
                    </w:rPr>
                    <w:t>229</w:t>
                  </w:r>
                </w:p>
              </w:tc>
              <w:tc>
                <w:tcPr>
                  <w:tcW w:w="1275" w:type="dxa"/>
                </w:tcPr>
                <w:p w14:paraId="433A6DEA"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198</w:t>
                  </w:r>
                </w:p>
              </w:tc>
              <w:tc>
                <w:tcPr>
                  <w:tcW w:w="1134" w:type="dxa"/>
                </w:tcPr>
                <w:p w14:paraId="339786B2" w14:textId="77777777" w:rsidR="003E5592" w:rsidRPr="00211817" w:rsidRDefault="003E5592">
                  <w:pPr>
                    <w:spacing w:after="0"/>
                    <w:ind w:right="34"/>
                    <w:jc w:val="center"/>
                    <w:rPr>
                      <w:rFonts w:eastAsia="Times New Roman" w:cs="Arial"/>
                      <w:szCs w:val="20"/>
                    </w:rPr>
                  </w:pPr>
                  <w:r w:rsidRPr="00211817">
                    <w:rPr>
                      <w:rFonts w:eastAsia="Times New Roman" w:cs="Arial"/>
                      <w:szCs w:val="20"/>
                    </w:rPr>
                    <w:t>233</w:t>
                  </w:r>
                </w:p>
              </w:tc>
            </w:tr>
            <w:tr w:rsidR="003E5592" w:rsidRPr="00211817" w14:paraId="06ECF7A0" w14:textId="77777777">
              <w:tc>
                <w:tcPr>
                  <w:tcW w:w="1342" w:type="dxa"/>
                </w:tcPr>
                <w:p w14:paraId="2E7CFF19" w14:textId="77777777" w:rsidR="003E5592" w:rsidRPr="00211817" w:rsidRDefault="003E5592">
                  <w:pPr>
                    <w:spacing w:after="0"/>
                    <w:ind w:right="-1346"/>
                    <w:rPr>
                      <w:rFonts w:eastAsia="Times New Roman" w:cs="Arial"/>
                      <w:szCs w:val="20"/>
                    </w:rPr>
                  </w:pPr>
                  <w:r w:rsidRPr="00211817">
                    <w:rPr>
                      <w:rFonts w:eastAsia="Times New Roman" w:cs="Arial"/>
                      <w:szCs w:val="20"/>
                    </w:rPr>
                    <w:t>70+ yr</w:t>
                  </w:r>
                </w:p>
              </w:tc>
              <w:tc>
                <w:tcPr>
                  <w:tcW w:w="1134" w:type="dxa"/>
                  <w:vMerge/>
                </w:tcPr>
                <w:p w14:paraId="0C533E8C" w14:textId="77777777" w:rsidR="003E5592" w:rsidRPr="00211817" w:rsidRDefault="003E5592">
                  <w:pPr>
                    <w:spacing w:after="0"/>
                    <w:ind w:right="38"/>
                    <w:jc w:val="center"/>
                    <w:rPr>
                      <w:rFonts w:eastAsia="Times New Roman" w:cs="Arial"/>
                      <w:szCs w:val="20"/>
                    </w:rPr>
                  </w:pPr>
                </w:p>
              </w:tc>
              <w:tc>
                <w:tcPr>
                  <w:tcW w:w="1276" w:type="dxa"/>
                </w:tcPr>
                <w:p w14:paraId="709339E1"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256</w:t>
                  </w:r>
                </w:p>
              </w:tc>
              <w:tc>
                <w:tcPr>
                  <w:tcW w:w="1134" w:type="dxa"/>
                </w:tcPr>
                <w:p w14:paraId="5B204F58"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260</w:t>
                  </w:r>
                </w:p>
              </w:tc>
              <w:tc>
                <w:tcPr>
                  <w:tcW w:w="1276" w:type="dxa"/>
                </w:tcPr>
                <w:p w14:paraId="0190BE4F"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275</w:t>
                  </w:r>
                </w:p>
              </w:tc>
              <w:tc>
                <w:tcPr>
                  <w:tcW w:w="1134" w:type="dxa"/>
                </w:tcPr>
                <w:p w14:paraId="28E1A049"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289</w:t>
                  </w:r>
                </w:p>
              </w:tc>
              <w:tc>
                <w:tcPr>
                  <w:tcW w:w="1276" w:type="dxa"/>
                </w:tcPr>
                <w:p w14:paraId="72CEE436" w14:textId="77777777" w:rsidR="003E5592" w:rsidRPr="00211817" w:rsidRDefault="003E5592">
                  <w:pPr>
                    <w:spacing w:after="0"/>
                    <w:ind w:right="27"/>
                    <w:jc w:val="center"/>
                    <w:rPr>
                      <w:rFonts w:eastAsia="Times New Roman" w:cs="Arial"/>
                      <w:szCs w:val="20"/>
                    </w:rPr>
                  </w:pPr>
                  <w:r w:rsidRPr="00211817">
                    <w:rPr>
                      <w:rFonts w:eastAsia="Times New Roman" w:cs="Arial"/>
                      <w:szCs w:val="20"/>
                    </w:rPr>
                    <w:t>249</w:t>
                  </w:r>
                </w:p>
              </w:tc>
              <w:tc>
                <w:tcPr>
                  <w:tcW w:w="1134" w:type="dxa"/>
                </w:tcPr>
                <w:p w14:paraId="0615F334"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223</w:t>
                  </w:r>
                </w:p>
              </w:tc>
              <w:tc>
                <w:tcPr>
                  <w:tcW w:w="1275" w:type="dxa"/>
                </w:tcPr>
                <w:p w14:paraId="131FCC43"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215</w:t>
                  </w:r>
                </w:p>
              </w:tc>
              <w:tc>
                <w:tcPr>
                  <w:tcW w:w="1134" w:type="dxa"/>
                </w:tcPr>
                <w:p w14:paraId="45EBECEC" w14:textId="77777777" w:rsidR="003E5592" w:rsidRPr="00211817" w:rsidRDefault="003E5592">
                  <w:pPr>
                    <w:spacing w:after="0"/>
                    <w:ind w:right="-115"/>
                    <w:jc w:val="center"/>
                    <w:rPr>
                      <w:rFonts w:eastAsia="Times New Roman" w:cs="Arial"/>
                      <w:szCs w:val="20"/>
                    </w:rPr>
                  </w:pPr>
                  <w:r w:rsidRPr="00211817">
                    <w:rPr>
                      <w:rFonts w:eastAsia="Times New Roman" w:cs="Arial"/>
                      <w:szCs w:val="20"/>
                    </w:rPr>
                    <w:t>218</w:t>
                  </w:r>
                </w:p>
              </w:tc>
            </w:tr>
          </w:tbl>
          <w:p w14:paraId="6B0606CE" w14:textId="77777777" w:rsidR="003E5592" w:rsidRDefault="003E559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szCs w:val="20"/>
              </w:rPr>
            </w:pPr>
          </w:p>
          <w:p w14:paraId="4BE45917" w14:textId="77777777" w:rsidR="00175AC7" w:rsidRPr="00211817" w:rsidRDefault="00175AC7">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szCs w:val="20"/>
              </w:rPr>
            </w:pPr>
          </w:p>
        </w:tc>
      </w:tr>
      <w:tr w:rsidR="003E5592" w:rsidRPr="00211817" w14:paraId="37FF847F" w14:textId="77777777" w:rsidTr="000362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tcPr>
          <w:p w14:paraId="6F5AC06B" w14:textId="77777777" w:rsidR="003E5592" w:rsidRPr="00211817" w:rsidRDefault="003E5592">
            <w:pPr>
              <w:rPr>
                <w:rFonts w:eastAsia="Arial" w:cs="Arial"/>
                <w:szCs w:val="20"/>
              </w:rPr>
            </w:pPr>
            <w:r w:rsidRPr="00211817">
              <w:rPr>
                <w:rFonts w:eastAsia="Arial" w:cs="Arial"/>
                <w:szCs w:val="20"/>
              </w:rPr>
              <w:lastRenderedPageBreak/>
              <w:t>Resource impacts</w:t>
            </w:r>
          </w:p>
        </w:tc>
        <w:tc>
          <w:tcPr>
            <w:tcW w:w="6195" w:type="dxa"/>
          </w:tcPr>
          <w:p w14:paraId="0794BCA4" w14:textId="77777777" w:rsidR="003E5592" w:rsidRPr="00211817" w:rsidRDefault="003E5592">
            <w:pPr>
              <w:spacing w:before="120" w:after="0"/>
              <w:ind w:right="31"/>
              <w:cnfStyle w:val="000000010000" w:firstRow="0" w:lastRow="0" w:firstColumn="0" w:lastColumn="0" w:oddVBand="0" w:evenVBand="0" w:oddHBand="0" w:evenHBand="1" w:firstRowFirstColumn="0" w:firstRowLastColumn="0" w:lastRowFirstColumn="0" w:lastRowLastColumn="0"/>
              <w:rPr>
                <w:rFonts w:eastAsia="Times New Roman" w:cs="Arial"/>
                <w:i/>
                <w:szCs w:val="20"/>
                <w:highlight w:val="lightGray"/>
              </w:rPr>
            </w:pPr>
            <w:r w:rsidRPr="00211817">
              <w:rPr>
                <w:rFonts w:eastAsia="Times New Roman" w:cs="Arial"/>
                <w:szCs w:val="20"/>
              </w:rPr>
              <w:t xml:space="preserve">Retaining the current values for adults has no material implications. Although adult age groupings are being adjusted to align with new NRVs age groupings (see Methodological Framework; NHMRC 2025), the adult NRVs are the same for all age groups so there is no material impact of this change. Consequently, this minor change to age groupings should have no implications for regulators, including FSANZ (food and food products) and TGA (supplements). </w:t>
            </w:r>
          </w:p>
        </w:tc>
        <w:tc>
          <w:tcPr>
            <w:tcW w:w="6136" w:type="dxa"/>
          </w:tcPr>
          <w:p w14:paraId="7015851D" w14:textId="77777777" w:rsidR="003E5592" w:rsidRPr="00211817" w:rsidRDefault="003E5592">
            <w:pPr>
              <w:spacing w:before="120" w:after="0"/>
              <w:ind w:right="31"/>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Replacing the current EAR and RDI with an AI to reflects uncertainty in the evidence </w:t>
            </w:r>
            <w:proofErr w:type="gramStart"/>
            <w:r w:rsidRPr="00211817">
              <w:rPr>
                <w:rFonts w:eastAsia="Times New Roman" w:cs="Arial"/>
                <w:szCs w:val="20"/>
              </w:rPr>
              <w:t>base, and</w:t>
            </w:r>
            <w:proofErr w:type="gramEnd"/>
            <w:r w:rsidRPr="00211817">
              <w:rPr>
                <w:rFonts w:eastAsia="Times New Roman" w:cs="Arial"/>
                <w:szCs w:val="20"/>
              </w:rPr>
              <w:t xml:space="preserve"> adjusts recommendations to align with new age groupings. </w:t>
            </w:r>
          </w:p>
          <w:p w14:paraId="04A0A9D1" w14:textId="77777777" w:rsidR="003E5592" w:rsidRPr="00211817" w:rsidRDefault="003E5592">
            <w:pPr>
              <w:spacing w:before="120" w:after="0"/>
              <w:ind w:right="172"/>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While small, these changes may have significant implications for regulators, including FSANZ (food and food products) and the TGA (supplements). </w:t>
            </w:r>
            <w:proofErr w:type="gramStart"/>
            <w:r w:rsidRPr="00211817">
              <w:rPr>
                <w:rFonts w:eastAsia="Times New Roman" w:cs="Arial"/>
                <w:szCs w:val="20"/>
              </w:rPr>
              <w:t>In particular, removal</w:t>
            </w:r>
            <w:proofErr w:type="gramEnd"/>
            <w:r w:rsidRPr="00211817">
              <w:rPr>
                <w:rFonts w:eastAsia="Times New Roman" w:cs="Arial"/>
                <w:szCs w:val="20"/>
              </w:rPr>
              <w:t xml:space="preserve"> of the EAR may preclude analysis comparing dietary intake modelling data against the EAR.  Preliminary discussions with FSANZ have indicated that removal of the EAR would be problematic for ongoing monitoring of the mandatory fortification program.</w:t>
            </w:r>
          </w:p>
          <w:p w14:paraId="229F6934" w14:textId="77777777" w:rsidR="003E5592" w:rsidRPr="00211817" w:rsidRDefault="003E5592">
            <w:pPr>
              <w:spacing w:before="120" w:after="0"/>
              <w:ind w:right="172"/>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The FSANZ adult regulatory RDI for iodine is 150 µg/day, although this regulatory value only applies in the context of food labelling.</w:t>
            </w:r>
          </w:p>
          <w:p w14:paraId="5893C528" w14:textId="77777777" w:rsidR="003E5592" w:rsidRPr="00211817" w:rsidRDefault="003E5592">
            <w:pPr>
              <w:spacing w:before="120" w:after="0"/>
              <w:ind w:right="172"/>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Views will be sought during targeted/stakeholder consultation and considered when developing final NRVs.</w:t>
            </w:r>
          </w:p>
        </w:tc>
      </w:tr>
      <w:tr w:rsidR="003E5592" w:rsidRPr="00211817" w14:paraId="645EE229" w14:textId="77777777" w:rsidTr="000362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tcPr>
          <w:p w14:paraId="608AC45E" w14:textId="77777777" w:rsidR="003E5592" w:rsidRPr="00211817" w:rsidRDefault="003E5592">
            <w:pPr>
              <w:rPr>
                <w:rFonts w:eastAsia="Arial" w:cs="Arial"/>
                <w:szCs w:val="20"/>
              </w:rPr>
            </w:pPr>
            <w:r w:rsidRPr="00211817">
              <w:rPr>
                <w:rFonts w:eastAsia="Arial" w:cs="Arial"/>
                <w:szCs w:val="20"/>
              </w:rPr>
              <w:t>Other factors (health equity impacts, sustainability)</w:t>
            </w:r>
          </w:p>
        </w:tc>
        <w:tc>
          <w:tcPr>
            <w:tcW w:w="12331" w:type="dxa"/>
            <w:gridSpan w:val="2"/>
          </w:tcPr>
          <w:p w14:paraId="469C27E2" w14:textId="77777777" w:rsidR="003E5592" w:rsidRPr="00211817" w:rsidRDefault="003E559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Arial"/>
                <w:iCs/>
                <w:szCs w:val="20"/>
              </w:rPr>
              <w:t xml:space="preserve">Groups at risk of deficiency include vegans, vegetarians, individuals with low consumption of dairy or commercial bread, individuals with low intakes of iodised salt, and smokers of both tobacco and electronic cigarettes. </w:t>
            </w:r>
            <w:r w:rsidRPr="00211817">
              <w:rPr>
                <w:rFonts w:eastAsia="Times New Roman" w:cs="Times New Roman"/>
                <w:szCs w:val="20"/>
              </w:rPr>
              <w:t xml:space="preserve">Reduced consumption of commercial bread and bread products in Australia (ABS 2025b) and </w:t>
            </w:r>
            <w:r w:rsidRPr="00211817">
              <w:rPr>
                <w:rFonts w:eastAsia="Times New Roman" w:cs="Arial"/>
                <w:iCs/>
                <w:szCs w:val="20"/>
              </w:rPr>
              <w:t>increasing interest in predominantly plant-based diets (</w:t>
            </w:r>
            <w:r w:rsidRPr="00211817">
              <w:rPr>
                <w:rFonts w:eastAsia="Times New Roman" w:cs="Times New Roman"/>
                <w:szCs w:val="20"/>
              </w:rPr>
              <w:t xml:space="preserve">Roy Morgan 2016; Kantar 2022; Riverola et al. 2023) </w:t>
            </w:r>
            <w:r w:rsidRPr="00211817">
              <w:rPr>
                <w:rFonts w:eastAsia="Times New Roman" w:cs="Arial"/>
                <w:iCs/>
                <w:szCs w:val="20"/>
              </w:rPr>
              <w:t>has the potential to reduce population iodine intake and should be closely monitored.</w:t>
            </w:r>
          </w:p>
          <w:p w14:paraId="6FB2EBDB" w14:textId="77777777" w:rsidR="003E5592" w:rsidRPr="00211817" w:rsidRDefault="003E559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211817">
              <w:rPr>
                <w:rFonts w:eastAsia="Times New Roman" w:cs="Arial"/>
                <w:iCs/>
                <w:szCs w:val="20"/>
              </w:rPr>
              <w:t xml:space="preserve">Data from Australia and New Zealand also suggests that women of reproductive age may be mildly deficient. Sufficient iodine status during pregnancy is required to </w:t>
            </w:r>
            <w:r w:rsidRPr="00211817">
              <w:rPr>
                <w:rFonts w:eastAsia="Times New Roman" w:cs="Times New Roman"/>
                <w:szCs w:val="20"/>
              </w:rPr>
              <w:t xml:space="preserve">support child neurocognitive development. It is critical that public health communication addresses the need for iodine supplementation pre-conception and throughout pregnancy and lactation, to provide for optimal </w:t>
            </w:r>
            <w:proofErr w:type="spellStart"/>
            <w:r w:rsidRPr="00211817">
              <w:rPr>
                <w:rFonts w:eastAsia="Times New Roman" w:cs="Times New Roman"/>
                <w:szCs w:val="20"/>
              </w:rPr>
              <w:t>fetal</w:t>
            </w:r>
            <w:proofErr w:type="spellEnd"/>
            <w:r w:rsidRPr="00211817">
              <w:rPr>
                <w:rFonts w:eastAsia="Times New Roman" w:cs="Times New Roman"/>
                <w:szCs w:val="20"/>
              </w:rPr>
              <w:t xml:space="preserve"> development.</w:t>
            </w:r>
          </w:p>
          <w:p w14:paraId="3E0F19D5" w14:textId="77777777" w:rsidR="003E5592" w:rsidRPr="00211817" w:rsidRDefault="003E559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Times New Roman"/>
                <w:szCs w:val="20"/>
              </w:rPr>
              <w:t>With any change to the NRVs care must be taken to avoid suggesting that there is uncertainty about the need for increased iodine during pregnancy, or to undermine messaging about routine iodine supplementation in this cohort.</w:t>
            </w:r>
          </w:p>
        </w:tc>
      </w:tr>
      <w:tr w:rsidR="003E5592" w:rsidRPr="00211817" w14:paraId="40447430" w14:textId="77777777" w:rsidTr="000362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9" w:type="dxa"/>
          </w:tcPr>
          <w:p w14:paraId="27171A4F" w14:textId="77777777" w:rsidR="003E5592" w:rsidRPr="00211817" w:rsidRDefault="003E5592">
            <w:pPr>
              <w:rPr>
                <w:rFonts w:eastAsia="Arial" w:cs="Arial"/>
                <w:szCs w:val="20"/>
              </w:rPr>
            </w:pPr>
            <w:r w:rsidRPr="00211817">
              <w:rPr>
                <w:rFonts w:eastAsia="Arial" w:cs="Arial"/>
                <w:szCs w:val="20"/>
              </w:rPr>
              <w:lastRenderedPageBreak/>
              <w:t>Decision</w:t>
            </w:r>
          </w:p>
        </w:tc>
        <w:tc>
          <w:tcPr>
            <w:tcW w:w="12331" w:type="dxa"/>
            <w:gridSpan w:val="2"/>
          </w:tcPr>
          <w:p w14:paraId="3C591341" w14:textId="77777777" w:rsidR="003E5592" w:rsidRPr="00211817" w:rsidRDefault="003E5592">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b/>
                <w:bCs/>
                <w:szCs w:val="20"/>
              </w:rPr>
            </w:pPr>
            <w:r w:rsidRPr="00211817">
              <w:rPr>
                <w:rFonts w:eastAsia="Times New Roman" w:cs="Arial"/>
                <w:b/>
                <w:bCs/>
                <w:szCs w:val="20"/>
              </w:rPr>
              <w:t xml:space="preserve">Option 1 (retain existing EAR and RDI, adjusted to with additional age groupings) was selected in view of the potential harms to public health monitoring associated with removal of the EAR - </w:t>
            </w:r>
            <w:proofErr w:type="gramStart"/>
            <w:r w:rsidRPr="00211817">
              <w:rPr>
                <w:rFonts w:eastAsia="Times New Roman" w:cs="Arial"/>
                <w:b/>
                <w:bCs/>
                <w:szCs w:val="20"/>
              </w:rPr>
              <w:t>in particular</w:t>
            </w:r>
            <w:proofErr w:type="gramEnd"/>
            <w:r w:rsidRPr="00211817">
              <w:rPr>
                <w:rFonts w:eastAsia="Times New Roman" w:cs="Arial"/>
                <w:b/>
                <w:bCs/>
                <w:szCs w:val="20"/>
              </w:rPr>
              <w:t xml:space="preserve"> the existing iodine fortification program. Further, although the evidence underpinning the EAR is not robust, several different sources of evidence from thyroid accumulation and balance studies support establishing an EAR in the range of 90 - 110 µg/day. Finally, there is no evidence that the current recommendations are associated with adverse public health outcomes.</w:t>
            </w:r>
          </w:p>
        </w:tc>
      </w:tr>
    </w:tbl>
    <w:p w14:paraId="11A05A15" w14:textId="27DF79DC" w:rsidR="00D22357" w:rsidRDefault="00036214" w:rsidP="00036214">
      <w:pPr>
        <w:pStyle w:val="Heading5"/>
      </w:pPr>
      <w:r>
        <w:t>During pregnancy</w:t>
      </w:r>
    </w:p>
    <w:tbl>
      <w:tblPr>
        <w:tblStyle w:val="DefaultTable1"/>
        <w:tblW w:w="5481" w:type="pct"/>
        <w:tblInd w:w="-431" w:type="dxa"/>
        <w:tblBorders>
          <w:top w:val="single" w:sz="4" w:space="0" w:color="4216FF"/>
          <w:left w:val="single" w:sz="4" w:space="0" w:color="4216FF"/>
          <w:bottom w:val="single" w:sz="4" w:space="0" w:color="4216FF"/>
          <w:right w:val="single" w:sz="4" w:space="0" w:color="4216FF"/>
          <w:insideH w:val="single" w:sz="4" w:space="0" w:color="4216FF"/>
          <w:insideV w:val="single" w:sz="4" w:space="0" w:color="4216FF"/>
        </w:tblBorders>
        <w:tblLayout w:type="fixed"/>
        <w:tblLook w:val="04A0" w:firstRow="1" w:lastRow="0" w:firstColumn="1" w:lastColumn="0" w:noHBand="0" w:noVBand="1"/>
      </w:tblPr>
      <w:tblGrid>
        <w:gridCol w:w="1921"/>
        <w:gridCol w:w="6305"/>
        <w:gridCol w:w="6517"/>
      </w:tblGrid>
      <w:tr w:rsidR="00036214" w:rsidRPr="00211817" w14:paraId="58FF55B6" w14:textId="77777777" w:rsidTr="000362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hideMark/>
          </w:tcPr>
          <w:p w14:paraId="7138FC0E" w14:textId="77777777" w:rsidR="00036214" w:rsidRPr="00211817" w:rsidRDefault="00036214">
            <w:pPr>
              <w:rPr>
                <w:rFonts w:eastAsia="Times New Roman" w:cs="Times New Roman"/>
                <w:szCs w:val="20"/>
              </w:rPr>
            </w:pPr>
            <w:r w:rsidRPr="00211817">
              <w:rPr>
                <w:rFonts w:eastAsia="Times New Roman" w:cs="Arial"/>
                <w:szCs w:val="20"/>
              </w:rPr>
              <w:t>Criterion</w:t>
            </w:r>
          </w:p>
        </w:tc>
        <w:tc>
          <w:tcPr>
            <w:tcW w:w="6305" w:type="dxa"/>
            <w:tcBorders>
              <w:top w:val="single" w:sz="4" w:space="0" w:color="77BCD9"/>
              <w:left w:val="single" w:sz="4" w:space="0" w:color="77BCD9"/>
              <w:bottom w:val="single" w:sz="4" w:space="0" w:color="77BCD9"/>
              <w:right w:val="single" w:sz="4" w:space="0" w:color="77BCD9"/>
            </w:tcBorders>
          </w:tcPr>
          <w:p w14:paraId="322AA284" w14:textId="77777777" w:rsidR="00036214" w:rsidRPr="00211817" w:rsidRDefault="00036214">
            <w:pPr>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u w:val="single"/>
              </w:rPr>
              <w:t>OPTION 1</w:t>
            </w:r>
            <w:r w:rsidRPr="00211817">
              <w:rPr>
                <w:rFonts w:eastAsia="Times New Roman" w:cs="Times New Roman"/>
                <w:szCs w:val="20"/>
              </w:rPr>
              <w:t>:</w:t>
            </w:r>
          </w:p>
          <w:p w14:paraId="28A97E7E" w14:textId="77777777" w:rsidR="00036214" w:rsidRPr="00211817" w:rsidRDefault="00036214">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rPr>
              <w:t>Maintain current recommendations (EAR &amp; RDI)</w:t>
            </w:r>
          </w:p>
          <w:p w14:paraId="096667C4" w14:textId="77777777" w:rsidR="00036214" w:rsidRPr="00211817" w:rsidRDefault="00036214">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rPr>
              <w:t>Adapt current NRVs to new age groupings</w:t>
            </w:r>
          </w:p>
        </w:tc>
        <w:tc>
          <w:tcPr>
            <w:tcW w:w="6517" w:type="dxa"/>
            <w:tcBorders>
              <w:top w:val="single" w:sz="4" w:space="0" w:color="77BCD9"/>
              <w:left w:val="single" w:sz="4" w:space="0" w:color="77BCD9"/>
              <w:bottom w:val="single" w:sz="4" w:space="0" w:color="77BCD9"/>
              <w:right w:val="single" w:sz="4" w:space="0" w:color="77BCD9"/>
            </w:tcBorders>
          </w:tcPr>
          <w:p w14:paraId="38A78253" w14:textId="77777777" w:rsidR="00036214" w:rsidRPr="00211817" w:rsidRDefault="00036214">
            <w:pPr>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u w:val="single"/>
              </w:rPr>
              <w:t>OPTION 2</w:t>
            </w:r>
            <w:r w:rsidRPr="00211817">
              <w:rPr>
                <w:rFonts w:eastAsia="Times New Roman" w:cs="Times New Roman"/>
                <w:szCs w:val="20"/>
              </w:rPr>
              <w:t>:</w:t>
            </w:r>
          </w:p>
          <w:p w14:paraId="0D3F85DE" w14:textId="77777777" w:rsidR="00036214" w:rsidRPr="00211817" w:rsidRDefault="00036214">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rPr>
              <w:t>Revise recommendations to AIs to reflect uncertainty in evidence base</w:t>
            </w:r>
          </w:p>
        </w:tc>
      </w:tr>
      <w:tr w:rsidR="00036214" w:rsidRPr="00211817" w14:paraId="5290A5CB" w14:textId="77777777" w:rsidTr="00036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tcPr>
          <w:p w14:paraId="56880C92" w14:textId="77777777" w:rsidR="00036214" w:rsidRPr="00211817" w:rsidRDefault="00036214">
            <w:pPr>
              <w:rPr>
                <w:rFonts w:eastAsia="Times New Roman" w:cs="Arial"/>
                <w:szCs w:val="20"/>
              </w:rPr>
            </w:pPr>
            <w:r w:rsidRPr="00211817">
              <w:rPr>
                <w:rFonts w:eastAsia="Times New Roman" w:cs="Arial"/>
                <w:szCs w:val="20"/>
              </w:rPr>
              <w:t>Example recommendation</w:t>
            </w:r>
          </w:p>
        </w:tc>
        <w:tc>
          <w:tcPr>
            <w:tcW w:w="6305" w:type="dxa"/>
            <w:tcBorders>
              <w:left w:val="single" w:sz="4" w:space="0" w:color="77BCD9"/>
            </w:tcBorders>
          </w:tcPr>
          <w:tbl>
            <w:tblPr>
              <w:tblStyle w:val="TableGrid2"/>
              <w:tblW w:w="0" w:type="auto"/>
              <w:tblInd w:w="0" w:type="dxa"/>
              <w:tblLook w:val="06A0" w:firstRow="1" w:lastRow="0" w:firstColumn="1" w:lastColumn="0" w:noHBand="1" w:noVBand="1"/>
            </w:tblPr>
            <w:tblGrid>
              <w:gridCol w:w="1914"/>
              <w:gridCol w:w="2122"/>
              <w:gridCol w:w="1417"/>
            </w:tblGrid>
            <w:tr w:rsidR="00175AC7" w:rsidRPr="00211817" w14:paraId="533DC2F3" w14:textId="77777777" w:rsidTr="00175AC7">
              <w:tc>
                <w:tcPr>
                  <w:tcW w:w="1914" w:type="dxa"/>
                </w:tcPr>
                <w:p w14:paraId="4DEBD8B7" w14:textId="77777777" w:rsidR="00175AC7" w:rsidRPr="00211817" w:rsidRDefault="00175AC7">
                  <w:pPr>
                    <w:spacing w:after="0"/>
                    <w:rPr>
                      <w:rFonts w:eastAsia="Times New Roman" w:cs="Arial"/>
                      <w:b/>
                      <w:bCs/>
                      <w:i/>
                      <w:iCs/>
                      <w:szCs w:val="20"/>
                    </w:rPr>
                  </w:pPr>
                </w:p>
              </w:tc>
              <w:tc>
                <w:tcPr>
                  <w:tcW w:w="2122" w:type="dxa"/>
                </w:tcPr>
                <w:p w14:paraId="6BE5CF07" w14:textId="3AEDF742" w:rsidR="00175AC7" w:rsidRPr="00211817" w:rsidRDefault="00175AC7" w:rsidP="00175AC7">
                  <w:pPr>
                    <w:spacing w:after="0"/>
                    <w:jc w:val="center"/>
                    <w:rPr>
                      <w:rFonts w:eastAsia="Times New Roman" w:cs="Arial"/>
                      <w:i/>
                      <w:iCs/>
                      <w:szCs w:val="20"/>
                    </w:rPr>
                  </w:pPr>
                  <w:r w:rsidRPr="00211817">
                    <w:rPr>
                      <w:rFonts w:eastAsia="Times New Roman" w:cs="Arial"/>
                      <w:b/>
                      <w:bCs/>
                      <w:i/>
                      <w:iCs/>
                      <w:szCs w:val="20"/>
                    </w:rPr>
                    <w:t>EAR</w:t>
                  </w:r>
                </w:p>
              </w:tc>
              <w:tc>
                <w:tcPr>
                  <w:tcW w:w="1417" w:type="dxa"/>
                </w:tcPr>
                <w:p w14:paraId="6A44249E" w14:textId="01725E10" w:rsidR="00175AC7" w:rsidRPr="00211817" w:rsidRDefault="00175AC7" w:rsidP="00175AC7">
                  <w:pPr>
                    <w:spacing w:after="0"/>
                    <w:jc w:val="center"/>
                    <w:rPr>
                      <w:rFonts w:eastAsia="Times New Roman" w:cs="Arial"/>
                      <w:i/>
                      <w:iCs/>
                      <w:szCs w:val="20"/>
                    </w:rPr>
                  </w:pPr>
                  <w:r w:rsidRPr="00211817">
                    <w:rPr>
                      <w:rFonts w:eastAsia="Times New Roman" w:cs="Arial"/>
                      <w:b/>
                      <w:bCs/>
                      <w:i/>
                      <w:iCs/>
                      <w:szCs w:val="20"/>
                    </w:rPr>
                    <w:t>RDI</w:t>
                  </w:r>
                </w:p>
              </w:tc>
            </w:tr>
            <w:tr w:rsidR="00036214" w:rsidRPr="00211817" w14:paraId="7CDA54E5" w14:textId="77777777" w:rsidTr="00175AC7">
              <w:tc>
                <w:tcPr>
                  <w:tcW w:w="1914" w:type="dxa"/>
                </w:tcPr>
                <w:p w14:paraId="4F01F201" w14:textId="77777777" w:rsidR="00036214" w:rsidRPr="00211817" w:rsidRDefault="00036214">
                  <w:pPr>
                    <w:spacing w:after="0"/>
                    <w:rPr>
                      <w:rFonts w:eastAsia="Times New Roman" w:cs="Arial"/>
                      <w:b/>
                      <w:bCs/>
                      <w:i/>
                      <w:iCs/>
                      <w:szCs w:val="20"/>
                    </w:rPr>
                  </w:pPr>
                  <w:r w:rsidRPr="00211817">
                    <w:rPr>
                      <w:rFonts w:eastAsia="Times New Roman" w:cs="Arial"/>
                      <w:b/>
                      <w:bCs/>
                      <w:i/>
                      <w:iCs/>
                      <w:szCs w:val="20"/>
                    </w:rPr>
                    <w:t>Pregnancy</w:t>
                  </w:r>
                </w:p>
              </w:tc>
              <w:tc>
                <w:tcPr>
                  <w:tcW w:w="2122" w:type="dxa"/>
                </w:tcPr>
                <w:p w14:paraId="18ADDFCA" w14:textId="77777777" w:rsidR="00036214" w:rsidRPr="00211817" w:rsidRDefault="00036214">
                  <w:pPr>
                    <w:spacing w:after="0"/>
                    <w:rPr>
                      <w:rFonts w:eastAsia="Times New Roman" w:cs="Arial"/>
                      <w:i/>
                      <w:iCs/>
                      <w:szCs w:val="20"/>
                    </w:rPr>
                  </w:pPr>
                  <w:r w:rsidRPr="00211817">
                    <w:rPr>
                      <w:rFonts w:eastAsia="Times New Roman" w:cs="Arial"/>
                      <w:i/>
                      <w:iCs/>
                      <w:szCs w:val="20"/>
                    </w:rPr>
                    <w:t xml:space="preserve">160 </w:t>
                  </w:r>
                  <w:proofErr w:type="spellStart"/>
                  <w:r w:rsidRPr="00211817">
                    <w:rPr>
                      <w:rFonts w:eastAsia="Times New Roman" w:cs="Arial"/>
                      <w:i/>
                      <w:iCs/>
                      <w:szCs w:val="20"/>
                    </w:rPr>
                    <w:t>μg</w:t>
                  </w:r>
                  <w:proofErr w:type="spellEnd"/>
                  <w:r w:rsidRPr="00211817">
                    <w:rPr>
                      <w:rFonts w:eastAsia="Times New Roman" w:cs="Arial"/>
                      <w:i/>
                      <w:iCs/>
                      <w:szCs w:val="20"/>
                    </w:rPr>
                    <w:t>/day</w:t>
                  </w:r>
                </w:p>
              </w:tc>
              <w:tc>
                <w:tcPr>
                  <w:tcW w:w="1417" w:type="dxa"/>
                </w:tcPr>
                <w:p w14:paraId="616F1089" w14:textId="77777777" w:rsidR="00036214" w:rsidRPr="00211817" w:rsidRDefault="00036214">
                  <w:pPr>
                    <w:spacing w:after="0"/>
                    <w:rPr>
                      <w:rFonts w:eastAsia="Times New Roman" w:cs="Arial"/>
                      <w:i/>
                      <w:iCs/>
                      <w:szCs w:val="20"/>
                    </w:rPr>
                  </w:pPr>
                  <w:r w:rsidRPr="00211817">
                    <w:rPr>
                      <w:rFonts w:eastAsia="Times New Roman" w:cs="Arial"/>
                      <w:i/>
                      <w:iCs/>
                      <w:szCs w:val="20"/>
                    </w:rPr>
                    <w:t xml:space="preserve">220 </w:t>
                  </w:r>
                  <w:proofErr w:type="spellStart"/>
                  <w:r w:rsidRPr="00211817">
                    <w:rPr>
                      <w:rFonts w:eastAsia="Times New Roman" w:cs="Arial"/>
                      <w:i/>
                      <w:iCs/>
                      <w:szCs w:val="20"/>
                    </w:rPr>
                    <w:t>μg</w:t>
                  </w:r>
                  <w:proofErr w:type="spellEnd"/>
                  <w:r w:rsidRPr="00211817">
                    <w:rPr>
                      <w:rFonts w:eastAsia="Times New Roman" w:cs="Arial"/>
                      <w:i/>
                      <w:iCs/>
                      <w:szCs w:val="20"/>
                    </w:rPr>
                    <w:t>/day</w:t>
                  </w:r>
                </w:p>
              </w:tc>
            </w:tr>
          </w:tbl>
          <w:p w14:paraId="5EF7E26E" w14:textId="77777777" w:rsidR="00036214" w:rsidRPr="00211817" w:rsidRDefault="00036214">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i/>
                <w:iCs/>
                <w:szCs w:val="20"/>
              </w:rPr>
            </w:pPr>
          </w:p>
        </w:tc>
        <w:tc>
          <w:tcPr>
            <w:tcW w:w="6517" w:type="dxa"/>
          </w:tcPr>
          <w:tbl>
            <w:tblPr>
              <w:tblStyle w:val="TableGrid2"/>
              <w:tblW w:w="0" w:type="auto"/>
              <w:tblInd w:w="1272" w:type="dxa"/>
              <w:tblLook w:val="06A0" w:firstRow="1" w:lastRow="0" w:firstColumn="1" w:lastColumn="0" w:noHBand="1" w:noVBand="1"/>
            </w:tblPr>
            <w:tblGrid>
              <w:gridCol w:w="2277"/>
              <w:gridCol w:w="1475"/>
            </w:tblGrid>
            <w:tr w:rsidR="00175AC7" w:rsidRPr="00211817" w14:paraId="3B43DB91" w14:textId="77777777" w:rsidTr="00175AC7">
              <w:tc>
                <w:tcPr>
                  <w:tcW w:w="2277" w:type="dxa"/>
                </w:tcPr>
                <w:p w14:paraId="02308306" w14:textId="77777777" w:rsidR="00175AC7" w:rsidRPr="00211817" w:rsidRDefault="00175AC7">
                  <w:pPr>
                    <w:spacing w:after="0"/>
                    <w:rPr>
                      <w:rFonts w:eastAsia="Times New Roman" w:cs="Arial"/>
                      <w:b/>
                      <w:bCs/>
                      <w:i/>
                      <w:iCs/>
                      <w:szCs w:val="20"/>
                    </w:rPr>
                  </w:pPr>
                </w:p>
              </w:tc>
              <w:tc>
                <w:tcPr>
                  <w:tcW w:w="1475" w:type="dxa"/>
                </w:tcPr>
                <w:p w14:paraId="1A1F3BBF" w14:textId="77777777" w:rsidR="00175AC7" w:rsidRPr="00211817" w:rsidRDefault="00175AC7">
                  <w:pPr>
                    <w:spacing w:after="0"/>
                    <w:jc w:val="center"/>
                    <w:rPr>
                      <w:rFonts w:eastAsia="Times New Roman" w:cs="Arial"/>
                      <w:b/>
                      <w:bCs/>
                      <w:i/>
                      <w:iCs/>
                      <w:szCs w:val="20"/>
                    </w:rPr>
                  </w:pPr>
                  <w:r w:rsidRPr="00211817">
                    <w:rPr>
                      <w:rFonts w:eastAsia="Times New Roman" w:cs="Arial"/>
                      <w:b/>
                      <w:bCs/>
                      <w:i/>
                      <w:iCs/>
                      <w:szCs w:val="20"/>
                    </w:rPr>
                    <w:t>AI</w:t>
                  </w:r>
                </w:p>
              </w:tc>
            </w:tr>
            <w:tr w:rsidR="00036214" w:rsidRPr="00211817" w14:paraId="3CCC1EE6" w14:textId="77777777" w:rsidTr="00175AC7">
              <w:tc>
                <w:tcPr>
                  <w:tcW w:w="2277" w:type="dxa"/>
                </w:tcPr>
                <w:p w14:paraId="354B179A" w14:textId="77777777" w:rsidR="00036214" w:rsidRPr="00211817" w:rsidRDefault="00036214">
                  <w:pPr>
                    <w:spacing w:after="0"/>
                    <w:rPr>
                      <w:rFonts w:eastAsia="Times New Roman" w:cs="Arial"/>
                      <w:b/>
                      <w:bCs/>
                      <w:i/>
                      <w:iCs/>
                      <w:szCs w:val="20"/>
                    </w:rPr>
                  </w:pPr>
                  <w:r w:rsidRPr="00211817">
                    <w:rPr>
                      <w:rFonts w:eastAsia="Times New Roman" w:cs="Arial"/>
                      <w:b/>
                      <w:bCs/>
                      <w:i/>
                      <w:iCs/>
                      <w:szCs w:val="20"/>
                    </w:rPr>
                    <w:t>Pregnancy</w:t>
                  </w:r>
                </w:p>
              </w:tc>
              <w:tc>
                <w:tcPr>
                  <w:tcW w:w="1475" w:type="dxa"/>
                </w:tcPr>
                <w:p w14:paraId="1CD54531" w14:textId="77777777" w:rsidR="00036214" w:rsidRPr="00211817" w:rsidRDefault="00036214">
                  <w:pPr>
                    <w:spacing w:after="0"/>
                    <w:rPr>
                      <w:rFonts w:eastAsia="Times New Roman" w:cs="Arial"/>
                      <w:i/>
                      <w:iCs/>
                      <w:szCs w:val="20"/>
                    </w:rPr>
                  </w:pPr>
                  <w:r w:rsidRPr="00211817">
                    <w:rPr>
                      <w:rFonts w:eastAsia="Times New Roman" w:cs="Arial"/>
                      <w:i/>
                      <w:iCs/>
                      <w:szCs w:val="20"/>
                    </w:rPr>
                    <w:t xml:space="preserve">220 </w:t>
                  </w:r>
                  <w:proofErr w:type="spellStart"/>
                  <w:r w:rsidRPr="00211817">
                    <w:rPr>
                      <w:rFonts w:eastAsia="Times New Roman" w:cs="Arial"/>
                      <w:i/>
                      <w:iCs/>
                      <w:szCs w:val="20"/>
                    </w:rPr>
                    <w:t>μg</w:t>
                  </w:r>
                  <w:proofErr w:type="spellEnd"/>
                  <w:r w:rsidRPr="00211817">
                    <w:rPr>
                      <w:rFonts w:eastAsia="Times New Roman" w:cs="Arial"/>
                      <w:i/>
                      <w:iCs/>
                      <w:szCs w:val="20"/>
                    </w:rPr>
                    <w:t>/day</w:t>
                  </w:r>
                </w:p>
              </w:tc>
            </w:tr>
          </w:tbl>
          <w:p w14:paraId="7DCA3CEF" w14:textId="77777777" w:rsidR="00036214" w:rsidRPr="00211817" w:rsidRDefault="00036214">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rPr>
            </w:pPr>
          </w:p>
        </w:tc>
      </w:tr>
      <w:tr w:rsidR="00036214" w:rsidRPr="00211817" w14:paraId="07C779CC" w14:textId="77777777" w:rsidTr="00036214">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tcPr>
          <w:p w14:paraId="12353816" w14:textId="77777777" w:rsidR="00036214" w:rsidRPr="00211817" w:rsidRDefault="00036214">
            <w:pPr>
              <w:rPr>
                <w:rFonts w:eastAsia="Times New Roman" w:cs="Arial"/>
                <w:szCs w:val="20"/>
              </w:rPr>
            </w:pPr>
            <w:r w:rsidRPr="00211817">
              <w:rPr>
                <w:rFonts w:eastAsia="Times New Roman" w:cs="Arial"/>
                <w:szCs w:val="20"/>
              </w:rPr>
              <w:t>Health evidence profile and supporting information</w:t>
            </w:r>
          </w:p>
        </w:tc>
        <w:tc>
          <w:tcPr>
            <w:tcW w:w="6305" w:type="dxa"/>
            <w:tcBorders>
              <w:left w:val="single" w:sz="4" w:space="0" w:color="77BCD9"/>
            </w:tcBorders>
          </w:tcPr>
          <w:p w14:paraId="1EB56794"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The current (2006) values for pregnancy were based on adult requirements, adjusted to account for additional requirements during pregnancy. Daily </w:t>
            </w:r>
            <w:proofErr w:type="spellStart"/>
            <w:r w:rsidRPr="00211817">
              <w:rPr>
                <w:rFonts w:eastAsia="Times New Roman" w:cs="Times New Roman"/>
                <w:szCs w:val="20"/>
              </w:rPr>
              <w:t>fetal</w:t>
            </w:r>
            <w:proofErr w:type="spellEnd"/>
            <w:r w:rsidRPr="00211817">
              <w:rPr>
                <w:rFonts w:eastAsia="Times New Roman" w:cs="Times New Roman"/>
                <w:szCs w:val="20"/>
              </w:rPr>
              <w:t xml:space="preserve"> thyroid iodine uptake was estimated at 75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based on 100% daily turnover of iodine in the newborn thyroid, and an estimated thyroid content of 50-100 </w:t>
            </w:r>
            <w:proofErr w:type="spellStart"/>
            <w:r w:rsidRPr="00211817">
              <w:rPr>
                <w:rFonts w:eastAsia="Times New Roman" w:cs="Times New Roman"/>
                <w:szCs w:val="20"/>
              </w:rPr>
              <w:t>μg</w:t>
            </w:r>
            <w:proofErr w:type="spellEnd"/>
            <w:r w:rsidRPr="00211817">
              <w:rPr>
                <w:rFonts w:eastAsia="Times New Roman" w:cs="Times New Roman"/>
                <w:szCs w:val="20"/>
              </w:rPr>
              <w:t xml:space="preserve"> in newborns (Delange and Burgi, 1989; Delange and </w:t>
            </w:r>
            <w:proofErr w:type="spellStart"/>
            <w:r w:rsidRPr="00211817">
              <w:rPr>
                <w:rFonts w:eastAsia="Times New Roman" w:cs="Times New Roman"/>
                <w:szCs w:val="20"/>
              </w:rPr>
              <w:t>Ermans</w:t>
            </w:r>
            <w:proofErr w:type="spellEnd"/>
            <w:r w:rsidRPr="00211817">
              <w:rPr>
                <w:rFonts w:eastAsia="Times New Roman" w:cs="Times New Roman"/>
                <w:szCs w:val="20"/>
              </w:rPr>
              <w:t xml:space="preserve">, 1991). Assuming an EAR of 95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for non-pregnant women (based on the EAR identified by the US IOM), a preliminary EAR of 170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during pregnancy was calculated. </w:t>
            </w:r>
          </w:p>
          <w:p w14:paraId="30536C76"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This estimate was reduced to 160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in view of the following supportive evidence: </w:t>
            </w:r>
          </w:p>
          <w:p w14:paraId="0B74C097"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a balance study which reported neutral balance among pregnant women with iodine intakes of around 160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(Dworkin et al., 1966); and </w:t>
            </w:r>
          </w:p>
          <w:p w14:paraId="190D0C8B"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studies on the effect of iodine supplementation on maternal thyroid volume, with daily intakes of 250 to 280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found </w:t>
            </w:r>
            <w:r w:rsidRPr="00211817">
              <w:rPr>
                <w:rFonts w:eastAsia="Times New Roman" w:cs="Times New Roman"/>
                <w:szCs w:val="20"/>
              </w:rPr>
              <w:lastRenderedPageBreak/>
              <w:t xml:space="preserve">to prevent goitre during pregnancy (Pedersen et al., 1993), whereas intakes of 150 </w:t>
            </w:r>
            <w:proofErr w:type="spellStart"/>
            <w:r w:rsidRPr="00211817">
              <w:rPr>
                <w:rFonts w:eastAsia="Times New Roman" w:cs="Times New Roman"/>
                <w:szCs w:val="20"/>
              </w:rPr>
              <w:t>μg</w:t>
            </w:r>
            <w:proofErr w:type="spellEnd"/>
            <w:r w:rsidRPr="00211817">
              <w:rPr>
                <w:rFonts w:eastAsia="Times New Roman" w:cs="Times New Roman"/>
                <w:szCs w:val="20"/>
              </w:rPr>
              <w:t>/day were insufficient to prevent increased thyroid volume (</w:t>
            </w:r>
            <w:proofErr w:type="spellStart"/>
            <w:r w:rsidRPr="00211817">
              <w:rPr>
                <w:rFonts w:eastAsia="Times New Roman" w:cs="Times New Roman"/>
                <w:szCs w:val="20"/>
              </w:rPr>
              <w:t>Glinoer</w:t>
            </w:r>
            <w:proofErr w:type="spellEnd"/>
            <w:r w:rsidRPr="00211817">
              <w:rPr>
                <w:rFonts w:eastAsia="Times New Roman" w:cs="Times New Roman"/>
                <w:szCs w:val="20"/>
              </w:rPr>
              <w:t xml:space="preserve">, 1998). </w:t>
            </w:r>
          </w:p>
          <w:p w14:paraId="24A6E001"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The RDI during pregnancy was estimated at 220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based on an EAR of 160 </w:t>
            </w:r>
            <w:proofErr w:type="spellStart"/>
            <w:r w:rsidRPr="00211817">
              <w:rPr>
                <w:rFonts w:eastAsia="Times New Roman" w:cs="Times New Roman"/>
                <w:szCs w:val="20"/>
              </w:rPr>
              <w:t>μg</w:t>
            </w:r>
            <w:proofErr w:type="spellEnd"/>
            <w:r w:rsidRPr="00211817">
              <w:rPr>
                <w:rFonts w:eastAsia="Times New Roman" w:cs="Times New Roman"/>
                <w:szCs w:val="20"/>
              </w:rPr>
              <w:t>/day and applying a 20% CV.</w:t>
            </w:r>
          </w:p>
          <w:p w14:paraId="30EC3FFC"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Times New Roman" w:cs="Times New Roman"/>
                <w:szCs w:val="20"/>
              </w:rPr>
              <w:t xml:space="preserve">More recently, a 2023 balance study found that neutral balance was reached with iodine intake of 202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in a subset of 40 pregnant Chinese women (Chen et al 2023). </w:t>
            </w:r>
            <w:r w:rsidRPr="00211817">
              <w:rPr>
                <w:rFonts w:eastAsia="Arial" w:cs="Times New Roman"/>
                <w:szCs w:val="20"/>
              </w:rPr>
              <w:t xml:space="preserve">However, Chen et al (2023) noted that estimated iodine balance was higher with increasing habitual intake </w:t>
            </w:r>
            <w:proofErr w:type="gramStart"/>
            <w:r w:rsidRPr="00211817">
              <w:rPr>
                <w:rFonts w:eastAsia="Arial" w:cs="Times New Roman"/>
                <w:szCs w:val="20"/>
              </w:rPr>
              <w:t>and also</w:t>
            </w:r>
            <w:proofErr w:type="gramEnd"/>
            <w:r w:rsidRPr="00211817">
              <w:rPr>
                <w:rFonts w:eastAsia="Arial" w:cs="Times New Roman"/>
                <w:szCs w:val="20"/>
              </w:rPr>
              <w:t xml:space="preserve"> varied by trimester. The authors also noted that missing data may have impacted findings, with 35% of participants lost to follow up by day 7. </w:t>
            </w:r>
            <w:r w:rsidRPr="00211817">
              <w:rPr>
                <w:rFonts w:eastAsia="Times New Roman" w:cs="Times New Roman"/>
                <w:szCs w:val="20"/>
              </w:rPr>
              <w:t xml:space="preserve">These findings correspond with an EAR of 200 </w:t>
            </w:r>
            <w:proofErr w:type="spellStart"/>
            <w:r w:rsidRPr="00211817">
              <w:rPr>
                <w:rFonts w:eastAsia="Arial" w:cs="Times New Roman"/>
                <w:szCs w:val="20"/>
              </w:rPr>
              <w:t>μg</w:t>
            </w:r>
            <w:proofErr w:type="spellEnd"/>
            <w:r w:rsidRPr="00211817">
              <w:rPr>
                <w:rFonts w:eastAsia="Arial" w:cs="Times New Roman"/>
                <w:szCs w:val="20"/>
              </w:rPr>
              <w:t>/day</w:t>
            </w:r>
            <w:r w:rsidRPr="00211817">
              <w:rPr>
                <w:rFonts w:eastAsia="Times New Roman" w:cs="Times New Roman"/>
                <w:szCs w:val="20"/>
              </w:rPr>
              <w:t xml:space="preserve"> and RDI of </w:t>
            </w:r>
            <w:r w:rsidRPr="00211817">
              <w:rPr>
                <w:rFonts w:eastAsia="Arial" w:cs="Times New Roman"/>
                <w:szCs w:val="20"/>
              </w:rPr>
              <w:t>280 </w:t>
            </w:r>
            <w:proofErr w:type="spellStart"/>
            <w:r w:rsidRPr="00211817">
              <w:rPr>
                <w:rFonts w:eastAsia="Arial" w:cs="Times New Roman"/>
                <w:szCs w:val="20"/>
              </w:rPr>
              <w:t>μg</w:t>
            </w:r>
            <w:proofErr w:type="spellEnd"/>
            <w:r w:rsidRPr="00211817">
              <w:rPr>
                <w:rFonts w:eastAsia="Arial" w:cs="Times New Roman"/>
                <w:szCs w:val="20"/>
              </w:rPr>
              <w:t>/day</w:t>
            </w:r>
            <w:r w:rsidRPr="00211817">
              <w:rPr>
                <w:rFonts w:eastAsia="Times New Roman" w:cs="Times New Roman"/>
                <w:szCs w:val="20"/>
              </w:rPr>
              <w:t xml:space="preserve"> </w:t>
            </w:r>
            <w:r w:rsidRPr="00211817">
              <w:rPr>
                <w:rFonts w:eastAsia="Arial" w:cs="Times New Roman"/>
                <w:szCs w:val="20"/>
              </w:rPr>
              <w:t xml:space="preserve">- compared with the EAR of </w:t>
            </w:r>
            <w:r w:rsidRPr="00211817">
              <w:rPr>
                <w:rFonts w:eastAsia="Times New Roman" w:cs="Times New Roman"/>
                <w:szCs w:val="20"/>
              </w:rPr>
              <w:t xml:space="preserve">160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and RDI of 220 </w:t>
            </w:r>
            <w:proofErr w:type="spellStart"/>
            <w:r w:rsidRPr="00211817">
              <w:rPr>
                <w:rFonts w:eastAsia="Arial" w:cs="Times New Roman"/>
                <w:szCs w:val="20"/>
              </w:rPr>
              <w:t>μg</w:t>
            </w:r>
            <w:proofErr w:type="spellEnd"/>
            <w:r w:rsidRPr="00211817">
              <w:rPr>
                <w:rFonts w:eastAsia="Arial" w:cs="Times New Roman"/>
                <w:szCs w:val="20"/>
              </w:rPr>
              <w:t>/day</w:t>
            </w:r>
            <w:r w:rsidRPr="00211817">
              <w:rPr>
                <w:rFonts w:eastAsia="Times New Roman" w:cs="Times New Roman"/>
                <w:szCs w:val="20"/>
              </w:rPr>
              <w:t xml:space="preserve"> suggested </w:t>
            </w:r>
            <w:r w:rsidRPr="00211817">
              <w:rPr>
                <w:rFonts w:eastAsia="Arial" w:cs="Times New Roman"/>
                <w:szCs w:val="20"/>
              </w:rPr>
              <w:t>by Dworkin et al (1966).</w:t>
            </w:r>
          </w:p>
          <w:p w14:paraId="725F742B"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Additional requirements during pregnancy have been estimated at 50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in iodine-sufficient individuals with adequate iodine stores (EFSA, 2014). However, data suggests that Australian and New Zealand women of childbearing age may be mildly deficient, and adequate iodine stores cannot be assumed. The total requirements for daily </w:t>
            </w:r>
            <w:proofErr w:type="spellStart"/>
            <w:r w:rsidRPr="00211817">
              <w:rPr>
                <w:rFonts w:eastAsia="Times New Roman" w:cs="Times New Roman"/>
                <w:szCs w:val="20"/>
              </w:rPr>
              <w:t>fetal</w:t>
            </w:r>
            <w:proofErr w:type="spellEnd"/>
            <w:r w:rsidRPr="00211817">
              <w:rPr>
                <w:rFonts w:eastAsia="Times New Roman" w:cs="Times New Roman"/>
                <w:szCs w:val="20"/>
              </w:rPr>
              <w:t xml:space="preserve"> thyroid iodine uptake </w:t>
            </w:r>
            <w:proofErr w:type="gramStart"/>
            <w:r w:rsidRPr="00211817">
              <w:rPr>
                <w:rFonts w:eastAsia="Times New Roman" w:cs="Times New Roman"/>
                <w:szCs w:val="20"/>
              </w:rPr>
              <w:t>is</w:t>
            </w:r>
            <w:proofErr w:type="gramEnd"/>
            <w:r w:rsidRPr="00211817">
              <w:rPr>
                <w:rFonts w:eastAsia="Times New Roman" w:cs="Times New Roman"/>
                <w:szCs w:val="20"/>
              </w:rPr>
              <w:t xml:space="preserve"> estimated at 75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based on 100% daily turnover of iodine in the newborn thyroid, and an estimated thyroid content of 50-100 </w:t>
            </w:r>
            <w:proofErr w:type="spellStart"/>
            <w:r w:rsidRPr="00211817">
              <w:rPr>
                <w:rFonts w:eastAsia="Times New Roman" w:cs="Times New Roman"/>
                <w:szCs w:val="20"/>
              </w:rPr>
              <w:t>μg</w:t>
            </w:r>
            <w:proofErr w:type="spellEnd"/>
            <w:r w:rsidRPr="00211817">
              <w:rPr>
                <w:rFonts w:eastAsia="Times New Roman" w:cs="Times New Roman"/>
                <w:szCs w:val="20"/>
              </w:rPr>
              <w:t xml:space="preserve"> in newborns (Delange, 1989; Delange and </w:t>
            </w:r>
            <w:proofErr w:type="spellStart"/>
            <w:r w:rsidRPr="00211817">
              <w:rPr>
                <w:rFonts w:eastAsia="Times New Roman" w:cs="Times New Roman"/>
                <w:szCs w:val="20"/>
              </w:rPr>
              <w:t>Ermans</w:t>
            </w:r>
            <w:proofErr w:type="spellEnd"/>
            <w:r w:rsidRPr="00211817">
              <w:rPr>
                <w:rFonts w:eastAsia="Times New Roman" w:cs="Times New Roman"/>
                <w:szCs w:val="20"/>
              </w:rPr>
              <w:t xml:space="preserve">, 1991).  </w:t>
            </w:r>
          </w:p>
          <w:p w14:paraId="52F89CB7"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Cs/>
                <w:szCs w:val="20"/>
                <w:lang w:eastAsia="en-AU"/>
              </w:rPr>
            </w:pPr>
            <w:r w:rsidRPr="00211817">
              <w:rPr>
                <w:rFonts w:eastAsia="Arial" w:cs="Times New Roman"/>
                <w:szCs w:val="20"/>
              </w:rPr>
              <w:t>Although there is substantial uncertainty in the evidence, the additional data suggests that the current EAR of 160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and RDI 220 </w:t>
            </w:r>
            <w:proofErr w:type="spellStart"/>
            <w:r w:rsidRPr="00211817">
              <w:rPr>
                <w:rFonts w:eastAsia="Times New Roman" w:cs="Times New Roman"/>
                <w:szCs w:val="20"/>
              </w:rPr>
              <w:t>μg</w:t>
            </w:r>
            <w:proofErr w:type="spellEnd"/>
            <w:r w:rsidRPr="00211817">
              <w:rPr>
                <w:rFonts w:eastAsia="Times New Roman" w:cs="Times New Roman"/>
                <w:szCs w:val="20"/>
              </w:rPr>
              <w:t>/day remain suitable for the Australian and New Zealand population.</w:t>
            </w:r>
          </w:p>
        </w:tc>
        <w:tc>
          <w:tcPr>
            <w:tcW w:w="6517" w:type="dxa"/>
          </w:tcPr>
          <w:p w14:paraId="26A10581"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lastRenderedPageBreak/>
              <w:t xml:space="preserve">A 2023 balance study found that neutral balance was reached with iodine intake of 202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in a subset of 40 pregnant Chinese women (Chen et al 2023). This corresponds with an RDI of </w:t>
            </w:r>
            <w:r w:rsidRPr="00211817">
              <w:rPr>
                <w:rFonts w:eastAsia="Arial" w:cs="Times New Roman"/>
                <w:szCs w:val="20"/>
              </w:rPr>
              <w:t xml:space="preserve">280 </w:t>
            </w:r>
            <w:proofErr w:type="spellStart"/>
            <w:r w:rsidRPr="00211817">
              <w:rPr>
                <w:rFonts w:eastAsia="Arial" w:cs="Times New Roman"/>
                <w:szCs w:val="20"/>
              </w:rPr>
              <w:t>μg</w:t>
            </w:r>
            <w:proofErr w:type="spellEnd"/>
            <w:r w:rsidRPr="00211817">
              <w:rPr>
                <w:rFonts w:eastAsia="Arial" w:cs="Times New Roman"/>
                <w:szCs w:val="20"/>
              </w:rPr>
              <w:t xml:space="preserve">/day when applying a 20% CV and is greater than the </w:t>
            </w:r>
            <w:r w:rsidRPr="00211817">
              <w:rPr>
                <w:rFonts w:eastAsia="Times New Roman" w:cs="Times New Roman"/>
                <w:szCs w:val="20"/>
              </w:rPr>
              <w:t xml:space="preserve">160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w:t>
            </w:r>
            <w:r w:rsidRPr="00211817">
              <w:rPr>
                <w:rFonts w:eastAsia="Arial" w:cs="Times New Roman"/>
                <w:szCs w:val="20"/>
              </w:rPr>
              <w:t xml:space="preserve">reported by Dworkin et al (1966). Chen et al (2023) noted that estimated iodine balance was higher with increasing habitual intake </w:t>
            </w:r>
            <w:proofErr w:type="gramStart"/>
            <w:r w:rsidRPr="00211817">
              <w:rPr>
                <w:rFonts w:eastAsia="Arial" w:cs="Times New Roman"/>
                <w:szCs w:val="20"/>
              </w:rPr>
              <w:t>and also</w:t>
            </w:r>
            <w:proofErr w:type="gramEnd"/>
            <w:r w:rsidRPr="00211817">
              <w:rPr>
                <w:rFonts w:eastAsia="Arial" w:cs="Times New Roman"/>
                <w:szCs w:val="20"/>
              </w:rPr>
              <w:t xml:space="preserve"> varied by trimester. On this basis, the evidence from balance studies is uncertain about iodine requirements during pregnancy.</w:t>
            </w:r>
          </w:p>
          <w:p w14:paraId="0A5CE45B"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Times New Roman" w:cs="Times New Roman"/>
                <w:szCs w:val="20"/>
              </w:rPr>
              <w:t xml:space="preserve">In recent years there has been a proliferation of studies examining the relationship between iodine intake in pregnancy and child neurocognitive development. Although the relationship between severe iodine deficiency during pregnancy and global impairments in child neurocognitive development is well-established, the evidence for mild iodine deficiency is less certain. </w:t>
            </w:r>
            <w:r w:rsidRPr="00211817">
              <w:rPr>
                <w:rFonts w:eastAsia="Arial" w:cs="Times New Roman"/>
                <w:szCs w:val="20"/>
              </w:rPr>
              <w:t xml:space="preserve">Robust supportive evidence of consistent adverse neurocognitive effects associated with mild-to-moderate iodine deficiency are lacking, with </w:t>
            </w:r>
            <w:r w:rsidRPr="00211817">
              <w:rPr>
                <w:rFonts w:eastAsia="Times New Roman" w:cs="Times New Roman"/>
                <w:szCs w:val="20"/>
              </w:rPr>
              <w:t xml:space="preserve">the evidence base limited by </w:t>
            </w:r>
            <w:r w:rsidRPr="00211817">
              <w:rPr>
                <w:rFonts w:eastAsia="Times New Roman" w:cs="Times New Roman"/>
                <w:szCs w:val="20"/>
              </w:rPr>
              <w:lastRenderedPageBreak/>
              <w:t xml:space="preserve">inconsistent findings and significant heterogeneity (Monaghan 2021). Similarly, reviews on the effects of supplementation during pregnancy have found no significant improvement in neurocognitive outcomes with supplementation. However, it has been suggested that these findings may be due to </w:t>
            </w:r>
            <w:r w:rsidRPr="00211817">
              <w:rPr>
                <w:rFonts w:eastAsia="Arial" w:cs="Times New Roman"/>
                <w:szCs w:val="20"/>
              </w:rPr>
              <w:t>supplementation commencing after a critical developmental period (Nazeri 2021). Reviews have concluded that there is a lack of high-quality evidence on the effect of iodine supplementation during pregnancy on child neurocognitive development (</w:t>
            </w:r>
            <w:proofErr w:type="spellStart"/>
            <w:r w:rsidRPr="00211817">
              <w:rPr>
                <w:rFonts w:eastAsia="Arial" w:cs="Times New Roman"/>
                <w:szCs w:val="20"/>
              </w:rPr>
              <w:t>Dineva</w:t>
            </w:r>
            <w:proofErr w:type="spellEnd"/>
            <w:r w:rsidRPr="00211817">
              <w:rPr>
                <w:rFonts w:eastAsia="Arial" w:cs="Times New Roman"/>
                <w:szCs w:val="20"/>
              </w:rPr>
              <w:t xml:space="preserve"> 2020; Harding 2017).</w:t>
            </w:r>
          </w:p>
          <w:p w14:paraId="28B13D45"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Arial" w:cs="Times New Roman"/>
                <w:szCs w:val="20"/>
              </w:rPr>
              <w:t xml:space="preserve">Two Australian epidemiological studies suggest that child neurocognitive outcomes may be optimised with maternal UIC </w:t>
            </w:r>
            <w:r w:rsidRPr="00211817">
              <w:rPr>
                <w:rFonts w:ascii="Cambria Math" w:eastAsia="Arial" w:hAnsi="Cambria Math" w:cs="Cambria Math"/>
                <w:szCs w:val="20"/>
              </w:rPr>
              <w:t>≥</w:t>
            </w:r>
            <w:r w:rsidRPr="00211817">
              <w:rPr>
                <w:rFonts w:eastAsia="Arial" w:cs="Times New Roman"/>
                <w:szCs w:val="20"/>
              </w:rPr>
              <w:t>150 µg/L (Hynes 2017) or with maternal intakes between 185 and 365 µg/day (Sullivan et al 2024). However, the evidence remains uncertain due to imprecision and inconsistency in the evidence, and the potential for residual confounding.</w:t>
            </w:r>
          </w:p>
          <w:p w14:paraId="32883B1C"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In the absence of robust evidence, the AI for pregnancy can be calculated based on the AI for adults, factoring in additional life-stage requirements.</w:t>
            </w:r>
          </w:p>
          <w:p w14:paraId="2F50801B"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EFSA (2014) estimated additional requirements during pregnancy at 50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in iodine-sufficient individuals with adequate iodine stores. However, data suggests that Australian and New Zealand women of childbearing age may be mildly deficient, and adequate iodine stores cannot be assumed. Therefore, the AI during pregnancy should aim to meet the total requirements for daily </w:t>
            </w:r>
            <w:proofErr w:type="spellStart"/>
            <w:r w:rsidRPr="00211817">
              <w:rPr>
                <w:rFonts w:eastAsia="Times New Roman" w:cs="Times New Roman"/>
                <w:szCs w:val="20"/>
              </w:rPr>
              <w:t>fetal</w:t>
            </w:r>
            <w:proofErr w:type="spellEnd"/>
            <w:r w:rsidRPr="00211817">
              <w:rPr>
                <w:rFonts w:eastAsia="Times New Roman" w:cs="Times New Roman"/>
                <w:szCs w:val="20"/>
              </w:rPr>
              <w:t xml:space="preserve"> thyroid iodine uptake, which is estimated at 75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based on 100% daily turnover of iodine in the newborn thyroid, and an estimated thyroid content of 50-100 </w:t>
            </w:r>
            <w:proofErr w:type="spellStart"/>
            <w:r w:rsidRPr="00211817">
              <w:rPr>
                <w:rFonts w:eastAsia="Times New Roman" w:cs="Times New Roman"/>
                <w:szCs w:val="20"/>
              </w:rPr>
              <w:t>μg</w:t>
            </w:r>
            <w:proofErr w:type="spellEnd"/>
            <w:r w:rsidRPr="00211817">
              <w:rPr>
                <w:rFonts w:eastAsia="Times New Roman" w:cs="Times New Roman"/>
                <w:szCs w:val="20"/>
              </w:rPr>
              <w:t xml:space="preserve"> in newborns (Delange, 1989; Delange and </w:t>
            </w:r>
            <w:proofErr w:type="spellStart"/>
            <w:r w:rsidRPr="00211817">
              <w:rPr>
                <w:rFonts w:eastAsia="Times New Roman" w:cs="Times New Roman"/>
                <w:szCs w:val="20"/>
              </w:rPr>
              <w:t>Ermans</w:t>
            </w:r>
            <w:proofErr w:type="spellEnd"/>
            <w:r w:rsidRPr="00211817">
              <w:rPr>
                <w:rFonts w:eastAsia="Times New Roman" w:cs="Times New Roman"/>
                <w:szCs w:val="20"/>
              </w:rPr>
              <w:t xml:space="preserve">, 1991).  </w:t>
            </w:r>
          </w:p>
          <w:p w14:paraId="3E4F6AF8"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 xml:space="preserve">The AI of 220 </w:t>
            </w:r>
            <w:proofErr w:type="spellStart"/>
            <w:r w:rsidRPr="00211817">
              <w:rPr>
                <w:rFonts w:eastAsia="Times New Roman" w:cs="Times New Roman"/>
                <w:szCs w:val="20"/>
              </w:rPr>
              <w:t>μg</w:t>
            </w:r>
            <w:proofErr w:type="spellEnd"/>
            <w:r w:rsidRPr="00211817">
              <w:rPr>
                <w:rFonts w:eastAsia="Times New Roman" w:cs="Times New Roman"/>
                <w:szCs w:val="20"/>
              </w:rPr>
              <w:t>/day was estimated by adding the additional 75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requirement to the adult AI of 150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and rounding down by 5 </w:t>
            </w:r>
            <w:proofErr w:type="spellStart"/>
            <w:r w:rsidRPr="00211817">
              <w:rPr>
                <w:rFonts w:eastAsia="Times New Roman" w:cs="Times New Roman"/>
                <w:szCs w:val="20"/>
              </w:rPr>
              <w:t>μg</w:t>
            </w:r>
            <w:proofErr w:type="spellEnd"/>
            <w:r w:rsidRPr="00211817">
              <w:rPr>
                <w:rFonts w:eastAsia="Times New Roman" w:cs="Times New Roman"/>
                <w:szCs w:val="20"/>
              </w:rPr>
              <w:t>/day.</w:t>
            </w:r>
          </w:p>
        </w:tc>
      </w:tr>
      <w:tr w:rsidR="00036214" w:rsidRPr="00211817" w14:paraId="312AB391" w14:textId="77777777" w:rsidTr="00036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tcPr>
          <w:p w14:paraId="0A984873" w14:textId="77777777" w:rsidR="00036214" w:rsidRPr="00211817" w:rsidRDefault="00036214">
            <w:pPr>
              <w:rPr>
                <w:rFonts w:eastAsia="Times New Roman" w:cs="Arial"/>
                <w:szCs w:val="20"/>
              </w:rPr>
            </w:pPr>
            <w:r w:rsidRPr="00211817">
              <w:rPr>
                <w:rFonts w:eastAsia="Times New Roman" w:cs="Arial"/>
                <w:szCs w:val="20"/>
              </w:rPr>
              <w:lastRenderedPageBreak/>
              <w:t xml:space="preserve">Iodine exposure in Australia and New Zealand </w:t>
            </w:r>
          </w:p>
        </w:tc>
        <w:tc>
          <w:tcPr>
            <w:tcW w:w="12822" w:type="dxa"/>
            <w:gridSpan w:val="2"/>
            <w:tcBorders>
              <w:left w:val="single" w:sz="4" w:space="0" w:color="77BCD9"/>
            </w:tcBorders>
          </w:tcPr>
          <w:p w14:paraId="0F20263E" w14:textId="77777777" w:rsidR="00036214" w:rsidRPr="00211817" w:rsidRDefault="00036214">
            <w:pPr>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211817">
              <w:rPr>
                <w:rFonts w:eastAsia="Arial" w:cs="Times New Roman"/>
                <w:szCs w:val="20"/>
              </w:rPr>
              <w:t xml:space="preserve">In Australia, the 2011-12 NHMS reported median UIC for pregnant and breastfeeding women aged 16 to 44 years of 116 </w:t>
            </w:r>
            <w:proofErr w:type="spellStart"/>
            <w:r w:rsidRPr="00211817">
              <w:rPr>
                <w:rFonts w:eastAsia="Arial" w:cs="Times New Roman"/>
                <w:szCs w:val="20"/>
              </w:rPr>
              <w:t>μg</w:t>
            </w:r>
            <w:proofErr w:type="spellEnd"/>
            <w:r w:rsidRPr="00211817">
              <w:rPr>
                <w:rFonts w:eastAsia="Arial" w:cs="Times New Roman"/>
                <w:szCs w:val="20"/>
              </w:rPr>
              <w:t>/L and 103 </w:t>
            </w:r>
            <w:proofErr w:type="spellStart"/>
            <w:r w:rsidRPr="00211817">
              <w:rPr>
                <w:rFonts w:eastAsia="Arial" w:cs="Times New Roman"/>
                <w:szCs w:val="20"/>
              </w:rPr>
              <w:t>μg</w:t>
            </w:r>
            <w:proofErr w:type="spellEnd"/>
            <w:r w:rsidRPr="00211817">
              <w:rPr>
                <w:rFonts w:eastAsia="Arial" w:cs="Times New Roman"/>
                <w:szCs w:val="20"/>
              </w:rPr>
              <w:t xml:space="preserve">/L respectively (ABS, 2013). These values were lower than the median UIC for all Australian women of that age reported in the 2011-12 NHMS (121 </w:t>
            </w:r>
            <w:proofErr w:type="spellStart"/>
            <w:r w:rsidRPr="00211817">
              <w:rPr>
                <w:rFonts w:eastAsia="Arial" w:cs="Times New Roman"/>
                <w:szCs w:val="20"/>
              </w:rPr>
              <w:t>μg</w:t>
            </w:r>
            <w:proofErr w:type="spellEnd"/>
            <w:r w:rsidRPr="00211817">
              <w:rPr>
                <w:rFonts w:eastAsia="Arial" w:cs="Times New Roman"/>
                <w:szCs w:val="20"/>
              </w:rPr>
              <w:t xml:space="preserve">/L) and are indicative of insufficient intakes during pregnancy under WHO criteria (WHO, 2013). </w:t>
            </w:r>
          </w:p>
          <w:p w14:paraId="5F67D06B" w14:textId="77777777" w:rsidR="00036214" w:rsidRPr="00211817" w:rsidRDefault="00036214">
            <w:pPr>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211817">
              <w:rPr>
                <w:rFonts w:eastAsia="Arial" w:cs="Times New Roman"/>
                <w:szCs w:val="20"/>
              </w:rPr>
              <w:t xml:space="preserve">Contemporary data in pregnant cohorts are lacking, although recent national data releases in reproductive-age females are also informative for this population. The 2023 NNPAS survey (ABS 2025c) reported mean intakes among females of child-bearing age of 145 µg/day for </w:t>
            </w:r>
            <w:proofErr w:type="gramStart"/>
            <w:r w:rsidRPr="00211817">
              <w:rPr>
                <w:rFonts w:eastAsia="Arial" w:cs="Times New Roman"/>
                <w:szCs w:val="20"/>
              </w:rPr>
              <w:t>18 to 29 year-olds</w:t>
            </w:r>
            <w:proofErr w:type="gramEnd"/>
            <w:r w:rsidRPr="00211817">
              <w:rPr>
                <w:rFonts w:eastAsia="Arial" w:cs="Times New Roman"/>
                <w:szCs w:val="20"/>
              </w:rPr>
              <w:t xml:space="preserve"> and 160 µg/day for </w:t>
            </w:r>
            <w:proofErr w:type="gramStart"/>
            <w:r w:rsidRPr="00211817">
              <w:rPr>
                <w:rFonts w:eastAsia="Arial" w:cs="Times New Roman"/>
                <w:szCs w:val="20"/>
              </w:rPr>
              <w:t>30 to 49 year-olds</w:t>
            </w:r>
            <w:proofErr w:type="gramEnd"/>
            <w:r w:rsidRPr="00211817">
              <w:rPr>
                <w:rFonts w:eastAsia="Arial" w:cs="Times New Roman"/>
                <w:szCs w:val="20"/>
              </w:rPr>
              <w:t xml:space="preserve"> respectively (2023 NNPAS data for pregnant cohorts are not available). The 2022-24 NHMS reported median UIC in females of child-bearing age (aged 16 to 44 years) of 101 µg/L indicating marginal population sufficiency for non-pregnant adults based on WHO epidemiologic criteria (ABS, 2025a; WHO, 2013). However, data suggests mild population deficiency among reproductive age females (aged 25 to 34 years and 35 to 44 years), with median UIC of 87 µg/L and 97 µg/L respectively, and more than 20% of individuals with UIC &lt;50 in both age groups. </w:t>
            </w:r>
          </w:p>
          <w:p w14:paraId="2CB3860B" w14:textId="77777777" w:rsidR="00036214" w:rsidRPr="00211817" w:rsidRDefault="00036214">
            <w:pPr>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211817">
              <w:rPr>
                <w:rFonts w:eastAsia="Arial" w:cs="Times New Roman"/>
                <w:szCs w:val="20"/>
              </w:rPr>
              <w:t>These findings are echoed in data from the 2014/15 NZHS which - while based on a small cohort of pregnant women (N=110) - reported median UIC of 114 µg/L (95% CI: 87, 141 µg/L), below the WHO-recommended median UIC of 150 µg/L (NZ MoH, 2020; WHO, 2013)</w:t>
            </w:r>
          </w:p>
          <w:p w14:paraId="7E2A206B" w14:textId="77777777" w:rsidR="00036214" w:rsidRPr="00211817" w:rsidRDefault="00036214">
            <w:pPr>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211817">
              <w:rPr>
                <w:rFonts w:eastAsia="Arial" w:cs="Times New Roman"/>
                <w:szCs w:val="20"/>
              </w:rPr>
              <w:t xml:space="preserve">Studies have also suggested deficiencies in the knowledge of - and adherence to - recommendations for iodine supplementation during pregnancy amongst Australians and New Zealanders (El-mani et al 2014, Lucas et al 2014, Martin et al 2014, Malek et al 2016, Guess et al 2017, Hine et al 2018, Reynolds and </w:t>
            </w:r>
            <w:proofErr w:type="spellStart"/>
            <w:r w:rsidRPr="00211817">
              <w:rPr>
                <w:rFonts w:eastAsia="Arial" w:cs="Times New Roman"/>
                <w:szCs w:val="20"/>
              </w:rPr>
              <w:t>Skeaff</w:t>
            </w:r>
            <w:proofErr w:type="spellEnd"/>
            <w:r w:rsidRPr="00211817">
              <w:rPr>
                <w:rFonts w:eastAsia="Arial" w:cs="Times New Roman"/>
                <w:szCs w:val="20"/>
              </w:rPr>
              <w:t xml:space="preserve"> 2017, </w:t>
            </w:r>
            <w:r w:rsidRPr="00211817">
              <w:rPr>
                <w:rFonts w:eastAsia="Times New Roman" w:cs="Arial"/>
                <w:iCs/>
                <w:szCs w:val="20"/>
              </w:rPr>
              <w:t>Jin et al 2021</w:t>
            </w:r>
            <w:r w:rsidRPr="00211817">
              <w:rPr>
                <w:rFonts w:eastAsia="Arial" w:cs="Times New Roman"/>
                <w:szCs w:val="20"/>
              </w:rPr>
              <w:t>). Furthermore, although iodine supplementation has been associated with adequate iodine status in pregnant Australian women (Hurley et al 2019), some studies suggest that supplementation may not address the neurocognitive effects of maternal deficiency in pregnancy, unless commenced during pre-conception and continued throughout pregnancy (Hynes et al 2019).</w:t>
            </w:r>
          </w:p>
        </w:tc>
      </w:tr>
      <w:tr w:rsidR="00036214" w:rsidRPr="00211817" w14:paraId="1830B159" w14:textId="77777777" w:rsidTr="000362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tcPr>
          <w:p w14:paraId="4E377D8B" w14:textId="77777777" w:rsidR="00036214" w:rsidRPr="00211817" w:rsidRDefault="00036214">
            <w:pPr>
              <w:rPr>
                <w:rFonts w:eastAsia="Times New Roman" w:cs="Arial"/>
                <w:szCs w:val="20"/>
              </w:rPr>
            </w:pPr>
            <w:r w:rsidRPr="00211817">
              <w:rPr>
                <w:rFonts w:eastAsia="Times New Roman" w:cs="Arial"/>
                <w:szCs w:val="20"/>
              </w:rPr>
              <w:lastRenderedPageBreak/>
              <w:t>Benchmarking against comparable international jurisdictions</w:t>
            </w:r>
          </w:p>
        </w:tc>
        <w:tc>
          <w:tcPr>
            <w:tcW w:w="12822" w:type="dxa"/>
            <w:gridSpan w:val="2"/>
            <w:tcBorders>
              <w:left w:val="single" w:sz="4" w:space="0" w:color="77BCD9"/>
            </w:tcBorders>
          </w:tcPr>
          <w:p w14:paraId="41D81C5B"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Table 5 shows NRV recommendations for comparable international jurisdictions. Where a jurisdiction specifies an EAR and RDI, the RDI has been extracted for comparison purposes.</w:t>
            </w:r>
          </w:p>
          <w:p w14:paraId="1AC4A740" w14:textId="77777777" w:rsidR="00036214" w:rsidRPr="00211817" w:rsidRDefault="00036214">
            <w:pPr>
              <w:keepNext/>
              <w:spacing w:after="200"/>
              <w:cnfStyle w:val="000000010000" w:firstRow="0" w:lastRow="0" w:firstColumn="0" w:lastColumn="0" w:oddVBand="0" w:evenVBand="0" w:oddHBand="0" w:evenHBand="1" w:firstRowFirstColumn="0" w:firstRowLastColumn="0" w:lastRowFirstColumn="0" w:lastRowLastColumn="0"/>
              <w:rPr>
                <w:rFonts w:eastAsia="Arial" w:cs="Times New Roman"/>
                <w:iCs/>
                <w:caps/>
                <w:szCs w:val="20"/>
              </w:rPr>
            </w:pPr>
            <w:r w:rsidRPr="00211817">
              <w:rPr>
                <w:rFonts w:eastAsia="Arial" w:cs="Times New Roman"/>
                <w:iCs/>
                <w:caps/>
                <w:szCs w:val="20"/>
              </w:rPr>
              <w:t xml:space="preserve">Table </w:t>
            </w:r>
            <w:r w:rsidRPr="00211817">
              <w:rPr>
                <w:rFonts w:eastAsia="Arial"/>
                <w:iCs/>
                <w:caps/>
                <w:szCs w:val="20"/>
              </w:rPr>
              <w:fldChar w:fldCharType="begin"/>
            </w:r>
            <w:r w:rsidRPr="00211817">
              <w:rPr>
                <w:rFonts w:eastAsia="Arial" w:cs="Times New Roman"/>
                <w:iCs/>
                <w:caps/>
                <w:szCs w:val="20"/>
              </w:rPr>
              <w:instrText xml:space="preserve"> SEQ Table \* ARABIC </w:instrText>
            </w:r>
            <w:r w:rsidRPr="00211817">
              <w:rPr>
                <w:rFonts w:eastAsia="Arial"/>
                <w:iCs/>
                <w:caps/>
                <w:szCs w:val="20"/>
              </w:rPr>
              <w:fldChar w:fldCharType="separate"/>
            </w:r>
            <w:r w:rsidRPr="00211817">
              <w:rPr>
                <w:rFonts w:eastAsia="Arial" w:cs="Times New Roman"/>
                <w:iCs/>
                <w:caps/>
                <w:noProof/>
                <w:szCs w:val="20"/>
              </w:rPr>
              <w:t>5</w:t>
            </w:r>
            <w:r w:rsidRPr="00211817">
              <w:rPr>
                <w:rFonts w:eastAsia="Arial"/>
                <w:iCs/>
                <w:caps/>
                <w:noProof/>
                <w:szCs w:val="20"/>
              </w:rPr>
              <w:fldChar w:fldCharType="end"/>
            </w:r>
            <w:r w:rsidRPr="00211817">
              <w:rPr>
                <w:rFonts w:eastAsia="Arial" w:cs="Times New Roman"/>
                <w:iCs/>
                <w:caps/>
                <w:szCs w:val="20"/>
              </w:rPr>
              <w:t xml:space="preserve"> - PREGNANCY IODINE REQUIREMENT RECOMMENDATIONS ACROSS COMPARABLE JURISDICTIONS</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418"/>
              <w:gridCol w:w="1559"/>
              <w:gridCol w:w="1276"/>
              <w:gridCol w:w="1276"/>
              <w:gridCol w:w="1275"/>
              <w:gridCol w:w="1276"/>
            </w:tblGrid>
            <w:tr w:rsidR="00036214" w:rsidRPr="00211817" w14:paraId="1FAE9D2A" w14:textId="77777777">
              <w:trPr>
                <w:trHeight w:val="900"/>
              </w:trPr>
              <w:tc>
                <w:tcPr>
                  <w:tcW w:w="1909" w:type="dxa"/>
                  <w:shd w:val="clear" w:color="auto" w:fill="005F85"/>
                  <w:vAlign w:val="bottom"/>
                  <w:hideMark/>
                </w:tcPr>
                <w:p w14:paraId="05511413" w14:textId="77777777" w:rsidR="00036214" w:rsidRPr="00211817" w:rsidRDefault="00036214">
                  <w:pPr>
                    <w:spacing w:after="0" w:line="240" w:lineRule="auto"/>
                    <w:rPr>
                      <w:rFonts w:eastAsia="Times New Roman"/>
                      <w:b/>
                      <w:bCs/>
                      <w:color w:val="FFFFFF"/>
                      <w:szCs w:val="20"/>
                    </w:rPr>
                  </w:pPr>
                  <w:r w:rsidRPr="00211817">
                    <w:rPr>
                      <w:rFonts w:eastAsia="Times New Roman"/>
                      <w:b/>
                      <w:bCs/>
                      <w:color w:val="FFFFFF"/>
                      <w:szCs w:val="20"/>
                    </w:rPr>
                    <w:t>Age (years)</w:t>
                  </w:r>
                </w:p>
              </w:tc>
              <w:tc>
                <w:tcPr>
                  <w:tcW w:w="1418" w:type="dxa"/>
                  <w:shd w:val="clear" w:color="auto" w:fill="005F85"/>
                  <w:vAlign w:val="bottom"/>
                </w:tcPr>
                <w:p w14:paraId="127BDDDE"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Proposed ANZ </w:t>
                  </w:r>
                </w:p>
                <w:p w14:paraId="34FB53A2"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AI </w:t>
                  </w:r>
                </w:p>
                <w:p w14:paraId="28C43A5B" w14:textId="77777777" w:rsidR="00036214" w:rsidRPr="00211817" w:rsidRDefault="00036214">
                  <w:pPr>
                    <w:spacing w:after="0" w:line="240" w:lineRule="auto"/>
                    <w:jc w:val="center"/>
                    <w:rPr>
                      <w:rFonts w:eastAsia="Times New Roman"/>
                      <w:b/>
                      <w:bCs/>
                      <w:color w:val="FFFFFF"/>
                      <w:szCs w:val="20"/>
                    </w:rPr>
                  </w:pPr>
                  <w:r w:rsidRPr="00211817">
                    <w:rPr>
                      <w:rFonts w:eastAsia="Times New Roman" w:cs="Calibri"/>
                      <w:b/>
                      <w:bCs/>
                      <w:color w:val="FFFFFF"/>
                      <w:szCs w:val="20"/>
                    </w:rPr>
                    <w:t>(µg/day)</w:t>
                  </w:r>
                </w:p>
              </w:tc>
              <w:tc>
                <w:tcPr>
                  <w:tcW w:w="1559" w:type="dxa"/>
                  <w:shd w:val="clear" w:color="auto" w:fill="005F85"/>
                  <w:vAlign w:val="bottom"/>
                  <w:hideMark/>
                </w:tcPr>
                <w:p w14:paraId="0AFF79FF"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Current ANZ (</w:t>
                  </w:r>
                  <w:proofErr w:type="gramStart"/>
                  <w:r w:rsidRPr="00211817">
                    <w:rPr>
                      <w:rFonts w:eastAsia="Times New Roman"/>
                      <w:b/>
                      <w:bCs/>
                      <w:color w:val="FFFFFF"/>
                      <w:szCs w:val="20"/>
                    </w:rPr>
                    <w:t>2006)*</w:t>
                  </w:r>
                  <w:proofErr w:type="gramEnd"/>
                </w:p>
                <w:p w14:paraId="05F7E350"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RDI </w:t>
                  </w:r>
                </w:p>
                <w:p w14:paraId="11D825F8" w14:textId="77777777" w:rsidR="00036214" w:rsidRPr="00211817" w:rsidRDefault="00036214">
                  <w:pPr>
                    <w:spacing w:after="0" w:line="240" w:lineRule="auto"/>
                    <w:jc w:val="center"/>
                    <w:rPr>
                      <w:rFonts w:eastAsia="Times New Roman"/>
                      <w:b/>
                      <w:bCs/>
                      <w:color w:val="FFFFFF"/>
                      <w:szCs w:val="20"/>
                    </w:rPr>
                  </w:pPr>
                  <w:r w:rsidRPr="00211817">
                    <w:rPr>
                      <w:rFonts w:eastAsia="Times New Roman" w:cs="Calibri"/>
                      <w:b/>
                      <w:bCs/>
                      <w:color w:val="FFFFFF"/>
                      <w:szCs w:val="20"/>
                    </w:rPr>
                    <w:t>(µg/day)</w:t>
                  </w:r>
                </w:p>
              </w:tc>
              <w:tc>
                <w:tcPr>
                  <w:tcW w:w="1276" w:type="dxa"/>
                  <w:shd w:val="clear" w:color="auto" w:fill="005F85"/>
                  <w:vAlign w:val="bottom"/>
                  <w:hideMark/>
                </w:tcPr>
                <w:p w14:paraId="2C354D86"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EFSA (</w:t>
                  </w:r>
                  <w:proofErr w:type="gramStart"/>
                  <w:r w:rsidRPr="00211817">
                    <w:rPr>
                      <w:rFonts w:eastAsia="Times New Roman"/>
                      <w:b/>
                      <w:bCs/>
                      <w:color w:val="FFFFFF"/>
                      <w:szCs w:val="20"/>
                    </w:rPr>
                    <w:t>2014)*</w:t>
                  </w:r>
                  <w:proofErr w:type="gramEnd"/>
                </w:p>
                <w:p w14:paraId="13EBCA86"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AI </w:t>
                  </w:r>
                </w:p>
                <w:p w14:paraId="57C53D09" w14:textId="77777777" w:rsidR="00036214" w:rsidRPr="00211817" w:rsidRDefault="00036214">
                  <w:pPr>
                    <w:spacing w:after="0" w:line="240" w:lineRule="auto"/>
                    <w:jc w:val="center"/>
                    <w:rPr>
                      <w:rFonts w:eastAsia="Times New Roman"/>
                      <w:b/>
                      <w:bCs/>
                      <w:color w:val="FFFFFF"/>
                      <w:szCs w:val="20"/>
                    </w:rPr>
                  </w:pPr>
                  <w:r w:rsidRPr="00211817">
                    <w:rPr>
                      <w:rFonts w:eastAsia="Times New Roman" w:cs="Calibri"/>
                      <w:b/>
                      <w:bCs/>
                      <w:color w:val="FFFFFF"/>
                      <w:szCs w:val="20"/>
                    </w:rPr>
                    <w:t>(µg/day)</w:t>
                  </w:r>
                </w:p>
              </w:tc>
              <w:tc>
                <w:tcPr>
                  <w:tcW w:w="1276" w:type="dxa"/>
                  <w:shd w:val="clear" w:color="auto" w:fill="005F85"/>
                  <w:vAlign w:val="bottom"/>
                  <w:hideMark/>
                </w:tcPr>
                <w:p w14:paraId="44C3719D"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NNR (</w:t>
                  </w:r>
                  <w:proofErr w:type="gramStart"/>
                  <w:r w:rsidRPr="00211817">
                    <w:rPr>
                      <w:rFonts w:eastAsia="Times New Roman"/>
                      <w:b/>
                      <w:bCs/>
                      <w:color w:val="FFFFFF"/>
                      <w:szCs w:val="20"/>
                    </w:rPr>
                    <w:t>2023)*</w:t>
                  </w:r>
                  <w:proofErr w:type="gramEnd"/>
                </w:p>
                <w:p w14:paraId="18EA6ABB"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AI </w:t>
                  </w:r>
                </w:p>
                <w:p w14:paraId="740D417A" w14:textId="77777777" w:rsidR="00036214" w:rsidRPr="00211817" w:rsidRDefault="00036214">
                  <w:pPr>
                    <w:spacing w:after="0" w:line="240" w:lineRule="auto"/>
                    <w:jc w:val="center"/>
                    <w:rPr>
                      <w:rFonts w:eastAsia="Times New Roman"/>
                      <w:b/>
                      <w:bCs/>
                      <w:color w:val="FFFFFF"/>
                      <w:szCs w:val="20"/>
                    </w:rPr>
                  </w:pPr>
                  <w:r w:rsidRPr="00211817">
                    <w:rPr>
                      <w:rFonts w:eastAsia="Times New Roman" w:cs="Calibri"/>
                      <w:b/>
                      <w:bCs/>
                      <w:color w:val="FFFFFF"/>
                      <w:szCs w:val="20"/>
                    </w:rPr>
                    <w:t>(µg/day)</w:t>
                  </w:r>
                </w:p>
              </w:tc>
              <w:tc>
                <w:tcPr>
                  <w:tcW w:w="1275" w:type="dxa"/>
                  <w:shd w:val="clear" w:color="auto" w:fill="005F85"/>
                  <w:vAlign w:val="bottom"/>
                </w:tcPr>
                <w:p w14:paraId="3B95D257"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WHO (</w:t>
                  </w:r>
                  <w:proofErr w:type="gramStart"/>
                  <w:r w:rsidRPr="00211817">
                    <w:rPr>
                      <w:rFonts w:eastAsia="Times New Roman"/>
                      <w:b/>
                      <w:bCs/>
                      <w:color w:val="FFFFFF"/>
                      <w:szCs w:val="20"/>
                    </w:rPr>
                    <w:t>2007)*</w:t>
                  </w:r>
                  <w:proofErr w:type="gramEnd"/>
                  <w:r w:rsidRPr="00211817">
                    <w:rPr>
                      <w:rFonts w:eastAsia="Times New Roman"/>
                      <w:b/>
                      <w:bCs/>
                      <w:color w:val="FFFFFF"/>
                      <w:szCs w:val="20"/>
                    </w:rPr>
                    <w:t xml:space="preserve">RDI </w:t>
                  </w:r>
                </w:p>
                <w:p w14:paraId="7DB33888" w14:textId="77777777" w:rsidR="00036214" w:rsidRPr="00211817" w:rsidRDefault="00036214">
                  <w:pPr>
                    <w:spacing w:after="0" w:line="240" w:lineRule="auto"/>
                    <w:jc w:val="center"/>
                    <w:rPr>
                      <w:rFonts w:eastAsia="Times New Roman"/>
                      <w:b/>
                      <w:bCs/>
                      <w:color w:val="FFFFFF"/>
                      <w:szCs w:val="20"/>
                    </w:rPr>
                  </w:pPr>
                  <w:r w:rsidRPr="00211817">
                    <w:rPr>
                      <w:rFonts w:eastAsia="Times New Roman" w:cs="Calibri"/>
                      <w:b/>
                      <w:bCs/>
                      <w:color w:val="FFFFFF"/>
                      <w:szCs w:val="20"/>
                    </w:rPr>
                    <w:t>(µg/day)</w:t>
                  </w:r>
                </w:p>
              </w:tc>
              <w:tc>
                <w:tcPr>
                  <w:tcW w:w="1276" w:type="dxa"/>
                  <w:shd w:val="clear" w:color="auto" w:fill="005F85"/>
                  <w:vAlign w:val="bottom"/>
                </w:tcPr>
                <w:p w14:paraId="5F8CACF2"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D-A-C-H (</w:t>
                  </w:r>
                  <w:proofErr w:type="gramStart"/>
                  <w:r w:rsidRPr="00211817">
                    <w:rPr>
                      <w:rFonts w:eastAsia="Times New Roman"/>
                      <w:b/>
                      <w:bCs/>
                      <w:color w:val="FFFFFF"/>
                      <w:szCs w:val="20"/>
                    </w:rPr>
                    <w:t>2015)*</w:t>
                  </w:r>
                  <w:proofErr w:type="gramEnd"/>
                </w:p>
                <w:p w14:paraId="32D39D5A"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RDI </w:t>
                  </w:r>
                </w:p>
                <w:p w14:paraId="7B484C93" w14:textId="77777777" w:rsidR="00036214" w:rsidRPr="00211817" w:rsidRDefault="00036214">
                  <w:pPr>
                    <w:spacing w:after="0" w:line="240" w:lineRule="auto"/>
                    <w:jc w:val="center"/>
                    <w:rPr>
                      <w:rFonts w:eastAsia="Times New Roman"/>
                      <w:b/>
                      <w:bCs/>
                      <w:color w:val="FFFFFF"/>
                      <w:szCs w:val="20"/>
                    </w:rPr>
                  </w:pPr>
                  <w:r w:rsidRPr="00211817">
                    <w:rPr>
                      <w:rFonts w:eastAsia="Times New Roman" w:cs="Calibri"/>
                      <w:b/>
                      <w:bCs/>
                      <w:color w:val="FFFFFF"/>
                      <w:szCs w:val="20"/>
                    </w:rPr>
                    <w:t>(µg/day)</w:t>
                  </w:r>
                </w:p>
              </w:tc>
            </w:tr>
            <w:tr w:rsidR="00036214" w:rsidRPr="00211817" w14:paraId="76A7EB36" w14:textId="77777777">
              <w:trPr>
                <w:trHeight w:val="300"/>
              </w:trPr>
              <w:tc>
                <w:tcPr>
                  <w:tcW w:w="1909" w:type="dxa"/>
                  <w:noWrap/>
                  <w:vAlign w:val="center"/>
                </w:tcPr>
                <w:p w14:paraId="08D00E2E" w14:textId="77777777" w:rsidR="00036214" w:rsidRPr="00211817" w:rsidRDefault="00036214">
                  <w:pPr>
                    <w:spacing w:after="0" w:line="240" w:lineRule="auto"/>
                    <w:rPr>
                      <w:rFonts w:eastAsia="Times New Roman"/>
                      <w:color w:val="000000"/>
                      <w:szCs w:val="20"/>
                    </w:rPr>
                  </w:pPr>
                  <w:r w:rsidRPr="00211817">
                    <w:rPr>
                      <w:rFonts w:eastAsia="Times New Roman"/>
                      <w:color w:val="000000"/>
                      <w:szCs w:val="20"/>
                    </w:rPr>
                    <w:t>Pregnancy (all):</w:t>
                  </w:r>
                </w:p>
              </w:tc>
              <w:tc>
                <w:tcPr>
                  <w:tcW w:w="1418" w:type="dxa"/>
                </w:tcPr>
                <w:p w14:paraId="30BCBDD9"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220</w:t>
                  </w:r>
                </w:p>
              </w:tc>
              <w:tc>
                <w:tcPr>
                  <w:tcW w:w="1559" w:type="dxa"/>
                  <w:noWrap/>
                </w:tcPr>
                <w:p w14:paraId="53CBFE14"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220</w:t>
                  </w:r>
                </w:p>
              </w:tc>
              <w:tc>
                <w:tcPr>
                  <w:tcW w:w="1276" w:type="dxa"/>
                  <w:noWrap/>
                </w:tcPr>
                <w:p w14:paraId="53DF33B6"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200</w:t>
                  </w:r>
                </w:p>
              </w:tc>
              <w:tc>
                <w:tcPr>
                  <w:tcW w:w="1276" w:type="dxa"/>
                  <w:noWrap/>
                </w:tcPr>
                <w:p w14:paraId="34CF9CEB"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200</w:t>
                  </w:r>
                </w:p>
              </w:tc>
              <w:tc>
                <w:tcPr>
                  <w:tcW w:w="1275" w:type="dxa"/>
                </w:tcPr>
                <w:p w14:paraId="1BC3A802"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230</w:t>
                  </w:r>
                </w:p>
              </w:tc>
              <w:tc>
                <w:tcPr>
                  <w:tcW w:w="1276" w:type="dxa"/>
                </w:tcPr>
                <w:p w14:paraId="3C1116E4"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230</w:t>
                  </w:r>
                </w:p>
              </w:tc>
            </w:tr>
          </w:tbl>
          <w:p w14:paraId="22F77446" w14:textId="77777777" w:rsidR="00036214" w:rsidRPr="00211817" w:rsidRDefault="00036214">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p>
          <w:p w14:paraId="0A346C70" w14:textId="77777777" w:rsidR="00036214" w:rsidRPr="00211817" w:rsidRDefault="00036214">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iCs/>
                <w:szCs w:val="20"/>
                <w:highlight w:val="yellow"/>
              </w:rPr>
            </w:pPr>
            <w:r w:rsidRPr="00211817">
              <w:rPr>
                <w:rFonts w:eastAsia="Times New Roman" w:cs="Times New Roman"/>
                <w:szCs w:val="20"/>
              </w:rPr>
              <w:t xml:space="preserve">Irrespective of whether an EAR and RDI is retained, or an AI set, the recommended iodine intake during pregnancy aligns with values from comparable international jurisdictions, noting that the type of NRV (EAR &amp; RDI vs AI) varies across jurisdictions. Similarly, there is some variation in the recommended intake to meet requirements during pregnancy, reflecting the differing public health nutrition contexts of each country. For example, in Germany where insufficiency remains a concern, recommendations for requirement are higher than elsewhere in Europe, reflecting the need for intakes to replenish depleted stores along with maintaining adequacy into the future. Similarly, in countries with longstanding sufficiency, recommendations during pregnancy and lactation are lower, reflecting the ability of maternal iodine stores to meet increased requirements. This may not be the case in Australia and New Zealand, where mild deficiency continues to be a concern within some populations - in particular women of reproductive age. </w:t>
            </w:r>
          </w:p>
        </w:tc>
      </w:tr>
      <w:tr w:rsidR="00036214" w:rsidRPr="00211817" w14:paraId="6608BA39" w14:textId="77777777" w:rsidTr="00036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hideMark/>
          </w:tcPr>
          <w:p w14:paraId="1F1060B3" w14:textId="77777777" w:rsidR="00036214" w:rsidRPr="00211817" w:rsidRDefault="00036214">
            <w:pPr>
              <w:rPr>
                <w:rFonts w:eastAsia="Arial" w:cs="Helvetica"/>
                <w:szCs w:val="20"/>
              </w:rPr>
            </w:pPr>
            <w:r w:rsidRPr="00211817">
              <w:rPr>
                <w:rFonts w:eastAsia="Arial" w:cs="Arial"/>
                <w:szCs w:val="20"/>
              </w:rPr>
              <w:lastRenderedPageBreak/>
              <w:t>Balance of effects (benefits and harms)</w:t>
            </w:r>
          </w:p>
          <w:p w14:paraId="525A83CD" w14:textId="77777777" w:rsidR="00036214" w:rsidRPr="00211817" w:rsidRDefault="00036214">
            <w:pPr>
              <w:ind w:right="-1346"/>
              <w:rPr>
                <w:rFonts w:eastAsia="Times New Roman" w:cs="Arial"/>
                <w:szCs w:val="20"/>
              </w:rPr>
            </w:pPr>
          </w:p>
        </w:tc>
        <w:tc>
          <w:tcPr>
            <w:tcW w:w="6305" w:type="dxa"/>
            <w:tcBorders>
              <w:left w:val="single" w:sz="4" w:space="0" w:color="77BCD9"/>
            </w:tcBorders>
          </w:tcPr>
          <w:p w14:paraId="757F21F7"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The current recommendations are expected to be protective of public health. There is no physiological or epidemiologic evidence to suggest that the current recommendations do not reflect requirements for preventing deficiency.</w:t>
            </w:r>
          </w:p>
          <w:p w14:paraId="29470069" w14:textId="77777777" w:rsidR="00036214" w:rsidRPr="00211817" w:rsidRDefault="00036214">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Arial"/>
                <w:iCs/>
                <w:szCs w:val="20"/>
              </w:rPr>
              <w:t xml:space="preserve">Presenting NRV recommendations for iodine as an EAR and RDI may imply a degree of certainty in an NRV for which the underpinning evidence base is more limited. </w:t>
            </w:r>
          </w:p>
          <w:p w14:paraId="23E78367" w14:textId="77777777" w:rsidR="00036214" w:rsidRPr="00211817" w:rsidRDefault="00036214">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lightGray"/>
              </w:rPr>
            </w:pPr>
            <w:r w:rsidRPr="00211817">
              <w:rPr>
                <w:rFonts w:eastAsia="Times New Roman" w:cs="Arial"/>
                <w:iCs/>
                <w:szCs w:val="20"/>
              </w:rPr>
              <w:t xml:space="preserve">However, comparison of food system modelling and estimated dietary intakes against the EAR provides a critical measure for monitoring and evaluating public health interventions, such as mandatory fortification. This is an important consideration, given the current iodine fortification program in Australia and New Zealand. This information is critical, given that data is suggestive of persisting mild deficiency among Australian and New Zealand women of </w:t>
            </w:r>
            <w:proofErr w:type="gramStart"/>
            <w:r w:rsidRPr="00211817">
              <w:rPr>
                <w:rFonts w:eastAsia="Times New Roman" w:cs="Arial"/>
                <w:iCs/>
                <w:szCs w:val="20"/>
              </w:rPr>
              <w:t>child bearing</w:t>
            </w:r>
            <w:proofErr w:type="gramEnd"/>
            <w:r w:rsidRPr="00211817">
              <w:rPr>
                <w:rFonts w:eastAsia="Times New Roman" w:cs="Arial"/>
                <w:iCs/>
                <w:szCs w:val="20"/>
              </w:rPr>
              <w:t xml:space="preserve"> age and during pregnancy.</w:t>
            </w:r>
          </w:p>
        </w:tc>
        <w:tc>
          <w:tcPr>
            <w:tcW w:w="6517" w:type="dxa"/>
          </w:tcPr>
          <w:p w14:paraId="03A8D64C"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The proposed AI recommendation will be protective of public health and align with the current recommended RDIs. There is no physiological or epidemiologic evidence to suggest that the current recommendations do not reflect requirements for preventing deficiency.</w:t>
            </w:r>
          </w:p>
          <w:p w14:paraId="7F31C6D8"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Revising the recommendations from an EAR and RDI to an AI communicates uncertainties in the evidence base more clearly.</w:t>
            </w:r>
          </w:p>
          <w:p w14:paraId="33A6573D"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However, the AI cannot be used to determine the prevalence of inadequate nutrient intakes within a population. Although a low prevalence of inadequacy may be presumed in populations with mean intakes around or above the AI, for those with intakes below the AI, adequacy cannot be determined (US IoM 2000). Consequently, removing the EAR in favour of an AI impedes analysis of population inadequacy for iodine using dietary intake data compared with EAR. This analysis is often performed by researchers and policymakers - including in the Australian Health Survey.</w:t>
            </w:r>
          </w:p>
          <w:p w14:paraId="20E4A405" w14:textId="77777777" w:rsidR="00175AC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211817">
              <w:rPr>
                <w:rFonts w:eastAsia="Times New Roman" w:cs="Arial"/>
                <w:szCs w:val="20"/>
              </w:rPr>
              <w:t xml:space="preserve">Dietary intake is not a reliable measure of iodine intake in Australia and New Zealand, given wide variability of iodine in the food supply, limitations in food composition data and the need to factor in </w:t>
            </w:r>
            <w:r w:rsidRPr="00211817">
              <w:rPr>
                <w:rFonts w:eastAsia="Times New Roman" w:cs="Times New Roman"/>
                <w:szCs w:val="20"/>
              </w:rPr>
              <w:t xml:space="preserve">use of iodised salt at the table and in cooking. In contrast, median UIC is an established biomarker for evaluating population iodine status (WHO 2007) and is routinely measured in research and in the Australian National Health Measures Survey. The 2008/09 New Zealand National Nutrition Survey measured urinary iodine concentration to assess iodine status over dietary intake data, owing to concerns about the accuracy of food composition data for estimating intake (University of Otago and </w:t>
            </w:r>
            <w:proofErr w:type="spellStart"/>
            <w:r w:rsidRPr="00211817">
              <w:rPr>
                <w:rFonts w:eastAsia="Times New Roman" w:cs="Times New Roman"/>
                <w:szCs w:val="20"/>
              </w:rPr>
              <w:t>NZMoH</w:t>
            </w:r>
            <w:proofErr w:type="spellEnd"/>
            <w:r w:rsidRPr="00211817">
              <w:rPr>
                <w:rFonts w:eastAsia="Times New Roman" w:cs="Times New Roman"/>
                <w:szCs w:val="20"/>
              </w:rPr>
              <w:t xml:space="preserve"> 2011). Removal of the EAR is not expected to impede population monitoring of iodine status. </w:t>
            </w:r>
          </w:p>
          <w:p w14:paraId="571F478C" w14:textId="2810A05C"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211817">
              <w:rPr>
                <w:rFonts w:eastAsia="Times New Roman" w:cs="Arial"/>
                <w:szCs w:val="20"/>
              </w:rPr>
              <w:lastRenderedPageBreak/>
              <w:t xml:space="preserve">However, </w:t>
            </w:r>
            <w:r w:rsidRPr="00211817">
              <w:rPr>
                <w:rFonts w:eastAsia="Times New Roman" w:cs="Arial"/>
                <w:iCs/>
                <w:szCs w:val="20"/>
              </w:rPr>
              <w:t>comparison of food system modelling and estimated dietary intakes against the EAR provides a critical measure for monitoring and evaluating public health interventions, such as mandatory fortification. This analysis would be precluded, if the EAR were replaced with an AI, for the reasons stated above.</w:t>
            </w:r>
          </w:p>
        </w:tc>
      </w:tr>
      <w:tr w:rsidR="00036214" w:rsidRPr="00211817" w14:paraId="64AF817F" w14:textId="77777777" w:rsidTr="000362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tcPr>
          <w:p w14:paraId="77DCF9EA" w14:textId="77777777" w:rsidR="00036214" w:rsidRPr="00211817" w:rsidRDefault="00036214">
            <w:pPr>
              <w:rPr>
                <w:rFonts w:eastAsia="Arial" w:cs="Arial"/>
                <w:szCs w:val="20"/>
              </w:rPr>
            </w:pPr>
            <w:r w:rsidRPr="00211817">
              <w:rPr>
                <w:rFonts w:eastAsia="Arial" w:cs="Arial"/>
                <w:szCs w:val="20"/>
              </w:rPr>
              <w:lastRenderedPageBreak/>
              <w:t>Certainty of the evidence</w:t>
            </w:r>
          </w:p>
        </w:tc>
        <w:tc>
          <w:tcPr>
            <w:tcW w:w="12822" w:type="dxa"/>
            <w:gridSpan w:val="2"/>
            <w:tcBorders>
              <w:left w:val="single" w:sz="4" w:space="0" w:color="77BCD9"/>
            </w:tcBorders>
          </w:tcPr>
          <w:p w14:paraId="736C84B5" w14:textId="77777777" w:rsidR="00036214" w:rsidRPr="00211817" w:rsidRDefault="00036214">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Requirements during pregnancy are estimated based on adult requirements and factoring in additional requirements for </w:t>
            </w:r>
            <w:proofErr w:type="spellStart"/>
            <w:r w:rsidRPr="00211817">
              <w:rPr>
                <w:rFonts w:eastAsia="Times New Roman" w:cs="Arial"/>
                <w:szCs w:val="20"/>
              </w:rPr>
              <w:t>fetal</w:t>
            </w:r>
            <w:proofErr w:type="spellEnd"/>
            <w:r w:rsidRPr="00211817">
              <w:rPr>
                <w:rFonts w:eastAsia="Times New Roman" w:cs="Arial"/>
                <w:szCs w:val="20"/>
              </w:rPr>
              <w:t xml:space="preserve"> development during pregnancy. These estimates are </w:t>
            </w:r>
            <w:proofErr w:type="gramStart"/>
            <w:r w:rsidRPr="00211817">
              <w:rPr>
                <w:rFonts w:eastAsia="Times New Roman" w:cs="Arial"/>
                <w:szCs w:val="20"/>
              </w:rPr>
              <w:t>imprecise, and</w:t>
            </w:r>
            <w:proofErr w:type="gramEnd"/>
            <w:r w:rsidRPr="00211817">
              <w:rPr>
                <w:rFonts w:eastAsia="Times New Roman" w:cs="Arial"/>
                <w:szCs w:val="20"/>
              </w:rPr>
              <w:t xml:space="preserve"> may not account individual variability in status and requirements. </w:t>
            </w:r>
          </w:p>
          <w:p w14:paraId="252C19F4" w14:textId="77777777" w:rsidR="00036214" w:rsidRPr="00211817" w:rsidRDefault="00036214">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There is a paucity of evidence examining the relationship between maternal iodine intake on maternal and child thyroid function and child neurodevelopment. Available studies are limited </w:t>
            </w:r>
            <w:proofErr w:type="gramStart"/>
            <w:r w:rsidRPr="00211817">
              <w:rPr>
                <w:rFonts w:eastAsia="Times New Roman" w:cs="Arial"/>
                <w:szCs w:val="20"/>
              </w:rPr>
              <w:t>by the use of</w:t>
            </w:r>
            <w:proofErr w:type="gramEnd"/>
            <w:r w:rsidRPr="00211817">
              <w:rPr>
                <w:rFonts w:eastAsia="Times New Roman" w:cs="Arial"/>
                <w:szCs w:val="20"/>
              </w:rPr>
              <w:t xml:space="preserve"> spot urinary iodine measures for quantifying intake, or extrapolation of an intake based on urinary iodine excretion, which may be imprecise or inaccurate during pregnancy. </w:t>
            </w:r>
          </w:p>
          <w:p w14:paraId="27EC6568" w14:textId="77777777" w:rsidR="00036214" w:rsidRPr="00211817" w:rsidRDefault="00036214">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Although there is a well-established association between severe maternal iodine deficiency during pregnancy and impaired cognitive development in the child, data on the iodine intake required to prevent cognitive impairment are inconsistent and imprecise. </w:t>
            </w:r>
          </w:p>
          <w:p w14:paraId="32FB105D" w14:textId="77777777" w:rsidR="00036214" w:rsidRPr="00211817" w:rsidRDefault="00036214">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The evidence for the iodine intake required to prevent maternal and child deficiency during pregnancy remains uncertain. </w:t>
            </w:r>
          </w:p>
        </w:tc>
      </w:tr>
      <w:tr w:rsidR="00036214" w:rsidRPr="00211817" w14:paraId="76835A6E" w14:textId="77777777" w:rsidTr="00036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tcPr>
          <w:p w14:paraId="3C07CA71" w14:textId="77777777" w:rsidR="00036214" w:rsidRPr="00211817" w:rsidRDefault="00036214">
            <w:pPr>
              <w:rPr>
                <w:rFonts w:eastAsia="Arial" w:cs="Arial"/>
                <w:szCs w:val="20"/>
              </w:rPr>
            </w:pPr>
            <w:r w:rsidRPr="00211817">
              <w:rPr>
                <w:rFonts w:eastAsia="Arial" w:cs="Arial"/>
                <w:szCs w:val="20"/>
              </w:rPr>
              <w:t>Values, preferences and feasibility (consumers, communities)</w:t>
            </w:r>
          </w:p>
        </w:tc>
        <w:tc>
          <w:tcPr>
            <w:tcW w:w="12822" w:type="dxa"/>
            <w:gridSpan w:val="2"/>
            <w:tcBorders>
              <w:left w:val="single" w:sz="4" w:space="0" w:color="77BCD9"/>
            </w:tcBorders>
          </w:tcPr>
          <w:p w14:paraId="11EE1AB5" w14:textId="77777777" w:rsidR="00036214" w:rsidRPr="00211817" w:rsidRDefault="00036214">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
                <w:iCs/>
                <w:szCs w:val="20"/>
              </w:rPr>
            </w:pPr>
            <w:r w:rsidRPr="00211817">
              <w:rPr>
                <w:rFonts w:eastAsia="Times New Roman" w:cs="Arial"/>
                <w:szCs w:val="20"/>
              </w:rPr>
              <w:t xml:space="preserve">The current RDI or proposed AI recommendation during pregnancy is feasible to achieve, with iodine intake estimated across all foundation diets at between 233 and 261 </w:t>
            </w:r>
            <w:proofErr w:type="spellStart"/>
            <w:r w:rsidRPr="00211817">
              <w:rPr>
                <w:rFonts w:eastAsia="Times New Roman" w:cs="Arial"/>
                <w:szCs w:val="20"/>
              </w:rPr>
              <w:t>μg</w:t>
            </w:r>
            <w:proofErr w:type="spellEnd"/>
            <w:r w:rsidRPr="00211817">
              <w:rPr>
                <w:rFonts w:eastAsia="Times New Roman" w:cs="Arial"/>
                <w:szCs w:val="20"/>
              </w:rPr>
              <w:t>/day (NHMRC, 2011)</w:t>
            </w:r>
          </w:p>
        </w:tc>
      </w:tr>
      <w:tr w:rsidR="00036214" w:rsidRPr="00211817" w14:paraId="26BD78D3" w14:textId="77777777" w:rsidTr="00036214">
        <w:tblPrEx>
          <w:tblBorders>
            <w:top w:val="single" w:sz="4" w:space="0" w:color="005F85"/>
            <w:left w:val="single" w:sz="4" w:space="0" w:color="005F85"/>
            <w:bottom w:val="single" w:sz="4" w:space="0" w:color="005F85"/>
            <w:right w:val="single" w:sz="4" w:space="0" w:color="005F85"/>
            <w:insideH w:val="single" w:sz="4" w:space="0" w:color="005F85"/>
            <w:insideV w:val="single" w:sz="4" w:space="0" w:color="005F85"/>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Pr>
          <w:p w14:paraId="28313582" w14:textId="77777777" w:rsidR="00036214" w:rsidRPr="00211817" w:rsidRDefault="00036214">
            <w:pPr>
              <w:rPr>
                <w:rFonts w:eastAsia="Arial" w:cs="Arial"/>
                <w:szCs w:val="20"/>
              </w:rPr>
            </w:pPr>
            <w:r w:rsidRPr="00211817">
              <w:rPr>
                <w:rFonts w:eastAsia="Arial" w:cs="Arial"/>
                <w:szCs w:val="20"/>
              </w:rPr>
              <w:lastRenderedPageBreak/>
              <w:t>Resource impacts</w:t>
            </w:r>
          </w:p>
        </w:tc>
        <w:tc>
          <w:tcPr>
            <w:tcW w:w="6305" w:type="dxa"/>
          </w:tcPr>
          <w:p w14:paraId="02DE8656" w14:textId="77777777" w:rsidR="00036214" w:rsidRPr="00211817" w:rsidRDefault="00036214">
            <w:pPr>
              <w:spacing w:before="120" w:after="0"/>
              <w:ind w:right="-11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Retaining the current recommendations for pregnancy is expected to have no implications for regulators, including FSANZ (food and food products) and TGA (supplements).</w:t>
            </w:r>
          </w:p>
          <w:p w14:paraId="2DD43702" w14:textId="77777777" w:rsidR="00036214" w:rsidRPr="00211817" w:rsidRDefault="00036214">
            <w:pPr>
              <w:spacing w:before="120" w:after="0"/>
              <w:ind w:right="-114"/>
              <w:cnfStyle w:val="000000010000" w:firstRow="0" w:lastRow="0" w:firstColumn="0" w:lastColumn="0" w:oddVBand="0" w:evenVBand="0" w:oddHBand="0" w:evenHBand="1" w:firstRowFirstColumn="0" w:firstRowLastColumn="0" w:lastRowFirstColumn="0" w:lastRowLastColumn="0"/>
              <w:rPr>
                <w:rFonts w:eastAsia="Times New Roman" w:cs="Arial"/>
                <w:i/>
                <w:szCs w:val="20"/>
                <w:highlight w:val="lightGray"/>
              </w:rPr>
            </w:pPr>
            <w:r w:rsidRPr="00211817">
              <w:rPr>
                <w:rFonts w:eastAsia="Times New Roman" w:cs="Arial"/>
                <w:szCs w:val="20"/>
              </w:rPr>
              <w:t xml:space="preserve">Current recommendations during pregnancy are presented for each age group, although the NRV is the same for each age group. It is proposed that the revised recommendations will be presented as a single recommendation during pregnancy. This will alter how recommendations are </w:t>
            </w:r>
            <w:proofErr w:type="gramStart"/>
            <w:r w:rsidRPr="00211817">
              <w:rPr>
                <w:rFonts w:eastAsia="Times New Roman" w:cs="Arial"/>
                <w:szCs w:val="20"/>
              </w:rPr>
              <w:t>presented, but</w:t>
            </w:r>
            <w:proofErr w:type="gramEnd"/>
            <w:r w:rsidRPr="00211817">
              <w:rPr>
                <w:rFonts w:eastAsia="Times New Roman" w:cs="Arial"/>
                <w:szCs w:val="20"/>
              </w:rPr>
              <w:t xml:space="preserve"> has no impact on the actual recommendations themselves.</w:t>
            </w:r>
          </w:p>
        </w:tc>
        <w:tc>
          <w:tcPr>
            <w:tcW w:w="6517" w:type="dxa"/>
          </w:tcPr>
          <w:p w14:paraId="414F102F" w14:textId="77777777" w:rsidR="00036214" w:rsidRPr="00211817" w:rsidRDefault="00036214">
            <w:pPr>
              <w:spacing w:before="120" w:after="0"/>
              <w:ind w:right="31"/>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The proposed change is nominal, replacing the current EAR and RDI with an AI to reflect uncertainty in the evidence base, and adjusting recommendations to align with new age groupings. </w:t>
            </w:r>
          </w:p>
          <w:p w14:paraId="112CBE5B" w14:textId="77777777" w:rsidR="00036214" w:rsidRPr="00211817" w:rsidRDefault="00036214">
            <w:pPr>
              <w:spacing w:before="120" w:after="0"/>
              <w:ind w:right="172"/>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While small, these changes may have significant implications for regulators, including FSANZ (food and food products) and the TGA (supplements). </w:t>
            </w:r>
            <w:proofErr w:type="gramStart"/>
            <w:r w:rsidRPr="00211817">
              <w:rPr>
                <w:rFonts w:eastAsia="Times New Roman" w:cs="Arial"/>
                <w:szCs w:val="20"/>
              </w:rPr>
              <w:t>In particular, removal</w:t>
            </w:r>
            <w:proofErr w:type="gramEnd"/>
            <w:r w:rsidRPr="00211817">
              <w:rPr>
                <w:rFonts w:eastAsia="Times New Roman" w:cs="Arial"/>
                <w:szCs w:val="20"/>
              </w:rPr>
              <w:t xml:space="preserve"> of the EAR may preclude analysis comparing dietary intake modelling data against the EAR. Preliminary discussions with FSANZ have indicated that removal of the EAR would be problematic for ongoing monitoring of the mandatory fortification program. </w:t>
            </w:r>
          </w:p>
          <w:p w14:paraId="7C8F7662" w14:textId="77777777" w:rsidR="00036214" w:rsidRPr="00211817" w:rsidRDefault="00036214">
            <w:pPr>
              <w:spacing w:before="120" w:after="0"/>
              <w:ind w:right="172"/>
              <w:cnfStyle w:val="000000010000" w:firstRow="0" w:lastRow="0" w:firstColumn="0" w:lastColumn="0" w:oddVBand="0" w:evenVBand="0" w:oddHBand="0" w:evenHBand="1" w:firstRowFirstColumn="0" w:firstRowLastColumn="0" w:lastRowFirstColumn="0" w:lastRowLastColumn="0"/>
              <w:rPr>
                <w:rFonts w:eastAsia="Times New Roman" w:cs="Arial"/>
                <w:i/>
                <w:iCs/>
                <w:szCs w:val="20"/>
              </w:rPr>
            </w:pPr>
            <w:r w:rsidRPr="00211817">
              <w:rPr>
                <w:rFonts w:eastAsia="Times New Roman" w:cs="Arial"/>
                <w:szCs w:val="20"/>
              </w:rPr>
              <w:t xml:space="preserve">Views will be sought during targeted/stakeholder consultation and considered when developing final NRVs.  </w:t>
            </w:r>
          </w:p>
        </w:tc>
      </w:tr>
      <w:tr w:rsidR="00036214" w:rsidRPr="00211817" w14:paraId="75475905" w14:textId="77777777" w:rsidTr="00036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tcPr>
          <w:p w14:paraId="4DD10DCB" w14:textId="77777777" w:rsidR="00036214" w:rsidRPr="00211817" w:rsidRDefault="00036214">
            <w:pPr>
              <w:rPr>
                <w:rFonts w:eastAsia="Arial" w:cs="Arial"/>
                <w:szCs w:val="20"/>
              </w:rPr>
            </w:pPr>
            <w:r w:rsidRPr="00211817">
              <w:rPr>
                <w:rFonts w:eastAsia="Arial" w:cs="Arial"/>
                <w:szCs w:val="20"/>
              </w:rPr>
              <w:t>Other factors (health equity impacts, sustainability)</w:t>
            </w:r>
          </w:p>
        </w:tc>
        <w:tc>
          <w:tcPr>
            <w:tcW w:w="12822" w:type="dxa"/>
            <w:gridSpan w:val="2"/>
            <w:tcBorders>
              <w:left w:val="single" w:sz="4" w:space="0" w:color="77BCD9"/>
            </w:tcBorders>
          </w:tcPr>
          <w:p w14:paraId="680B0819" w14:textId="77777777" w:rsidR="00036214" w:rsidRPr="00211817" w:rsidRDefault="00036214">
            <w:pPr>
              <w:tabs>
                <w:tab w:val="left" w:pos="11838"/>
              </w:tabs>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Arial"/>
                <w:iCs/>
                <w:szCs w:val="20"/>
              </w:rPr>
              <w:t xml:space="preserve">Groups at risk of deficiency </w:t>
            </w:r>
            <w:proofErr w:type="gramStart"/>
            <w:r w:rsidRPr="00211817">
              <w:rPr>
                <w:rFonts w:eastAsia="Times New Roman" w:cs="Arial"/>
                <w:iCs/>
                <w:szCs w:val="20"/>
              </w:rPr>
              <w:t>include:</w:t>
            </w:r>
            <w:proofErr w:type="gramEnd"/>
            <w:r w:rsidRPr="00211817">
              <w:rPr>
                <w:rFonts w:eastAsia="Times New Roman" w:cs="Arial"/>
                <w:iCs/>
                <w:szCs w:val="20"/>
              </w:rPr>
              <w:t xml:space="preserve"> vegans or vegetarians; individuals with low consumption of dairy, commercial bread, or iodised salt; and smokers of both tobacco and electronic cigarettes. </w:t>
            </w:r>
            <w:r w:rsidRPr="00211817">
              <w:rPr>
                <w:rFonts w:eastAsia="Times New Roman" w:cs="Times New Roman"/>
                <w:szCs w:val="20"/>
              </w:rPr>
              <w:t xml:space="preserve">Reduced consumption of commercial bread and bread products in Australia (ABS 2025b) and </w:t>
            </w:r>
            <w:r w:rsidRPr="00211817">
              <w:rPr>
                <w:rFonts w:eastAsia="Times New Roman" w:cs="Arial"/>
                <w:iCs/>
                <w:szCs w:val="20"/>
              </w:rPr>
              <w:t>increasing interest in predominantly plant-based diets (</w:t>
            </w:r>
            <w:r w:rsidRPr="00211817">
              <w:rPr>
                <w:rFonts w:eastAsia="Times New Roman" w:cs="Times New Roman"/>
                <w:szCs w:val="20"/>
              </w:rPr>
              <w:t xml:space="preserve">Roy Morgan 2016; Kantar 2022; Riverola et al. 2023) </w:t>
            </w:r>
            <w:r w:rsidRPr="00211817">
              <w:rPr>
                <w:rFonts w:eastAsia="Times New Roman" w:cs="Arial"/>
                <w:iCs/>
                <w:szCs w:val="20"/>
              </w:rPr>
              <w:t>has the potential to reduce population iodine intake and should be closely monitored.</w:t>
            </w:r>
          </w:p>
          <w:p w14:paraId="0A42A1BE" w14:textId="77777777" w:rsidR="00036214" w:rsidRPr="00211817" w:rsidRDefault="00036214">
            <w:pPr>
              <w:tabs>
                <w:tab w:val="left" w:pos="11838"/>
              </w:tabs>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211817">
              <w:rPr>
                <w:rFonts w:eastAsia="Times New Roman" w:cs="Arial"/>
                <w:iCs/>
                <w:szCs w:val="20"/>
              </w:rPr>
              <w:t xml:space="preserve">Data from Australia and New Zealand also suggests that women of reproductive age may be mildly deficient. Sufficient iodine status during pregnancy is </w:t>
            </w:r>
            <w:r w:rsidRPr="00211817">
              <w:rPr>
                <w:rFonts w:eastAsia="Times New Roman" w:cs="Times New Roman"/>
                <w:szCs w:val="20"/>
              </w:rPr>
              <w:t xml:space="preserve">critical for supporting child neurocognitive development. </w:t>
            </w:r>
            <w:r w:rsidRPr="00211817">
              <w:rPr>
                <w:rFonts w:eastAsia="Times New Roman" w:cs="Arial"/>
                <w:iCs/>
                <w:szCs w:val="20"/>
              </w:rPr>
              <w:t>Studies suggest that knowledge about the importance of iodine supplementation during pregnancy and lactation - and adherence to supplementation recommendations - are lacking among Australians and New Zealanders (</w:t>
            </w:r>
            <w:r w:rsidRPr="00211817">
              <w:rPr>
                <w:rFonts w:eastAsia="Arial" w:cs="Times New Roman"/>
                <w:szCs w:val="20"/>
              </w:rPr>
              <w:t xml:space="preserve">El-mani et al 2014, Lucas et al 2014, Martin et al 2014, Malek et al 2016, Guess et al 2017, Hine et al 2018, </w:t>
            </w:r>
            <w:r w:rsidRPr="00211817">
              <w:rPr>
                <w:rFonts w:eastAsia="Times New Roman" w:cs="Arial"/>
                <w:iCs/>
                <w:szCs w:val="20"/>
              </w:rPr>
              <w:t xml:space="preserve">Jin et al 2021). </w:t>
            </w:r>
            <w:r w:rsidRPr="00211817">
              <w:rPr>
                <w:rFonts w:eastAsia="Times New Roman" w:cs="Times New Roman"/>
                <w:szCs w:val="20"/>
              </w:rPr>
              <w:t xml:space="preserve">It is critical that public health messaging communicates the importance of achieving and maintaining sufficient iodine status prior to conception and throughout pregnancy and lactation, for optimal </w:t>
            </w:r>
            <w:proofErr w:type="spellStart"/>
            <w:r w:rsidRPr="00211817">
              <w:rPr>
                <w:rFonts w:eastAsia="Times New Roman" w:cs="Times New Roman"/>
                <w:szCs w:val="20"/>
              </w:rPr>
              <w:t>fetal</w:t>
            </w:r>
            <w:proofErr w:type="spellEnd"/>
            <w:r w:rsidRPr="00211817">
              <w:rPr>
                <w:rFonts w:eastAsia="Times New Roman" w:cs="Times New Roman"/>
                <w:szCs w:val="20"/>
              </w:rPr>
              <w:t xml:space="preserve"> development.</w:t>
            </w:r>
          </w:p>
          <w:p w14:paraId="3943B6C3" w14:textId="77777777" w:rsidR="00036214" w:rsidRPr="00211817" w:rsidRDefault="00036214">
            <w:pPr>
              <w:tabs>
                <w:tab w:val="left" w:pos="11838"/>
              </w:tabs>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211817">
              <w:rPr>
                <w:rFonts w:eastAsia="Times New Roman" w:cs="Times New Roman"/>
                <w:szCs w:val="20"/>
              </w:rPr>
              <w:t>If the change from an EAR and RDI to an AI is adopted to reflect uncertainty in the evidence base, care must be taken to avoid suggesting that there is uncertainty about the need for increased iodine during pregnancy, or to undermine messaging about routine iodine supplementation in this cohort.</w:t>
            </w:r>
          </w:p>
          <w:p w14:paraId="75C72E47" w14:textId="77777777" w:rsidR="00036214" w:rsidRPr="00211817" w:rsidRDefault="00036214">
            <w:pPr>
              <w:tabs>
                <w:tab w:val="left" w:pos="11838"/>
              </w:tabs>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
                <w:iCs/>
                <w:szCs w:val="20"/>
              </w:rPr>
            </w:pPr>
            <w:r w:rsidRPr="00211817">
              <w:rPr>
                <w:rFonts w:eastAsia="Times New Roman" w:cs="Arial"/>
                <w:iCs/>
                <w:szCs w:val="20"/>
              </w:rPr>
              <w:t>It is recommended that pregnant and lactating women take an iodine-containing supplement to ensure adequacy. However, the affordability of iodine supplements has been identified as a barrier to use during pregnancy and lactation in Australia (Nolan et al 2022, Jorgensen et al 2016). This may have equity implications for individuals’ abilities to meet nutritional recommendations during this life stage. This equity issue should be addressed by public health policy makers.</w:t>
            </w:r>
          </w:p>
        </w:tc>
      </w:tr>
      <w:tr w:rsidR="00036214" w:rsidRPr="00211817" w14:paraId="65C49D52" w14:textId="77777777" w:rsidTr="000362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77BCD9"/>
              <w:left w:val="single" w:sz="4" w:space="0" w:color="77BCD9"/>
              <w:bottom w:val="single" w:sz="4" w:space="0" w:color="77BCD9"/>
              <w:right w:val="single" w:sz="4" w:space="0" w:color="77BCD9"/>
            </w:tcBorders>
          </w:tcPr>
          <w:p w14:paraId="4D2EFF24" w14:textId="77777777" w:rsidR="00036214" w:rsidRPr="00211817" w:rsidRDefault="00036214">
            <w:pPr>
              <w:rPr>
                <w:rFonts w:eastAsia="Arial" w:cs="Arial"/>
                <w:szCs w:val="20"/>
              </w:rPr>
            </w:pPr>
            <w:r w:rsidRPr="00211817">
              <w:rPr>
                <w:rFonts w:eastAsia="Arial" w:cs="Arial"/>
                <w:szCs w:val="20"/>
              </w:rPr>
              <w:lastRenderedPageBreak/>
              <w:t>Decision</w:t>
            </w:r>
          </w:p>
        </w:tc>
        <w:tc>
          <w:tcPr>
            <w:tcW w:w="12822" w:type="dxa"/>
            <w:gridSpan w:val="2"/>
            <w:tcBorders>
              <w:left w:val="single" w:sz="4" w:space="0" w:color="77BCD9"/>
            </w:tcBorders>
          </w:tcPr>
          <w:p w14:paraId="1EFED854" w14:textId="77777777" w:rsidR="00036214" w:rsidRPr="00211817" w:rsidRDefault="00036214">
            <w:pPr>
              <w:spacing w:before="120" w:after="0"/>
              <w:ind w:right="31"/>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Retain the current EAR and RDI during pregnancy. Rationale:</w:t>
            </w:r>
          </w:p>
          <w:p w14:paraId="31BDD699" w14:textId="77777777" w:rsidR="00036214" w:rsidRPr="00211817" w:rsidRDefault="00036214">
            <w:pPr>
              <w:spacing w:before="120" w:after="0"/>
              <w:ind w:right="31"/>
              <w:cnfStyle w:val="000000010000" w:firstRow="0" w:lastRow="0" w:firstColumn="0" w:lastColumn="0" w:oddVBand="0" w:evenVBand="0" w:oddHBand="0" w:evenHBand="1" w:firstRowFirstColumn="0" w:firstRowLastColumn="0" w:lastRowFirstColumn="0" w:lastRowLastColumn="0"/>
              <w:rPr>
                <w:rFonts w:eastAsia="Times New Roman" w:cs="Arial"/>
                <w:i/>
                <w:iCs/>
                <w:szCs w:val="20"/>
              </w:rPr>
            </w:pPr>
            <w:r w:rsidRPr="00211817">
              <w:rPr>
                <w:rFonts w:eastAsia="Times New Roman" w:cs="Arial"/>
                <w:szCs w:val="20"/>
              </w:rPr>
              <w:t>potential harms associated with removal of the EAR - in particular impeding food modelling analysis to support public health decision making and the existing iodine fortification program - outweigh any benefits of acknowledging uncertainty in the evidence base through replacing the EAR and RDI with an AI. This is a particularly important consideration in pregnant populations, in view of the effects of maternal deficiency on the developing infant</w:t>
            </w:r>
          </w:p>
          <w:p w14:paraId="5ADE7B61" w14:textId="77777777" w:rsidR="00036214" w:rsidRPr="00211817" w:rsidRDefault="00036214">
            <w:pPr>
              <w:spacing w:before="120" w:after="0"/>
              <w:ind w:right="31"/>
              <w:cnfStyle w:val="000000010000" w:firstRow="0" w:lastRow="0" w:firstColumn="0" w:lastColumn="0" w:oddVBand="0" w:evenVBand="0" w:oddHBand="0" w:evenHBand="1" w:firstRowFirstColumn="0" w:firstRowLastColumn="0" w:lastRowFirstColumn="0" w:lastRowLastColumn="0"/>
              <w:rPr>
                <w:rFonts w:eastAsia="Times New Roman" w:cs="Arial"/>
                <w:i/>
                <w:iCs/>
                <w:szCs w:val="20"/>
              </w:rPr>
            </w:pPr>
            <w:r w:rsidRPr="00211817">
              <w:rPr>
                <w:rFonts w:eastAsia="Times New Roman" w:cs="Arial"/>
                <w:szCs w:val="20"/>
              </w:rPr>
              <w:t xml:space="preserve">although the evidence underpinning the EAR is not robust, several different sources of evidence estimate physiological requirements in the range 160 - 185 µg/day during pregnancy. </w:t>
            </w:r>
          </w:p>
          <w:p w14:paraId="2430233D" w14:textId="77777777" w:rsidR="00036214" w:rsidRPr="00211817" w:rsidRDefault="00036214">
            <w:pPr>
              <w:spacing w:before="120" w:after="0"/>
              <w:ind w:right="31"/>
              <w:cnfStyle w:val="000000010000" w:firstRow="0" w:lastRow="0" w:firstColumn="0" w:lastColumn="0" w:oddVBand="0" w:evenVBand="0" w:oddHBand="0" w:evenHBand="1" w:firstRowFirstColumn="0" w:firstRowLastColumn="0" w:lastRowFirstColumn="0" w:lastRowLastColumn="0"/>
              <w:rPr>
                <w:rFonts w:eastAsia="Times New Roman" w:cs="Arial"/>
                <w:i/>
                <w:iCs/>
                <w:szCs w:val="20"/>
              </w:rPr>
            </w:pPr>
            <w:r w:rsidRPr="00211817">
              <w:rPr>
                <w:rFonts w:eastAsia="Times New Roman" w:cs="Arial"/>
                <w:szCs w:val="20"/>
              </w:rPr>
              <w:t>There is no evidence to indicate that the current recommendations are inaccurate or inadequate for meeting nutritional needs of the general, pregnant population.</w:t>
            </w:r>
          </w:p>
        </w:tc>
      </w:tr>
    </w:tbl>
    <w:p w14:paraId="6AB99C72" w14:textId="7C517530" w:rsidR="00036214" w:rsidRDefault="00036214" w:rsidP="00036214">
      <w:pPr>
        <w:pStyle w:val="Heading5"/>
      </w:pPr>
      <w:r w:rsidRPr="00346B6E">
        <w:t>During lactation</w:t>
      </w:r>
    </w:p>
    <w:tbl>
      <w:tblPr>
        <w:tblStyle w:val="DefaultTable1"/>
        <w:tblW w:w="5481" w:type="pct"/>
        <w:tblInd w:w="-431" w:type="dxa"/>
        <w:tblBorders>
          <w:top w:val="single" w:sz="4" w:space="0" w:color="4216FF"/>
          <w:left w:val="single" w:sz="4" w:space="0" w:color="4216FF"/>
          <w:bottom w:val="single" w:sz="4" w:space="0" w:color="4216FF"/>
          <w:right w:val="single" w:sz="4" w:space="0" w:color="4216FF"/>
          <w:insideH w:val="single" w:sz="4" w:space="0" w:color="4216FF"/>
          <w:insideV w:val="single" w:sz="4" w:space="0" w:color="4216FF"/>
        </w:tblBorders>
        <w:tblLayout w:type="fixed"/>
        <w:tblLook w:val="04A0" w:firstRow="1" w:lastRow="0" w:firstColumn="1" w:lastColumn="0" w:noHBand="0" w:noVBand="1"/>
      </w:tblPr>
      <w:tblGrid>
        <w:gridCol w:w="1986"/>
        <w:gridCol w:w="5953"/>
        <w:gridCol w:w="6804"/>
      </w:tblGrid>
      <w:tr w:rsidR="00036214" w:rsidRPr="00211817" w14:paraId="781513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hideMark/>
          </w:tcPr>
          <w:p w14:paraId="3DBA4935" w14:textId="77777777" w:rsidR="00036214" w:rsidRPr="00211817" w:rsidRDefault="00036214">
            <w:pPr>
              <w:rPr>
                <w:rFonts w:eastAsia="Times New Roman" w:cs="Times New Roman"/>
                <w:szCs w:val="20"/>
              </w:rPr>
            </w:pPr>
            <w:r w:rsidRPr="00211817">
              <w:rPr>
                <w:rFonts w:eastAsia="Times New Roman" w:cs="Arial"/>
                <w:szCs w:val="20"/>
              </w:rPr>
              <w:t>Criterion</w:t>
            </w:r>
          </w:p>
        </w:tc>
        <w:tc>
          <w:tcPr>
            <w:tcW w:w="5953" w:type="dxa"/>
            <w:tcBorders>
              <w:top w:val="single" w:sz="4" w:space="0" w:color="77BCD9"/>
              <w:left w:val="single" w:sz="4" w:space="0" w:color="77BCD9"/>
              <w:bottom w:val="single" w:sz="4" w:space="0" w:color="77BCD9"/>
              <w:right w:val="single" w:sz="4" w:space="0" w:color="77BCD9"/>
            </w:tcBorders>
          </w:tcPr>
          <w:p w14:paraId="2E975D0F" w14:textId="77777777" w:rsidR="00036214" w:rsidRPr="00211817" w:rsidRDefault="00036214">
            <w:pPr>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u w:val="single"/>
              </w:rPr>
              <w:t>OPTION 1</w:t>
            </w:r>
            <w:r w:rsidRPr="00211817">
              <w:rPr>
                <w:rFonts w:eastAsia="Times New Roman" w:cs="Times New Roman"/>
                <w:szCs w:val="20"/>
              </w:rPr>
              <w:t>:</w:t>
            </w:r>
          </w:p>
          <w:p w14:paraId="7FD9CF7A" w14:textId="77777777" w:rsidR="00036214" w:rsidRPr="00211817" w:rsidRDefault="00036214">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rPr>
              <w:t>Maintain current recommendations (EAR &amp; RDI)</w:t>
            </w:r>
          </w:p>
          <w:p w14:paraId="61F98304" w14:textId="77777777" w:rsidR="00036214" w:rsidRPr="00211817" w:rsidRDefault="00036214">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rPr>
              <w:t>Adapt current NRVs to new age groupings</w:t>
            </w:r>
          </w:p>
        </w:tc>
        <w:tc>
          <w:tcPr>
            <w:tcW w:w="6804" w:type="dxa"/>
            <w:tcBorders>
              <w:top w:val="single" w:sz="4" w:space="0" w:color="77BCD9"/>
              <w:left w:val="single" w:sz="4" w:space="0" w:color="77BCD9"/>
              <w:bottom w:val="single" w:sz="4" w:space="0" w:color="77BCD9"/>
              <w:right w:val="single" w:sz="4" w:space="0" w:color="77BCD9"/>
            </w:tcBorders>
          </w:tcPr>
          <w:p w14:paraId="3C24087F" w14:textId="77777777" w:rsidR="00036214" w:rsidRPr="00211817" w:rsidRDefault="00036214">
            <w:pPr>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u w:val="single"/>
              </w:rPr>
              <w:t>OPTION 2</w:t>
            </w:r>
            <w:r w:rsidRPr="00211817">
              <w:rPr>
                <w:rFonts w:eastAsia="Times New Roman" w:cs="Times New Roman"/>
                <w:szCs w:val="20"/>
              </w:rPr>
              <w:t>:</w:t>
            </w:r>
          </w:p>
          <w:p w14:paraId="4D66B405" w14:textId="77777777" w:rsidR="00036214" w:rsidRPr="00211817" w:rsidRDefault="00036214">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211817">
              <w:rPr>
                <w:rFonts w:eastAsia="Times New Roman" w:cs="Times New Roman"/>
                <w:szCs w:val="20"/>
              </w:rPr>
              <w:t>Revise recommendations to AIs to reflect uncertainty in evidence base</w:t>
            </w:r>
          </w:p>
        </w:tc>
      </w:tr>
      <w:tr w:rsidR="00036214" w:rsidRPr="00211817" w14:paraId="43F0E3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tcPr>
          <w:p w14:paraId="5B958232" w14:textId="77777777" w:rsidR="00036214" w:rsidRPr="00211817" w:rsidRDefault="00036214">
            <w:pPr>
              <w:rPr>
                <w:rFonts w:eastAsia="Times New Roman" w:cs="Arial"/>
                <w:szCs w:val="20"/>
              </w:rPr>
            </w:pPr>
            <w:r w:rsidRPr="00211817">
              <w:rPr>
                <w:rFonts w:eastAsia="Times New Roman" w:cs="Arial"/>
                <w:szCs w:val="20"/>
              </w:rPr>
              <w:t>Example recommendation</w:t>
            </w:r>
          </w:p>
        </w:tc>
        <w:tc>
          <w:tcPr>
            <w:tcW w:w="5953" w:type="dxa"/>
            <w:tcBorders>
              <w:left w:val="single" w:sz="4" w:space="0" w:color="77BCD9"/>
            </w:tcBorders>
          </w:tcPr>
          <w:tbl>
            <w:tblPr>
              <w:tblStyle w:val="TableGrid2"/>
              <w:tblW w:w="0" w:type="auto"/>
              <w:tblInd w:w="0" w:type="dxa"/>
              <w:tblLook w:val="04A0" w:firstRow="1" w:lastRow="0" w:firstColumn="1" w:lastColumn="0" w:noHBand="0" w:noVBand="1"/>
            </w:tblPr>
            <w:tblGrid>
              <w:gridCol w:w="1914"/>
              <w:gridCol w:w="2122"/>
              <w:gridCol w:w="1417"/>
            </w:tblGrid>
            <w:tr w:rsidR="00175AC7" w:rsidRPr="00211817" w14:paraId="09C1FA73" w14:textId="77777777" w:rsidTr="008346F6">
              <w:tc>
                <w:tcPr>
                  <w:tcW w:w="1914" w:type="dxa"/>
                </w:tcPr>
                <w:p w14:paraId="42AC4AAF" w14:textId="77777777" w:rsidR="00175AC7" w:rsidRPr="00211817" w:rsidRDefault="00175AC7">
                  <w:pPr>
                    <w:spacing w:after="0"/>
                    <w:rPr>
                      <w:rFonts w:eastAsia="Times New Roman" w:cs="Arial"/>
                      <w:b/>
                      <w:bCs/>
                      <w:i/>
                      <w:iCs/>
                      <w:szCs w:val="20"/>
                    </w:rPr>
                  </w:pPr>
                </w:p>
              </w:tc>
              <w:tc>
                <w:tcPr>
                  <w:tcW w:w="2122" w:type="dxa"/>
                </w:tcPr>
                <w:p w14:paraId="66B9F5DC" w14:textId="77777777" w:rsidR="00175AC7" w:rsidRPr="00211817" w:rsidRDefault="00175AC7">
                  <w:pPr>
                    <w:spacing w:after="0"/>
                    <w:jc w:val="center"/>
                    <w:rPr>
                      <w:rFonts w:eastAsia="Times New Roman" w:cs="Arial"/>
                      <w:b/>
                      <w:bCs/>
                      <w:i/>
                      <w:iCs/>
                      <w:szCs w:val="20"/>
                    </w:rPr>
                  </w:pPr>
                  <w:r w:rsidRPr="00211817">
                    <w:rPr>
                      <w:rFonts w:eastAsia="Times New Roman" w:cs="Arial"/>
                      <w:b/>
                      <w:bCs/>
                      <w:i/>
                      <w:iCs/>
                      <w:szCs w:val="20"/>
                    </w:rPr>
                    <w:t>EAR</w:t>
                  </w:r>
                </w:p>
              </w:tc>
              <w:tc>
                <w:tcPr>
                  <w:tcW w:w="1417" w:type="dxa"/>
                </w:tcPr>
                <w:p w14:paraId="0719F468" w14:textId="77777777" w:rsidR="00175AC7" w:rsidRPr="00211817" w:rsidRDefault="00175AC7">
                  <w:pPr>
                    <w:spacing w:after="0"/>
                    <w:jc w:val="center"/>
                    <w:rPr>
                      <w:rFonts w:eastAsia="Times New Roman" w:cs="Arial"/>
                      <w:b/>
                      <w:bCs/>
                      <w:i/>
                      <w:iCs/>
                      <w:szCs w:val="20"/>
                    </w:rPr>
                  </w:pPr>
                  <w:r w:rsidRPr="00211817">
                    <w:rPr>
                      <w:rFonts w:eastAsia="Times New Roman" w:cs="Arial"/>
                      <w:b/>
                      <w:bCs/>
                      <w:i/>
                      <w:iCs/>
                      <w:szCs w:val="20"/>
                    </w:rPr>
                    <w:t>RDI</w:t>
                  </w:r>
                </w:p>
              </w:tc>
            </w:tr>
            <w:tr w:rsidR="00036214" w:rsidRPr="00211817" w14:paraId="25F38065" w14:textId="77777777" w:rsidTr="008346F6">
              <w:tc>
                <w:tcPr>
                  <w:tcW w:w="1914" w:type="dxa"/>
                </w:tcPr>
                <w:p w14:paraId="71B1B7E2" w14:textId="77777777" w:rsidR="00036214" w:rsidRPr="00211817" w:rsidRDefault="00036214">
                  <w:pPr>
                    <w:spacing w:after="0"/>
                    <w:rPr>
                      <w:rFonts w:eastAsia="Times New Roman" w:cs="Arial"/>
                      <w:b/>
                      <w:bCs/>
                      <w:i/>
                      <w:iCs/>
                      <w:szCs w:val="20"/>
                    </w:rPr>
                  </w:pPr>
                  <w:r w:rsidRPr="00211817">
                    <w:rPr>
                      <w:rFonts w:eastAsia="Times New Roman" w:cs="Arial"/>
                      <w:b/>
                      <w:bCs/>
                      <w:i/>
                      <w:iCs/>
                      <w:szCs w:val="20"/>
                    </w:rPr>
                    <w:t>Lactation</w:t>
                  </w:r>
                </w:p>
              </w:tc>
              <w:tc>
                <w:tcPr>
                  <w:tcW w:w="2122" w:type="dxa"/>
                </w:tcPr>
                <w:p w14:paraId="49E85C73" w14:textId="77777777" w:rsidR="00036214" w:rsidRPr="00211817" w:rsidRDefault="00036214">
                  <w:pPr>
                    <w:spacing w:after="0"/>
                    <w:rPr>
                      <w:rFonts w:eastAsia="Times New Roman" w:cs="Arial"/>
                      <w:i/>
                      <w:iCs/>
                      <w:szCs w:val="20"/>
                    </w:rPr>
                  </w:pPr>
                  <w:r w:rsidRPr="00211817">
                    <w:rPr>
                      <w:rFonts w:eastAsia="Times New Roman" w:cs="Arial"/>
                      <w:i/>
                      <w:iCs/>
                      <w:szCs w:val="20"/>
                    </w:rPr>
                    <w:t xml:space="preserve">190 </w:t>
                  </w:r>
                  <w:proofErr w:type="spellStart"/>
                  <w:r w:rsidRPr="00211817">
                    <w:rPr>
                      <w:rFonts w:eastAsia="Times New Roman" w:cs="Arial"/>
                      <w:i/>
                      <w:iCs/>
                      <w:szCs w:val="20"/>
                    </w:rPr>
                    <w:t>μg</w:t>
                  </w:r>
                  <w:proofErr w:type="spellEnd"/>
                  <w:r w:rsidRPr="00211817">
                    <w:rPr>
                      <w:rFonts w:eastAsia="Times New Roman" w:cs="Arial"/>
                      <w:i/>
                      <w:iCs/>
                      <w:szCs w:val="20"/>
                    </w:rPr>
                    <w:t>/day</w:t>
                  </w:r>
                </w:p>
              </w:tc>
              <w:tc>
                <w:tcPr>
                  <w:tcW w:w="1417" w:type="dxa"/>
                </w:tcPr>
                <w:p w14:paraId="722F91A6" w14:textId="77777777" w:rsidR="00036214" w:rsidRPr="00211817" w:rsidRDefault="00036214">
                  <w:pPr>
                    <w:spacing w:after="0"/>
                    <w:rPr>
                      <w:rFonts w:eastAsia="Times New Roman" w:cs="Arial"/>
                      <w:i/>
                      <w:iCs/>
                      <w:szCs w:val="20"/>
                    </w:rPr>
                  </w:pPr>
                  <w:r w:rsidRPr="00211817">
                    <w:rPr>
                      <w:rFonts w:eastAsia="Times New Roman" w:cs="Arial"/>
                      <w:i/>
                      <w:iCs/>
                      <w:szCs w:val="20"/>
                    </w:rPr>
                    <w:t xml:space="preserve">270 </w:t>
                  </w:r>
                  <w:proofErr w:type="spellStart"/>
                  <w:r w:rsidRPr="00211817">
                    <w:rPr>
                      <w:rFonts w:eastAsia="Times New Roman" w:cs="Arial"/>
                      <w:i/>
                      <w:iCs/>
                      <w:szCs w:val="20"/>
                    </w:rPr>
                    <w:t>μg</w:t>
                  </w:r>
                  <w:proofErr w:type="spellEnd"/>
                  <w:r w:rsidRPr="00211817">
                    <w:rPr>
                      <w:rFonts w:eastAsia="Times New Roman" w:cs="Arial"/>
                      <w:i/>
                      <w:iCs/>
                      <w:szCs w:val="20"/>
                    </w:rPr>
                    <w:t>/day</w:t>
                  </w:r>
                </w:p>
              </w:tc>
            </w:tr>
          </w:tbl>
          <w:p w14:paraId="09917C89" w14:textId="77777777" w:rsidR="00036214" w:rsidRPr="00211817" w:rsidRDefault="00036214">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i/>
                <w:iCs/>
                <w:szCs w:val="20"/>
              </w:rPr>
            </w:pPr>
          </w:p>
        </w:tc>
        <w:tc>
          <w:tcPr>
            <w:tcW w:w="6804" w:type="dxa"/>
          </w:tcPr>
          <w:tbl>
            <w:tblPr>
              <w:tblStyle w:val="TableGrid2"/>
              <w:tblW w:w="0" w:type="auto"/>
              <w:tblInd w:w="1272" w:type="dxa"/>
              <w:tblLook w:val="04A0" w:firstRow="1" w:lastRow="0" w:firstColumn="1" w:lastColumn="0" w:noHBand="0" w:noVBand="1"/>
            </w:tblPr>
            <w:tblGrid>
              <w:gridCol w:w="2277"/>
              <w:gridCol w:w="1475"/>
            </w:tblGrid>
            <w:tr w:rsidR="00175AC7" w:rsidRPr="00211817" w14:paraId="0E35B1BC" w14:textId="77777777" w:rsidTr="00175AC7">
              <w:tc>
                <w:tcPr>
                  <w:tcW w:w="2277" w:type="dxa"/>
                </w:tcPr>
                <w:p w14:paraId="5377BBA7" w14:textId="77777777" w:rsidR="00175AC7" w:rsidRPr="00211817" w:rsidRDefault="00175AC7">
                  <w:pPr>
                    <w:spacing w:after="0"/>
                    <w:rPr>
                      <w:rFonts w:eastAsia="Times New Roman" w:cs="Arial"/>
                      <w:b/>
                      <w:bCs/>
                      <w:i/>
                      <w:iCs/>
                      <w:szCs w:val="20"/>
                    </w:rPr>
                  </w:pPr>
                </w:p>
              </w:tc>
              <w:tc>
                <w:tcPr>
                  <w:tcW w:w="1475" w:type="dxa"/>
                </w:tcPr>
                <w:p w14:paraId="3366EA42" w14:textId="77777777" w:rsidR="00175AC7" w:rsidRPr="00211817" w:rsidRDefault="00175AC7">
                  <w:pPr>
                    <w:spacing w:after="0"/>
                    <w:jc w:val="center"/>
                    <w:rPr>
                      <w:rFonts w:eastAsia="Times New Roman" w:cs="Arial"/>
                      <w:b/>
                      <w:bCs/>
                      <w:i/>
                      <w:iCs/>
                      <w:szCs w:val="20"/>
                    </w:rPr>
                  </w:pPr>
                  <w:r w:rsidRPr="00211817">
                    <w:rPr>
                      <w:rFonts w:eastAsia="Times New Roman" w:cs="Arial"/>
                      <w:b/>
                      <w:bCs/>
                      <w:i/>
                      <w:iCs/>
                      <w:szCs w:val="20"/>
                    </w:rPr>
                    <w:t>AI</w:t>
                  </w:r>
                </w:p>
              </w:tc>
            </w:tr>
            <w:tr w:rsidR="00036214" w:rsidRPr="00211817" w14:paraId="144D5C91" w14:textId="77777777" w:rsidTr="00175AC7">
              <w:tc>
                <w:tcPr>
                  <w:tcW w:w="2277" w:type="dxa"/>
                </w:tcPr>
                <w:p w14:paraId="3CF01EE9" w14:textId="77777777" w:rsidR="00036214" w:rsidRPr="00211817" w:rsidRDefault="00036214">
                  <w:pPr>
                    <w:spacing w:after="0"/>
                    <w:rPr>
                      <w:rFonts w:eastAsia="Times New Roman" w:cs="Arial"/>
                      <w:b/>
                      <w:bCs/>
                      <w:i/>
                      <w:iCs/>
                      <w:szCs w:val="20"/>
                    </w:rPr>
                  </w:pPr>
                  <w:r w:rsidRPr="00211817">
                    <w:rPr>
                      <w:rFonts w:eastAsia="Times New Roman" w:cs="Arial"/>
                      <w:b/>
                      <w:bCs/>
                      <w:i/>
                      <w:iCs/>
                      <w:szCs w:val="20"/>
                    </w:rPr>
                    <w:t>Lactation</w:t>
                  </w:r>
                </w:p>
              </w:tc>
              <w:tc>
                <w:tcPr>
                  <w:tcW w:w="1475" w:type="dxa"/>
                </w:tcPr>
                <w:p w14:paraId="62DEB186" w14:textId="77777777" w:rsidR="00036214" w:rsidRPr="00211817" w:rsidRDefault="00036214">
                  <w:pPr>
                    <w:spacing w:after="0"/>
                    <w:rPr>
                      <w:rFonts w:eastAsia="Times New Roman" w:cs="Arial"/>
                      <w:i/>
                      <w:iCs/>
                      <w:szCs w:val="20"/>
                    </w:rPr>
                  </w:pPr>
                  <w:r w:rsidRPr="00211817">
                    <w:rPr>
                      <w:rFonts w:eastAsia="Times New Roman" w:cs="Arial"/>
                      <w:i/>
                      <w:iCs/>
                      <w:szCs w:val="20"/>
                    </w:rPr>
                    <w:t xml:space="preserve">270 </w:t>
                  </w:r>
                  <w:proofErr w:type="spellStart"/>
                  <w:r w:rsidRPr="00211817">
                    <w:rPr>
                      <w:rFonts w:eastAsia="Times New Roman" w:cs="Arial"/>
                      <w:i/>
                      <w:iCs/>
                      <w:szCs w:val="20"/>
                    </w:rPr>
                    <w:t>μg</w:t>
                  </w:r>
                  <w:proofErr w:type="spellEnd"/>
                  <w:r w:rsidRPr="00211817">
                    <w:rPr>
                      <w:rFonts w:eastAsia="Times New Roman" w:cs="Arial"/>
                      <w:i/>
                      <w:iCs/>
                      <w:szCs w:val="20"/>
                    </w:rPr>
                    <w:t>/day</w:t>
                  </w:r>
                </w:p>
              </w:tc>
            </w:tr>
          </w:tbl>
          <w:p w14:paraId="76E4D5F4" w14:textId="77777777" w:rsidR="00036214" w:rsidRPr="00211817" w:rsidRDefault="00036214">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highlight w:val="yellow"/>
              </w:rPr>
            </w:pPr>
          </w:p>
        </w:tc>
      </w:tr>
      <w:tr w:rsidR="00036214" w:rsidRPr="00211817" w14:paraId="566A9362" w14:textId="77777777">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tcPr>
          <w:p w14:paraId="0B4476C5" w14:textId="77777777" w:rsidR="00036214" w:rsidRPr="00211817" w:rsidRDefault="00036214">
            <w:pPr>
              <w:rPr>
                <w:rFonts w:eastAsia="Times New Roman" w:cs="Arial"/>
                <w:szCs w:val="20"/>
              </w:rPr>
            </w:pPr>
            <w:r w:rsidRPr="00211817">
              <w:rPr>
                <w:rFonts w:eastAsia="Times New Roman" w:cs="Arial"/>
                <w:szCs w:val="20"/>
              </w:rPr>
              <w:t>Health evidence profile and supporting information</w:t>
            </w:r>
          </w:p>
        </w:tc>
        <w:tc>
          <w:tcPr>
            <w:tcW w:w="5953" w:type="dxa"/>
            <w:tcBorders>
              <w:left w:val="single" w:sz="4" w:space="0" w:color="77BCD9"/>
            </w:tcBorders>
          </w:tcPr>
          <w:p w14:paraId="5C8D2ABF"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 xml:space="preserve">The current (2006) EAR during lactation was set at 190 </w:t>
            </w:r>
            <w:proofErr w:type="spellStart"/>
            <w:r w:rsidRPr="00211817">
              <w:rPr>
                <w:rFonts w:eastAsia="Arial" w:cs="Times New Roman"/>
                <w:szCs w:val="20"/>
              </w:rPr>
              <w:t>μg</w:t>
            </w:r>
            <w:proofErr w:type="spellEnd"/>
            <w:r w:rsidRPr="00211817">
              <w:rPr>
                <w:rFonts w:eastAsia="Arial" w:cs="Times New Roman"/>
                <w:szCs w:val="20"/>
              </w:rPr>
              <w:t xml:space="preserve">/day, based on the adult EAR (100 </w:t>
            </w:r>
            <w:proofErr w:type="spellStart"/>
            <w:r w:rsidRPr="00211817">
              <w:rPr>
                <w:rFonts w:eastAsia="Arial" w:cs="Times New Roman"/>
                <w:szCs w:val="20"/>
              </w:rPr>
              <w:t>μg</w:t>
            </w:r>
            <w:proofErr w:type="spellEnd"/>
            <w:r w:rsidRPr="00211817">
              <w:rPr>
                <w:rFonts w:eastAsia="Arial" w:cs="Times New Roman"/>
                <w:szCs w:val="20"/>
              </w:rPr>
              <w:t xml:space="preserve">/day) plus replacement of iodine secreted in breast milk estimated at 90 </w:t>
            </w:r>
            <w:proofErr w:type="spellStart"/>
            <w:r w:rsidRPr="00211817">
              <w:rPr>
                <w:rFonts w:eastAsia="Arial" w:cs="Times New Roman"/>
                <w:szCs w:val="20"/>
              </w:rPr>
              <w:t>μg</w:t>
            </w:r>
            <w:proofErr w:type="spellEnd"/>
            <w:r w:rsidRPr="00211817">
              <w:rPr>
                <w:rFonts w:eastAsia="Arial" w:cs="Times New Roman"/>
                <w:szCs w:val="20"/>
              </w:rPr>
              <w:t xml:space="preserve">/day. The replacement value of 90 </w:t>
            </w:r>
            <w:proofErr w:type="spellStart"/>
            <w:r w:rsidRPr="00211817">
              <w:rPr>
                <w:rFonts w:eastAsia="Arial" w:cs="Times New Roman"/>
                <w:szCs w:val="20"/>
              </w:rPr>
              <w:t>μg</w:t>
            </w:r>
            <w:proofErr w:type="spellEnd"/>
            <w:r w:rsidRPr="00211817">
              <w:rPr>
                <w:rFonts w:eastAsia="Arial" w:cs="Times New Roman"/>
                <w:szCs w:val="20"/>
              </w:rPr>
              <w:t xml:space="preserve">/day was lower than the 114 </w:t>
            </w:r>
            <w:proofErr w:type="spellStart"/>
            <w:r w:rsidRPr="00211817">
              <w:rPr>
                <w:rFonts w:eastAsia="Arial" w:cs="Times New Roman"/>
                <w:szCs w:val="20"/>
              </w:rPr>
              <w:t>μg</w:t>
            </w:r>
            <w:proofErr w:type="spellEnd"/>
            <w:r w:rsidRPr="00211817">
              <w:rPr>
                <w:rFonts w:eastAsia="Arial" w:cs="Times New Roman"/>
                <w:szCs w:val="20"/>
              </w:rPr>
              <w:t xml:space="preserve">/day estimated by the US IOM (based on </w:t>
            </w:r>
            <w:proofErr w:type="spellStart"/>
            <w:r w:rsidRPr="00211817">
              <w:rPr>
                <w:rFonts w:eastAsia="Arial" w:cs="Times New Roman"/>
                <w:szCs w:val="20"/>
              </w:rPr>
              <w:t>Gushurst</w:t>
            </w:r>
            <w:proofErr w:type="spellEnd"/>
            <w:r w:rsidRPr="00211817">
              <w:rPr>
                <w:rFonts w:eastAsia="Arial" w:cs="Times New Roman"/>
                <w:szCs w:val="20"/>
              </w:rPr>
              <w:t xml:space="preserve"> et al 1984) as the panel considered a broader range of studies on the topic (Delange e al 1984, </w:t>
            </w:r>
            <w:proofErr w:type="spellStart"/>
            <w:r w:rsidRPr="00211817">
              <w:rPr>
                <w:rFonts w:eastAsia="Arial" w:cs="Times New Roman"/>
                <w:szCs w:val="20"/>
              </w:rPr>
              <w:t>Gushurst</w:t>
            </w:r>
            <w:proofErr w:type="spellEnd"/>
            <w:r w:rsidRPr="00211817">
              <w:rPr>
                <w:rFonts w:eastAsia="Arial" w:cs="Times New Roman"/>
                <w:szCs w:val="20"/>
              </w:rPr>
              <w:t xml:space="preserve"> et al 1984, </w:t>
            </w:r>
            <w:proofErr w:type="gramStart"/>
            <w:r w:rsidRPr="00211817">
              <w:rPr>
                <w:rFonts w:eastAsia="Arial" w:cs="Times New Roman"/>
                <w:szCs w:val="20"/>
              </w:rPr>
              <w:t>FAO:WHO</w:t>
            </w:r>
            <w:proofErr w:type="gramEnd"/>
            <w:r w:rsidRPr="00211817">
              <w:rPr>
                <w:rFonts w:eastAsia="Arial" w:cs="Times New Roman"/>
                <w:szCs w:val="20"/>
              </w:rPr>
              <w:t xml:space="preserve"> 2001, Johnson et al 1990). The RDI was set at 270 </w:t>
            </w:r>
            <w:proofErr w:type="spellStart"/>
            <w:r w:rsidRPr="00211817">
              <w:rPr>
                <w:rFonts w:eastAsia="Arial" w:cs="Times New Roman"/>
                <w:szCs w:val="20"/>
              </w:rPr>
              <w:t>μg</w:t>
            </w:r>
            <w:proofErr w:type="spellEnd"/>
            <w:r w:rsidRPr="00211817">
              <w:rPr>
                <w:rFonts w:eastAsia="Arial" w:cs="Times New Roman"/>
                <w:szCs w:val="20"/>
              </w:rPr>
              <w:t xml:space="preserve">/day assuming a CV of 20% for the EAR. </w:t>
            </w:r>
          </w:p>
          <w:p w14:paraId="2EADD0A8"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A 2018 systematic review concluded that a breast milk iodine concentration (BMIC) of 150 </w:t>
            </w:r>
            <w:proofErr w:type="spellStart"/>
            <w:r w:rsidRPr="00211817">
              <w:rPr>
                <w:rFonts w:eastAsia="Arial" w:cs="Times New Roman"/>
                <w:szCs w:val="20"/>
              </w:rPr>
              <w:t>μg</w:t>
            </w:r>
            <w:proofErr w:type="spellEnd"/>
            <w:r w:rsidRPr="00211817">
              <w:rPr>
                <w:rFonts w:eastAsia="Arial" w:cs="Times New Roman"/>
                <w:szCs w:val="20"/>
              </w:rPr>
              <w:t xml:space="preserve">/L would meet- and potentially exceed - infant requirements in the first 6 months of lactation (Dror &amp; Allen 2018). This finding </w:t>
            </w:r>
            <w:r w:rsidRPr="00211817">
              <w:rPr>
                <w:rFonts w:eastAsia="Arial" w:cs="Times New Roman"/>
                <w:szCs w:val="20"/>
              </w:rPr>
              <w:lastRenderedPageBreak/>
              <w:t xml:space="preserve">supports the conclusions of EFSA (2014) which suggested that positive balance was reached with BMIC between 100 and 200 µg/L. Assuming an average breast milk volume of 0.8 L/day, an additional 120 µg/day of iodine would be required to achieve BMIC of 150 </w:t>
            </w:r>
            <w:proofErr w:type="spellStart"/>
            <w:r w:rsidRPr="00211817">
              <w:rPr>
                <w:rFonts w:eastAsia="Arial" w:cs="Times New Roman"/>
                <w:szCs w:val="20"/>
              </w:rPr>
              <w:t>μg</w:t>
            </w:r>
            <w:proofErr w:type="spellEnd"/>
            <w:r w:rsidRPr="00211817">
              <w:rPr>
                <w:rFonts w:eastAsia="Arial" w:cs="Times New Roman"/>
                <w:szCs w:val="20"/>
              </w:rPr>
              <w:t>/L.</w:t>
            </w:r>
          </w:p>
          <w:p w14:paraId="5D2A8CC1"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A 2014 study found that lactating women with a BMIC of 112 µg/L had median UIE of 87µg/L, putting them below the 100 µg/L threshold for sufficiency (Andersen et al 2014). Based on this finding, and assuming an average breast milk volume of 0.8 L/day, EFSA (2014) estimated daily losses to be 90 µg/day.</w:t>
            </w:r>
          </w:p>
          <w:p w14:paraId="4466AC25"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 xml:space="preserve">A 2016 crossover study examining iodine balance in 11 healthy, formula-fed infants aged 2 to 5 months found that null balance occurred with intakes of 70 </w:t>
            </w:r>
            <w:proofErr w:type="spellStart"/>
            <w:r w:rsidRPr="00211817">
              <w:rPr>
                <w:rFonts w:eastAsia="Arial" w:cs="Times New Roman"/>
                <w:szCs w:val="20"/>
              </w:rPr>
              <w:t>μg</w:t>
            </w:r>
            <w:proofErr w:type="spellEnd"/>
            <w:r w:rsidRPr="00211817">
              <w:rPr>
                <w:rFonts w:eastAsia="Arial" w:cs="Times New Roman"/>
                <w:szCs w:val="20"/>
              </w:rPr>
              <w:t>/day (Dold et al 2016). However, it has been suggested that intakes should exceed that required for nutritional adequacy of infants during this life stage, to support accumulation of thyroidal iodine stores (Dror &amp; Allen 2018). Furthermore, the small sample size of this study may not adequately account for individual variability in requirements.</w:t>
            </w:r>
          </w:p>
          <w:p w14:paraId="31E6CDBA"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 xml:space="preserve">Collectively, these studies suggest an additional requirement of 90-120 </w:t>
            </w:r>
            <w:proofErr w:type="spellStart"/>
            <w:r w:rsidRPr="00211817">
              <w:rPr>
                <w:rFonts w:eastAsia="Arial" w:cs="Times New Roman"/>
                <w:szCs w:val="20"/>
              </w:rPr>
              <w:t>μg</w:t>
            </w:r>
            <w:proofErr w:type="spellEnd"/>
            <w:r w:rsidRPr="00211817">
              <w:rPr>
                <w:rFonts w:eastAsia="Arial" w:cs="Times New Roman"/>
                <w:szCs w:val="20"/>
              </w:rPr>
              <w:t xml:space="preserve">/day to account for iodine losses through breast milk. In adequate populations, large stores of iodine </w:t>
            </w:r>
            <w:proofErr w:type="gramStart"/>
            <w:r w:rsidRPr="00211817">
              <w:rPr>
                <w:rFonts w:eastAsia="Arial" w:cs="Times New Roman"/>
                <w:szCs w:val="20"/>
              </w:rPr>
              <w:t>exist</w:t>
            </w:r>
            <w:proofErr w:type="gramEnd"/>
            <w:r w:rsidRPr="00211817">
              <w:rPr>
                <w:rFonts w:eastAsia="Arial" w:cs="Times New Roman"/>
                <w:szCs w:val="20"/>
              </w:rPr>
              <w:t xml:space="preserve"> and intake is not required to fully compensate for iodine losses in breast milk. However, in Australia and New Zealand mild population deficiency persists in females of reproductive age. Consequently, adequate status should not be presumed, and recommendations may need to approach full replacement of losses to avoid deficiency states.</w:t>
            </w:r>
          </w:p>
          <w:p w14:paraId="7E6F1A94"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highlight w:val="yellow"/>
              </w:rPr>
            </w:pPr>
            <w:r w:rsidRPr="00211817">
              <w:rPr>
                <w:rFonts w:eastAsia="Arial" w:cs="Times New Roman"/>
                <w:szCs w:val="20"/>
              </w:rPr>
              <w:t xml:space="preserve">While there is uncertainty around the evidence, additional data supports maintaining an EAR of 190 </w:t>
            </w:r>
            <w:proofErr w:type="spellStart"/>
            <w:r w:rsidRPr="00211817">
              <w:rPr>
                <w:rFonts w:eastAsia="Arial" w:cs="Times New Roman"/>
                <w:szCs w:val="20"/>
              </w:rPr>
              <w:t>μg</w:t>
            </w:r>
            <w:proofErr w:type="spellEnd"/>
            <w:r w:rsidRPr="00211817">
              <w:rPr>
                <w:rFonts w:eastAsia="Arial" w:cs="Times New Roman"/>
                <w:szCs w:val="20"/>
              </w:rPr>
              <w:t>/day and RDI of 270 </w:t>
            </w:r>
            <w:proofErr w:type="spellStart"/>
            <w:r w:rsidRPr="00211817">
              <w:rPr>
                <w:rFonts w:eastAsia="Arial" w:cs="Times New Roman"/>
                <w:szCs w:val="20"/>
              </w:rPr>
              <w:t>μg</w:t>
            </w:r>
            <w:proofErr w:type="spellEnd"/>
            <w:r w:rsidRPr="00211817">
              <w:rPr>
                <w:rFonts w:eastAsia="Arial" w:cs="Times New Roman"/>
                <w:szCs w:val="20"/>
              </w:rPr>
              <w:t>/day.</w:t>
            </w:r>
          </w:p>
        </w:tc>
        <w:tc>
          <w:tcPr>
            <w:tcW w:w="6804" w:type="dxa"/>
          </w:tcPr>
          <w:p w14:paraId="075BA0F2"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Times New Roman" w:cs="Times New Roman"/>
                <w:szCs w:val="20"/>
              </w:rPr>
              <w:lastRenderedPageBreak/>
              <w:t>There</w:t>
            </w:r>
            <w:r w:rsidRPr="00211817">
              <w:rPr>
                <w:rFonts w:eastAsia="Arial" w:cs="Times New Roman"/>
                <w:szCs w:val="20"/>
              </w:rPr>
              <w:t xml:space="preserve"> is no established reference range for breast milk iodine concentration (BMIC). A 2018 systematic review found significant variation in BMIC is noted both between populations, and over the course of lactation (Dror &amp; Allen 2018). It concluded that a BMIC of 150 </w:t>
            </w:r>
            <w:proofErr w:type="spellStart"/>
            <w:r w:rsidRPr="00211817">
              <w:rPr>
                <w:rFonts w:eastAsia="Arial" w:cs="Times New Roman"/>
                <w:szCs w:val="20"/>
              </w:rPr>
              <w:t>μg</w:t>
            </w:r>
            <w:proofErr w:type="spellEnd"/>
            <w:r w:rsidRPr="00211817">
              <w:rPr>
                <w:rFonts w:eastAsia="Arial" w:cs="Times New Roman"/>
                <w:szCs w:val="20"/>
              </w:rPr>
              <w:t xml:space="preserve">/L would meet- and potentially exceed - infant requirements in the first 6 months of lactation. This finding supports the conclusions of EFSA (2014) which suggested that positive balance was reached with BMIC between 100 and 200 µg/L. Assuming an average breast milk volume of 0.8 L/day, an additional 120 µg/day of iodine would be required to achieve BMIC of 150 </w:t>
            </w:r>
            <w:proofErr w:type="spellStart"/>
            <w:r w:rsidRPr="00211817">
              <w:rPr>
                <w:rFonts w:eastAsia="Arial" w:cs="Times New Roman"/>
                <w:szCs w:val="20"/>
              </w:rPr>
              <w:t>μg</w:t>
            </w:r>
            <w:proofErr w:type="spellEnd"/>
            <w:r w:rsidRPr="00211817">
              <w:rPr>
                <w:rFonts w:eastAsia="Arial" w:cs="Times New Roman"/>
                <w:szCs w:val="20"/>
              </w:rPr>
              <w:t>/L.</w:t>
            </w:r>
          </w:p>
          <w:p w14:paraId="613A1D15"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 xml:space="preserve">A 2014 study found that lactating women with a BMIC of 112 µg/L had median UIE of 87µg/L, putting them below the 100 µg/L threshold for sufficiency (Andersen et al 2014). Based on this </w:t>
            </w:r>
            <w:r w:rsidRPr="00211817">
              <w:rPr>
                <w:rFonts w:eastAsia="Arial" w:cs="Times New Roman"/>
                <w:szCs w:val="20"/>
              </w:rPr>
              <w:lastRenderedPageBreak/>
              <w:t>finding, and assuming an average breast milk volume of 0.8 L/day, EFSA (2014) estimated daily losses to be 90 µg/day.</w:t>
            </w:r>
          </w:p>
          <w:p w14:paraId="0D7A9F2D"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 xml:space="preserve">A 2016 crossover study examining iodine balance in 11 healthy, formula-fed infants aged 2 to 5 months found that null balance occurred with intakes of 70 </w:t>
            </w:r>
            <w:proofErr w:type="spellStart"/>
            <w:r w:rsidRPr="00211817">
              <w:rPr>
                <w:rFonts w:eastAsia="Arial" w:cs="Times New Roman"/>
                <w:szCs w:val="20"/>
              </w:rPr>
              <w:t>μg</w:t>
            </w:r>
            <w:proofErr w:type="spellEnd"/>
            <w:r w:rsidRPr="00211817">
              <w:rPr>
                <w:rFonts w:eastAsia="Arial" w:cs="Times New Roman"/>
                <w:szCs w:val="20"/>
              </w:rPr>
              <w:t>/day (Dold et al 2016). However, it has been suggested that intakes should exceed that required for nutritional adequacy of infants during this life stage, to support accumulation of thyroidal iodine stores (Dror &amp; Allen 2018). Furthermore, the small sample size of this study may not adequately account for individual variability in requirements.</w:t>
            </w:r>
          </w:p>
          <w:p w14:paraId="34392E15"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Arial" w:cs="Times New Roman"/>
                <w:szCs w:val="20"/>
              </w:rPr>
              <w:t>Collectively, these studies suggest an additional requirement of 90-120 </w:t>
            </w:r>
            <w:proofErr w:type="spellStart"/>
            <w:r w:rsidRPr="00211817">
              <w:rPr>
                <w:rFonts w:eastAsia="Arial" w:cs="Times New Roman"/>
                <w:szCs w:val="20"/>
              </w:rPr>
              <w:t>μg</w:t>
            </w:r>
            <w:proofErr w:type="spellEnd"/>
            <w:r w:rsidRPr="00211817">
              <w:rPr>
                <w:rFonts w:eastAsia="Arial" w:cs="Times New Roman"/>
                <w:szCs w:val="20"/>
              </w:rPr>
              <w:t xml:space="preserve">/day to account for iodine losses through breast milk. In adequate populations, large stores of iodine </w:t>
            </w:r>
            <w:proofErr w:type="gramStart"/>
            <w:r w:rsidRPr="00211817">
              <w:rPr>
                <w:rFonts w:eastAsia="Arial" w:cs="Times New Roman"/>
                <w:szCs w:val="20"/>
              </w:rPr>
              <w:t>exist</w:t>
            </w:r>
            <w:proofErr w:type="gramEnd"/>
            <w:r w:rsidRPr="00211817">
              <w:rPr>
                <w:rFonts w:eastAsia="Arial" w:cs="Times New Roman"/>
                <w:szCs w:val="20"/>
              </w:rPr>
              <w:t xml:space="preserve"> and intake is not required to fully compensate for iodine losses in breast milk. However, in Australia and New Zealand mild population deficiency persists in females of reproductive age. Consequently, adequate status should not be presumed, and recommendations may need to approach full replacement of losses to avoid deficiency states.</w:t>
            </w:r>
          </w:p>
          <w:p w14:paraId="10A99FF7"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Times New Roman" w:cs="Times New Roman"/>
                <w:szCs w:val="20"/>
              </w:rPr>
              <w:t xml:space="preserve">On this basis, an AI of 270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can be estimated by adding an additional 120 </w:t>
            </w:r>
            <w:proofErr w:type="spellStart"/>
            <w:r w:rsidRPr="00211817">
              <w:rPr>
                <w:rFonts w:eastAsia="Times New Roman" w:cs="Times New Roman"/>
                <w:szCs w:val="20"/>
              </w:rPr>
              <w:t>μg</w:t>
            </w:r>
            <w:proofErr w:type="spellEnd"/>
            <w:r w:rsidRPr="00211817">
              <w:rPr>
                <w:rFonts w:eastAsia="Times New Roman" w:cs="Times New Roman"/>
                <w:szCs w:val="20"/>
              </w:rPr>
              <w:t xml:space="preserve">/day to the adult AI of 150 </w:t>
            </w:r>
            <w:proofErr w:type="spellStart"/>
            <w:r w:rsidRPr="00211817">
              <w:rPr>
                <w:rFonts w:eastAsia="Times New Roman" w:cs="Times New Roman"/>
                <w:szCs w:val="20"/>
              </w:rPr>
              <w:t>μg</w:t>
            </w:r>
            <w:proofErr w:type="spellEnd"/>
            <w:r w:rsidRPr="00211817">
              <w:rPr>
                <w:rFonts w:eastAsia="Times New Roman" w:cs="Times New Roman"/>
                <w:szCs w:val="20"/>
              </w:rPr>
              <w:t>/day.</w:t>
            </w:r>
          </w:p>
        </w:tc>
      </w:tr>
      <w:tr w:rsidR="00036214" w:rsidRPr="00211817" w14:paraId="1AEBD4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tcPr>
          <w:p w14:paraId="51A4E979" w14:textId="77777777" w:rsidR="00036214" w:rsidRPr="00211817" w:rsidRDefault="00036214">
            <w:pPr>
              <w:rPr>
                <w:rFonts w:eastAsia="Times New Roman" w:cs="Arial"/>
                <w:szCs w:val="20"/>
              </w:rPr>
            </w:pPr>
            <w:r w:rsidRPr="00211817">
              <w:rPr>
                <w:rFonts w:eastAsia="Times New Roman" w:cs="Arial"/>
                <w:szCs w:val="20"/>
              </w:rPr>
              <w:lastRenderedPageBreak/>
              <w:t xml:space="preserve">Iodine exposure in Australia and New Zealand </w:t>
            </w:r>
          </w:p>
        </w:tc>
        <w:tc>
          <w:tcPr>
            <w:tcW w:w="12757" w:type="dxa"/>
            <w:gridSpan w:val="2"/>
            <w:tcBorders>
              <w:left w:val="single" w:sz="4" w:space="0" w:color="77BCD9"/>
            </w:tcBorders>
          </w:tcPr>
          <w:p w14:paraId="3E9D9CC0" w14:textId="77777777" w:rsidR="00036214" w:rsidRPr="00211817" w:rsidRDefault="00036214">
            <w:pPr>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211817">
              <w:rPr>
                <w:rFonts w:eastAsia="Arial" w:cs="Times New Roman"/>
                <w:szCs w:val="20"/>
              </w:rPr>
              <w:t xml:space="preserve">In Australia, the 2011-12 NHMS reported median UIC for pregnant and breastfeeding women aged 16-44 years of 116 </w:t>
            </w:r>
            <w:proofErr w:type="spellStart"/>
            <w:r w:rsidRPr="00211817">
              <w:rPr>
                <w:rFonts w:eastAsia="Arial" w:cs="Times New Roman"/>
                <w:szCs w:val="20"/>
              </w:rPr>
              <w:t>μg</w:t>
            </w:r>
            <w:proofErr w:type="spellEnd"/>
            <w:r w:rsidRPr="00211817">
              <w:rPr>
                <w:rFonts w:eastAsia="Arial" w:cs="Times New Roman"/>
                <w:szCs w:val="20"/>
              </w:rPr>
              <w:t>/L and 103 </w:t>
            </w:r>
            <w:proofErr w:type="spellStart"/>
            <w:r w:rsidRPr="00211817">
              <w:rPr>
                <w:rFonts w:eastAsia="Arial" w:cs="Times New Roman"/>
                <w:szCs w:val="20"/>
              </w:rPr>
              <w:t>μg</w:t>
            </w:r>
            <w:proofErr w:type="spellEnd"/>
            <w:r w:rsidRPr="00211817">
              <w:rPr>
                <w:rFonts w:eastAsia="Arial" w:cs="Times New Roman"/>
                <w:szCs w:val="20"/>
              </w:rPr>
              <w:t xml:space="preserve">/L respectively (ABS, 2013). These values were lower than the median UIC for all Australian women of that age reported in the 2011-12 NHMS (121 </w:t>
            </w:r>
            <w:proofErr w:type="spellStart"/>
            <w:r w:rsidRPr="00211817">
              <w:rPr>
                <w:rFonts w:eastAsia="Arial" w:cs="Times New Roman"/>
                <w:szCs w:val="20"/>
              </w:rPr>
              <w:t>μg</w:t>
            </w:r>
            <w:proofErr w:type="spellEnd"/>
            <w:r w:rsidRPr="00211817">
              <w:rPr>
                <w:rFonts w:eastAsia="Arial" w:cs="Times New Roman"/>
                <w:szCs w:val="20"/>
              </w:rPr>
              <w:t xml:space="preserve">/L) and are indicative of insufficient intakes during pregnancy under WHO criteria (WHO, 2013). However, the WHO criteria specify median UIC </w:t>
            </w:r>
            <w:r w:rsidRPr="00211817">
              <w:rPr>
                <w:rFonts w:ascii="Cambria Math" w:eastAsia="Arial" w:hAnsi="Cambria Math" w:cs="Cambria Math"/>
                <w:szCs w:val="20"/>
              </w:rPr>
              <w:t>≥</w:t>
            </w:r>
            <w:r w:rsidRPr="00211817">
              <w:rPr>
                <w:rFonts w:eastAsia="Arial" w:cs="Times New Roman"/>
                <w:szCs w:val="20"/>
              </w:rPr>
              <w:t xml:space="preserve">100 </w:t>
            </w:r>
            <w:proofErr w:type="spellStart"/>
            <w:r w:rsidRPr="00211817">
              <w:rPr>
                <w:rFonts w:eastAsia="Arial" w:cs="Times New Roman"/>
                <w:szCs w:val="20"/>
              </w:rPr>
              <w:t>μg</w:t>
            </w:r>
            <w:proofErr w:type="spellEnd"/>
            <w:r w:rsidRPr="00211817">
              <w:rPr>
                <w:rFonts w:eastAsia="Arial" w:cs="Times New Roman"/>
                <w:szCs w:val="20"/>
              </w:rPr>
              <w:t xml:space="preserve">/L as sufficient, and consequently the data suggest sufficiency within lactating women. However, the grouping of this population along with pregnant women makes it difficult to determine population status with accuracy. </w:t>
            </w:r>
          </w:p>
          <w:p w14:paraId="3F934AC4" w14:textId="77777777" w:rsidR="00036214" w:rsidRPr="00211817" w:rsidRDefault="00036214">
            <w:pPr>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211817">
              <w:rPr>
                <w:rFonts w:eastAsia="Arial" w:cs="Times New Roman"/>
                <w:szCs w:val="20"/>
              </w:rPr>
              <w:t xml:space="preserve">Contemporary national data in lactating cohorts are lacking, although the 2023 NNPAS survey (ABS 2025c) reported mean intakes among non-pregnant females of child-bearing age of 145 µg/day for </w:t>
            </w:r>
            <w:proofErr w:type="gramStart"/>
            <w:r w:rsidRPr="00211817">
              <w:rPr>
                <w:rFonts w:eastAsia="Arial" w:cs="Times New Roman"/>
                <w:szCs w:val="20"/>
              </w:rPr>
              <w:t>18-29 year-olds</w:t>
            </w:r>
            <w:proofErr w:type="gramEnd"/>
            <w:r w:rsidRPr="00211817">
              <w:rPr>
                <w:rFonts w:eastAsia="Arial" w:cs="Times New Roman"/>
                <w:szCs w:val="20"/>
              </w:rPr>
              <w:t xml:space="preserve"> and 160 µg/day for </w:t>
            </w:r>
            <w:proofErr w:type="gramStart"/>
            <w:r w:rsidRPr="00211817">
              <w:rPr>
                <w:rFonts w:eastAsia="Arial" w:cs="Times New Roman"/>
                <w:szCs w:val="20"/>
              </w:rPr>
              <w:t>30-49 year-olds</w:t>
            </w:r>
            <w:proofErr w:type="gramEnd"/>
            <w:r w:rsidRPr="00211817">
              <w:rPr>
                <w:rFonts w:eastAsia="Arial" w:cs="Times New Roman"/>
                <w:szCs w:val="20"/>
              </w:rPr>
              <w:t xml:space="preserve"> respectively (2023 NNPAS data for pregnant cohorts are not available). Data from the 2022-24 NHMS suggests mild population deficiency in reproductive-age females aged 25 to 34 years and 35 to 44 years (ABS, 2025a). </w:t>
            </w:r>
          </w:p>
          <w:p w14:paraId="10A812F4" w14:textId="77777777" w:rsidR="00036214" w:rsidRPr="00211817" w:rsidRDefault="00036214">
            <w:pPr>
              <w:cnfStyle w:val="000000100000" w:firstRow="0" w:lastRow="0" w:firstColumn="0" w:lastColumn="0" w:oddVBand="0" w:evenVBand="0" w:oddHBand="1" w:evenHBand="0" w:firstRowFirstColumn="0" w:firstRowLastColumn="0" w:lastRowFirstColumn="0" w:lastRowLastColumn="0"/>
              <w:rPr>
                <w:rFonts w:eastAsia="Arial" w:cs="Times New Roman"/>
                <w:szCs w:val="20"/>
                <w:highlight w:val="yellow"/>
              </w:rPr>
            </w:pPr>
            <w:r w:rsidRPr="00211817">
              <w:rPr>
                <w:rFonts w:eastAsia="Arial" w:cs="Times New Roman"/>
                <w:szCs w:val="20"/>
              </w:rPr>
              <w:t xml:space="preserve">Studies have also suggested deficiencies in the knowledge of - and adherence to - recommendations for iodine supplementation during pregnancy amongst Australians and New Zealanders (El-mani et al 2014, Lucas et al 2014, Martin et al 2014, Malek et al 2016, Guess et al 2017, Hine et al 2018, Reynolds and </w:t>
            </w:r>
            <w:proofErr w:type="spellStart"/>
            <w:r w:rsidRPr="00211817">
              <w:rPr>
                <w:rFonts w:eastAsia="Arial" w:cs="Times New Roman"/>
                <w:szCs w:val="20"/>
              </w:rPr>
              <w:t>Skeaff</w:t>
            </w:r>
            <w:proofErr w:type="spellEnd"/>
            <w:r w:rsidRPr="00211817">
              <w:rPr>
                <w:rFonts w:eastAsia="Arial" w:cs="Times New Roman"/>
                <w:szCs w:val="20"/>
              </w:rPr>
              <w:t xml:space="preserve"> 2017). </w:t>
            </w:r>
          </w:p>
        </w:tc>
      </w:tr>
      <w:tr w:rsidR="00036214" w:rsidRPr="00211817" w14:paraId="0374AB1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tcPr>
          <w:p w14:paraId="64493B51" w14:textId="77777777" w:rsidR="00036214" w:rsidRPr="00211817" w:rsidRDefault="00036214">
            <w:pPr>
              <w:rPr>
                <w:rFonts w:eastAsia="Times New Roman" w:cs="Arial"/>
                <w:szCs w:val="20"/>
              </w:rPr>
            </w:pPr>
            <w:r w:rsidRPr="00211817">
              <w:rPr>
                <w:rFonts w:eastAsia="Times New Roman" w:cs="Arial"/>
                <w:szCs w:val="20"/>
              </w:rPr>
              <w:t>Benchmarking against comparable international jurisdictions</w:t>
            </w:r>
          </w:p>
        </w:tc>
        <w:tc>
          <w:tcPr>
            <w:tcW w:w="12757" w:type="dxa"/>
            <w:gridSpan w:val="2"/>
            <w:tcBorders>
              <w:left w:val="single" w:sz="4" w:space="0" w:color="77BCD9"/>
            </w:tcBorders>
          </w:tcPr>
          <w:p w14:paraId="687584EA"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211817">
              <w:rPr>
                <w:rFonts w:eastAsia="Times New Roman" w:cs="Times New Roman"/>
                <w:szCs w:val="20"/>
              </w:rPr>
              <w:t>Table 6 shows NRV recommendations for comparable international jurisdictions. Where a jurisdiction specifies an EAR and RDI, the RDI has been extracted for comparison purposes.</w:t>
            </w:r>
          </w:p>
          <w:p w14:paraId="7F78F3D3" w14:textId="77777777" w:rsidR="00036214" w:rsidRPr="00211817" w:rsidRDefault="00036214">
            <w:pPr>
              <w:keepNext/>
              <w:spacing w:after="200"/>
              <w:cnfStyle w:val="000000010000" w:firstRow="0" w:lastRow="0" w:firstColumn="0" w:lastColumn="0" w:oddVBand="0" w:evenVBand="0" w:oddHBand="0" w:evenHBand="1" w:firstRowFirstColumn="0" w:firstRowLastColumn="0" w:lastRowFirstColumn="0" w:lastRowLastColumn="0"/>
              <w:rPr>
                <w:rFonts w:eastAsia="Arial" w:cs="Times New Roman"/>
                <w:iCs/>
                <w:caps/>
                <w:szCs w:val="20"/>
              </w:rPr>
            </w:pPr>
            <w:r w:rsidRPr="00211817">
              <w:rPr>
                <w:rFonts w:eastAsia="Arial" w:cs="Times New Roman"/>
                <w:iCs/>
                <w:caps/>
                <w:szCs w:val="20"/>
              </w:rPr>
              <w:t>Table 6 - PREGNANCY IODINE REQUIREMENT RECOMMENDATIONS ACROSS COMPARABLE JURISDICTIONS</w:t>
            </w: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418"/>
              <w:gridCol w:w="1559"/>
              <w:gridCol w:w="1276"/>
              <w:gridCol w:w="1276"/>
              <w:gridCol w:w="1417"/>
              <w:gridCol w:w="1276"/>
            </w:tblGrid>
            <w:tr w:rsidR="00036214" w:rsidRPr="00211817" w14:paraId="35E01967" w14:textId="77777777">
              <w:trPr>
                <w:trHeight w:val="900"/>
              </w:trPr>
              <w:tc>
                <w:tcPr>
                  <w:tcW w:w="1909" w:type="dxa"/>
                  <w:shd w:val="clear" w:color="auto" w:fill="005F85"/>
                  <w:vAlign w:val="bottom"/>
                  <w:hideMark/>
                </w:tcPr>
                <w:p w14:paraId="5E2ED84B" w14:textId="77777777" w:rsidR="00036214" w:rsidRPr="00211817" w:rsidRDefault="00036214">
                  <w:pPr>
                    <w:spacing w:after="0" w:line="240" w:lineRule="auto"/>
                    <w:rPr>
                      <w:rFonts w:eastAsia="Times New Roman"/>
                      <w:b/>
                      <w:bCs/>
                      <w:color w:val="FFFFFF"/>
                      <w:szCs w:val="20"/>
                    </w:rPr>
                  </w:pPr>
                  <w:r w:rsidRPr="00211817">
                    <w:rPr>
                      <w:rFonts w:eastAsia="Times New Roman"/>
                      <w:b/>
                      <w:bCs/>
                      <w:color w:val="FFFFFF"/>
                      <w:szCs w:val="20"/>
                    </w:rPr>
                    <w:t>Age (years)</w:t>
                  </w:r>
                </w:p>
              </w:tc>
              <w:tc>
                <w:tcPr>
                  <w:tcW w:w="1418" w:type="dxa"/>
                  <w:shd w:val="clear" w:color="auto" w:fill="005F85"/>
                  <w:vAlign w:val="bottom"/>
                </w:tcPr>
                <w:p w14:paraId="462C8BCA"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Proposed </w:t>
                  </w:r>
                </w:p>
                <w:p w14:paraId="35FB965B"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AI or RDI</w:t>
                  </w:r>
                </w:p>
                <w:p w14:paraId="0FC3EFF6"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w:t>
                  </w:r>
                  <w:proofErr w:type="spellStart"/>
                  <w:r w:rsidRPr="00211817">
                    <w:rPr>
                      <w:rFonts w:eastAsia="Times New Roman"/>
                      <w:b/>
                      <w:bCs/>
                      <w:color w:val="FFFFFF"/>
                      <w:szCs w:val="20"/>
                    </w:rPr>
                    <w:t>μg</w:t>
                  </w:r>
                  <w:proofErr w:type="spellEnd"/>
                  <w:r w:rsidRPr="00211817">
                    <w:rPr>
                      <w:rFonts w:eastAsia="Times New Roman"/>
                      <w:b/>
                      <w:bCs/>
                      <w:color w:val="FFFFFF"/>
                      <w:szCs w:val="20"/>
                    </w:rPr>
                    <w:t>/day)</w:t>
                  </w:r>
                </w:p>
              </w:tc>
              <w:tc>
                <w:tcPr>
                  <w:tcW w:w="1559" w:type="dxa"/>
                  <w:shd w:val="clear" w:color="auto" w:fill="005F85"/>
                  <w:vAlign w:val="bottom"/>
                  <w:hideMark/>
                </w:tcPr>
                <w:p w14:paraId="6AD96E1B"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Current ANZ </w:t>
                  </w:r>
                </w:p>
                <w:p w14:paraId="3261F56D"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RDI </w:t>
                  </w:r>
                </w:p>
                <w:p w14:paraId="73111490" w14:textId="08784211"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(2006)</w:t>
                  </w:r>
                </w:p>
                <w:p w14:paraId="714EBA77"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w:t>
                  </w:r>
                  <w:proofErr w:type="spellStart"/>
                  <w:r w:rsidRPr="00211817">
                    <w:rPr>
                      <w:rFonts w:eastAsia="Times New Roman"/>
                      <w:b/>
                      <w:bCs/>
                      <w:color w:val="FFFFFF"/>
                      <w:szCs w:val="20"/>
                    </w:rPr>
                    <w:t>μg</w:t>
                  </w:r>
                  <w:proofErr w:type="spellEnd"/>
                  <w:r w:rsidRPr="00211817">
                    <w:rPr>
                      <w:rFonts w:eastAsia="Times New Roman"/>
                      <w:b/>
                      <w:bCs/>
                      <w:color w:val="FFFFFF"/>
                      <w:szCs w:val="20"/>
                    </w:rPr>
                    <w:t>/day)</w:t>
                  </w:r>
                </w:p>
              </w:tc>
              <w:tc>
                <w:tcPr>
                  <w:tcW w:w="1276" w:type="dxa"/>
                  <w:shd w:val="clear" w:color="auto" w:fill="005F85"/>
                  <w:vAlign w:val="bottom"/>
                  <w:hideMark/>
                </w:tcPr>
                <w:p w14:paraId="745465A2"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EFSA </w:t>
                  </w:r>
                </w:p>
                <w:p w14:paraId="64CBE22C"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AI </w:t>
                  </w:r>
                </w:p>
                <w:p w14:paraId="7CB0A898" w14:textId="088B348F"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(2014)</w:t>
                  </w:r>
                </w:p>
                <w:p w14:paraId="2040BDAA"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w:t>
                  </w:r>
                  <w:proofErr w:type="spellStart"/>
                  <w:r w:rsidRPr="00211817">
                    <w:rPr>
                      <w:rFonts w:eastAsia="Times New Roman"/>
                      <w:b/>
                      <w:bCs/>
                      <w:color w:val="FFFFFF"/>
                      <w:szCs w:val="20"/>
                    </w:rPr>
                    <w:t>μg</w:t>
                  </w:r>
                  <w:proofErr w:type="spellEnd"/>
                  <w:r w:rsidRPr="00211817">
                    <w:rPr>
                      <w:rFonts w:eastAsia="Times New Roman"/>
                      <w:b/>
                      <w:bCs/>
                      <w:color w:val="FFFFFF"/>
                      <w:szCs w:val="20"/>
                    </w:rPr>
                    <w:t>/day)</w:t>
                  </w:r>
                </w:p>
              </w:tc>
              <w:tc>
                <w:tcPr>
                  <w:tcW w:w="1276" w:type="dxa"/>
                  <w:shd w:val="clear" w:color="auto" w:fill="005F85"/>
                  <w:vAlign w:val="bottom"/>
                  <w:hideMark/>
                </w:tcPr>
                <w:p w14:paraId="6EB8F2B4"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 xml:space="preserve">NNR </w:t>
                  </w:r>
                </w:p>
                <w:p w14:paraId="4843DC53" w14:textId="5F6C1622"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AI (2023)</w:t>
                  </w:r>
                </w:p>
                <w:p w14:paraId="6E683C95"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w:t>
                  </w:r>
                  <w:proofErr w:type="spellStart"/>
                  <w:r w:rsidRPr="00211817">
                    <w:rPr>
                      <w:rFonts w:eastAsia="Times New Roman"/>
                      <w:b/>
                      <w:bCs/>
                      <w:color w:val="FFFFFF"/>
                      <w:szCs w:val="20"/>
                    </w:rPr>
                    <w:t>μg</w:t>
                  </w:r>
                  <w:proofErr w:type="spellEnd"/>
                  <w:r w:rsidRPr="00211817">
                    <w:rPr>
                      <w:rFonts w:eastAsia="Times New Roman"/>
                      <w:b/>
                      <w:bCs/>
                      <w:color w:val="FFFFFF"/>
                      <w:szCs w:val="20"/>
                    </w:rPr>
                    <w:t>/day)</w:t>
                  </w:r>
                </w:p>
              </w:tc>
              <w:tc>
                <w:tcPr>
                  <w:tcW w:w="1417" w:type="dxa"/>
                  <w:shd w:val="clear" w:color="auto" w:fill="005F85"/>
                  <w:vAlign w:val="bottom"/>
                </w:tcPr>
                <w:p w14:paraId="2FE91791" w14:textId="5099FB6E"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WHO RDI (2007)</w:t>
                  </w:r>
                </w:p>
                <w:p w14:paraId="1C39DDD6"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w:t>
                  </w:r>
                  <w:proofErr w:type="spellStart"/>
                  <w:r w:rsidRPr="00211817">
                    <w:rPr>
                      <w:rFonts w:eastAsia="Times New Roman"/>
                      <w:b/>
                      <w:bCs/>
                      <w:color w:val="FFFFFF"/>
                      <w:szCs w:val="20"/>
                    </w:rPr>
                    <w:t>μg</w:t>
                  </w:r>
                  <w:proofErr w:type="spellEnd"/>
                  <w:r w:rsidRPr="00211817">
                    <w:rPr>
                      <w:rFonts w:eastAsia="Times New Roman"/>
                      <w:b/>
                      <w:bCs/>
                      <w:color w:val="FFFFFF"/>
                      <w:szCs w:val="20"/>
                    </w:rPr>
                    <w:t>/day)</w:t>
                  </w:r>
                </w:p>
              </w:tc>
              <w:tc>
                <w:tcPr>
                  <w:tcW w:w="1276" w:type="dxa"/>
                  <w:shd w:val="clear" w:color="auto" w:fill="005F85"/>
                  <w:vAlign w:val="bottom"/>
                </w:tcPr>
                <w:p w14:paraId="73000B25" w14:textId="3E4F8613"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D-A-C-H RDI (2013)</w:t>
                  </w:r>
                </w:p>
                <w:p w14:paraId="63B87151" w14:textId="77777777" w:rsidR="00036214" w:rsidRPr="00211817" w:rsidRDefault="00036214">
                  <w:pPr>
                    <w:spacing w:after="0" w:line="240" w:lineRule="auto"/>
                    <w:jc w:val="center"/>
                    <w:rPr>
                      <w:rFonts w:eastAsia="Times New Roman"/>
                      <w:b/>
                      <w:bCs/>
                      <w:color w:val="FFFFFF"/>
                      <w:szCs w:val="20"/>
                    </w:rPr>
                  </w:pPr>
                  <w:r w:rsidRPr="00211817">
                    <w:rPr>
                      <w:rFonts w:eastAsia="Times New Roman"/>
                      <w:b/>
                      <w:bCs/>
                      <w:color w:val="FFFFFF"/>
                      <w:szCs w:val="20"/>
                    </w:rPr>
                    <w:t>(</w:t>
                  </w:r>
                  <w:proofErr w:type="spellStart"/>
                  <w:r w:rsidRPr="00211817">
                    <w:rPr>
                      <w:rFonts w:eastAsia="Times New Roman"/>
                      <w:b/>
                      <w:bCs/>
                      <w:color w:val="FFFFFF"/>
                      <w:szCs w:val="20"/>
                    </w:rPr>
                    <w:t>μg</w:t>
                  </w:r>
                  <w:proofErr w:type="spellEnd"/>
                  <w:r w:rsidRPr="00211817">
                    <w:rPr>
                      <w:rFonts w:eastAsia="Times New Roman"/>
                      <w:b/>
                      <w:bCs/>
                      <w:color w:val="FFFFFF"/>
                      <w:szCs w:val="20"/>
                    </w:rPr>
                    <w:t>/day)</w:t>
                  </w:r>
                </w:p>
              </w:tc>
            </w:tr>
            <w:tr w:rsidR="00036214" w:rsidRPr="00211817" w14:paraId="27F22F42" w14:textId="77777777">
              <w:trPr>
                <w:trHeight w:val="300"/>
              </w:trPr>
              <w:tc>
                <w:tcPr>
                  <w:tcW w:w="1909" w:type="dxa"/>
                  <w:noWrap/>
                  <w:vAlign w:val="center"/>
                </w:tcPr>
                <w:p w14:paraId="713B4A40" w14:textId="77777777" w:rsidR="00036214" w:rsidRPr="00211817" w:rsidRDefault="00036214">
                  <w:pPr>
                    <w:spacing w:after="0" w:line="240" w:lineRule="auto"/>
                    <w:rPr>
                      <w:rFonts w:eastAsia="Times New Roman"/>
                      <w:color w:val="000000"/>
                      <w:szCs w:val="20"/>
                    </w:rPr>
                  </w:pPr>
                  <w:r w:rsidRPr="00211817">
                    <w:rPr>
                      <w:rFonts w:eastAsia="Times New Roman"/>
                      <w:color w:val="000000"/>
                      <w:szCs w:val="20"/>
                    </w:rPr>
                    <w:t>Adults 18 +years:</w:t>
                  </w:r>
                </w:p>
              </w:tc>
              <w:tc>
                <w:tcPr>
                  <w:tcW w:w="1418" w:type="dxa"/>
                </w:tcPr>
                <w:p w14:paraId="0A9C5E2F"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270</w:t>
                  </w:r>
                </w:p>
              </w:tc>
              <w:tc>
                <w:tcPr>
                  <w:tcW w:w="1559" w:type="dxa"/>
                  <w:noWrap/>
                </w:tcPr>
                <w:p w14:paraId="2BD5D7F7"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270</w:t>
                  </w:r>
                </w:p>
              </w:tc>
              <w:tc>
                <w:tcPr>
                  <w:tcW w:w="1276" w:type="dxa"/>
                  <w:noWrap/>
                </w:tcPr>
                <w:p w14:paraId="45CADC9F"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200</w:t>
                  </w:r>
                </w:p>
              </w:tc>
              <w:tc>
                <w:tcPr>
                  <w:tcW w:w="1276" w:type="dxa"/>
                  <w:noWrap/>
                </w:tcPr>
                <w:p w14:paraId="127E9AF4"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200</w:t>
                  </w:r>
                </w:p>
              </w:tc>
              <w:tc>
                <w:tcPr>
                  <w:tcW w:w="1417" w:type="dxa"/>
                </w:tcPr>
                <w:p w14:paraId="1E0B384B"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260</w:t>
                  </w:r>
                </w:p>
              </w:tc>
              <w:tc>
                <w:tcPr>
                  <w:tcW w:w="1276" w:type="dxa"/>
                </w:tcPr>
                <w:p w14:paraId="2F7B4AD2" w14:textId="77777777" w:rsidR="00036214" w:rsidRPr="00211817" w:rsidRDefault="00036214">
                  <w:pPr>
                    <w:spacing w:after="0" w:line="240" w:lineRule="auto"/>
                    <w:jc w:val="center"/>
                    <w:rPr>
                      <w:rFonts w:eastAsia="Times New Roman"/>
                      <w:color w:val="000000"/>
                      <w:szCs w:val="20"/>
                    </w:rPr>
                  </w:pPr>
                  <w:r w:rsidRPr="00211817">
                    <w:rPr>
                      <w:rFonts w:eastAsia="Arial"/>
                      <w:szCs w:val="20"/>
                    </w:rPr>
                    <w:t>260</w:t>
                  </w:r>
                </w:p>
              </w:tc>
            </w:tr>
          </w:tbl>
          <w:p w14:paraId="110BD012" w14:textId="77777777" w:rsidR="00036214" w:rsidRPr="00211817"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p>
          <w:p w14:paraId="0D39F4E5" w14:textId="77777777" w:rsidR="00036214" w:rsidRPr="00211817" w:rsidRDefault="00036214">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iCs/>
                <w:szCs w:val="20"/>
                <w:highlight w:val="yellow"/>
              </w:rPr>
            </w:pPr>
            <w:r w:rsidRPr="00211817">
              <w:rPr>
                <w:rFonts w:eastAsia="Times New Roman" w:cs="Times New Roman"/>
                <w:szCs w:val="20"/>
              </w:rPr>
              <w:t xml:space="preserve">Irrespective of whether an EAR and RDI is retained, or an AI set, there is broad alignment across jurisdictions on recommendations for iodine intake during lactation, noting that the type of NRV (EAR &amp; RDI vs AI) varies across jurisdictions. Although there is some variation in the recommendations, this reflects different public health nutrition contexts. For example, in countries such as Australia and New Zealand, or Germany (D-A-C-H) where insufficiency remains a concern, recommendations reflect the need for intakes to approximate full replacement rather than relying on existing stores to meet requirements. In contrast, in regions with longstanding sufficiency, recommendations are lower, reflecting the ability of maternal iodine stores to meet increased requirements during lactation. </w:t>
            </w:r>
          </w:p>
        </w:tc>
      </w:tr>
      <w:tr w:rsidR="00036214" w:rsidRPr="00211817" w14:paraId="5D00FF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hideMark/>
          </w:tcPr>
          <w:p w14:paraId="2DD375A8" w14:textId="77777777" w:rsidR="00036214" w:rsidRPr="00211817" w:rsidRDefault="00036214">
            <w:pPr>
              <w:rPr>
                <w:rFonts w:eastAsia="Arial" w:cs="Helvetica"/>
                <w:szCs w:val="20"/>
              </w:rPr>
            </w:pPr>
            <w:r w:rsidRPr="00211817">
              <w:rPr>
                <w:rFonts w:eastAsia="Arial" w:cs="Arial"/>
                <w:szCs w:val="20"/>
              </w:rPr>
              <w:lastRenderedPageBreak/>
              <w:t>Balance of effects (benefits and harms)</w:t>
            </w:r>
          </w:p>
          <w:p w14:paraId="245576A4" w14:textId="77777777" w:rsidR="00036214" w:rsidRPr="00211817" w:rsidRDefault="00036214">
            <w:pPr>
              <w:ind w:right="-1346"/>
              <w:rPr>
                <w:rFonts w:eastAsia="Times New Roman" w:cs="Arial"/>
                <w:szCs w:val="20"/>
              </w:rPr>
            </w:pPr>
          </w:p>
        </w:tc>
        <w:tc>
          <w:tcPr>
            <w:tcW w:w="5953" w:type="dxa"/>
            <w:tcBorders>
              <w:left w:val="single" w:sz="4" w:space="0" w:color="77BCD9"/>
            </w:tcBorders>
          </w:tcPr>
          <w:p w14:paraId="7DB5256D"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The current recommendations are protective of public health and align with the current recommended RDIs. There is no physiological or epidemiologic evidence to suggest that the current recommendations do not reflect requirements for preventing deficiency.</w:t>
            </w:r>
          </w:p>
          <w:p w14:paraId="2969BB1D" w14:textId="77777777" w:rsidR="00036214" w:rsidRPr="00211817" w:rsidRDefault="00036214">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Arial"/>
                <w:iCs/>
                <w:szCs w:val="20"/>
              </w:rPr>
              <w:t xml:space="preserve">Presenting NRV recommendations for iodine as an EAR and RDI may imply a degree of certainty in an NRV for which the underpinning evidence base is more limited. </w:t>
            </w:r>
          </w:p>
          <w:p w14:paraId="583C0C65" w14:textId="77777777" w:rsidR="00036214" w:rsidRPr="00211817" w:rsidRDefault="00036214">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yellow"/>
              </w:rPr>
            </w:pPr>
            <w:r w:rsidRPr="00211817">
              <w:rPr>
                <w:rFonts w:eastAsia="Times New Roman" w:cs="Arial"/>
                <w:iCs/>
                <w:szCs w:val="20"/>
              </w:rPr>
              <w:t>However, comparison of food system modelling and estimated dietary intakes against the EAR provides a critical measure for monitoring and evaluating public health interventions, such as mandatory fortification. This is an important consideration, given the current iodine fortification program in Australia and New Zealand.</w:t>
            </w:r>
          </w:p>
        </w:tc>
        <w:tc>
          <w:tcPr>
            <w:tcW w:w="6804" w:type="dxa"/>
          </w:tcPr>
          <w:p w14:paraId="12B455C3"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The proposed AI recommendation will be protective of public health and align with the current recommended RDIs. There is no physiological or epidemiologic evidence to suggest that the current recommendations do not reflect requirements for preventing deficiency.</w:t>
            </w:r>
          </w:p>
          <w:p w14:paraId="2B4ACFDD"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highlight w:val="yellow"/>
              </w:rPr>
            </w:pPr>
            <w:r w:rsidRPr="00211817">
              <w:rPr>
                <w:rFonts w:eastAsia="Times New Roman" w:cs="Arial"/>
                <w:szCs w:val="20"/>
              </w:rPr>
              <w:t>Revising the recommendations from an EAR and RDI to an AI communicates uncertainties in the evidence base more accurately and transparently.</w:t>
            </w:r>
          </w:p>
          <w:p w14:paraId="701529B3"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211817">
              <w:rPr>
                <w:rFonts w:eastAsia="Times New Roman" w:cs="Arial"/>
                <w:szCs w:val="20"/>
              </w:rPr>
              <w:t>However, the AI cannot be used to determine the prevalence of inadequate nutrient intakes within a population. Although a low prevalence of inadequacy may be presumed in populations with mean intakes around or above the AI, for those with intakes below the AI, adequacy cannot be determined (US IoM 2000). Consequently, removing the EAR in favour of an AI impedes analysis of population inadequacy for iodine using dietary intake data compared with EAR. This analysis is often performed by researchers and policymakers - including in the Australian Health Survey.</w:t>
            </w:r>
          </w:p>
          <w:p w14:paraId="76ED9EC0"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211817">
              <w:rPr>
                <w:rFonts w:eastAsia="Times New Roman" w:cs="Arial"/>
                <w:szCs w:val="20"/>
              </w:rPr>
              <w:t xml:space="preserve">Dietary intake is not a reliable measure of iodine intake in Australia and New Zealand, given wide variability of iodine in the food supply, limitations in food composition data and the need to factor in </w:t>
            </w:r>
            <w:r w:rsidRPr="00211817">
              <w:rPr>
                <w:rFonts w:eastAsia="Times New Roman" w:cs="Times New Roman"/>
                <w:szCs w:val="20"/>
              </w:rPr>
              <w:t xml:space="preserve">use of iodised salt at the table and in cooking. In contrast, median UIC is an established biomarker for evaluating population iodine status (WHO 2007) and is routinely measured in research and in the Australian National Health Measures Survey. The 2008/09 New Zealand National Nutrition Survey measured urinary iodine concentration to assess iodine status over dietary intake data, owing to concerns about the accuracy of food composition data for estimating intake (University of Otago and </w:t>
            </w:r>
            <w:proofErr w:type="spellStart"/>
            <w:r w:rsidRPr="00211817">
              <w:rPr>
                <w:rFonts w:eastAsia="Times New Roman" w:cs="Times New Roman"/>
                <w:szCs w:val="20"/>
              </w:rPr>
              <w:t>NZMoH</w:t>
            </w:r>
            <w:proofErr w:type="spellEnd"/>
            <w:r w:rsidRPr="00211817">
              <w:rPr>
                <w:rFonts w:eastAsia="Times New Roman" w:cs="Times New Roman"/>
                <w:szCs w:val="20"/>
              </w:rPr>
              <w:t xml:space="preserve"> 2011). Consequently, removal of the EAR is not expected to impede population monitoring of iodine status.</w:t>
            </w:r>
          </w:p>
          <w:p w14:paraId="14F02D27" w14:textId="77777777" w:rsidR="00036214" w:rsidRPr="00211817"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highlight w:val="yellow"/>
              </w:rPr>
            </w:pPr>
            <w:r w:rsidRPr="00211817">
              <w:rPr>
                <w:rFonts w:eastAsia="Times New Roman" w:cs="Arial"/>
                <w:szCs w:val="20"/>
              </w:rPr>
              <w:lastRenderedPageBreak/>
              <w:t xml:space="preserve">However, </w:t>
            </w:r>
            <w:r w:rsidRPr="00211817">
              <w:rPr>
                <w:rFonts w:eastAsia="Times New Roman" w:cs="Arial"/>
                <w:iCs/>
                <w:szCs w:val="20"/>
              </w:rPr>
              <w:t>comparison of food system modelling and estimated dietary intakes against the EAR provides a critical measure for monitoring and evaluating public health interventions, such as mandatory fortification. This analysis would be precluded, if the EAR were replaced with an AI, for the reasons stated above.</w:t>
            </w:r>
          </w:p>
        </w:tc>
      </w:tr>
      <w:tr w:rsidR="00036214" w:rsidRPr="00211817" w14:paraId="00D8DBC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tcPr>
          <w:p w14:paraId="0A4FB194" w14:textId="77777777" w:rsidR="00036214" w:rsidRPr="00211817" w:rsidRDefault="00036214">
            <w:pPr>
              <w:rPr>
                <w:rFonts w:eastAsia="Arial" w:cs="Arial"/>
                <w:szCs w:val="20"/>
              </w:rPr>
            </w:pPr>
            <w:r w:rsidRPr="00211817">
              <w:rPr>
                <w:rFonts w:eastAsia="Arial" w:cs="Arial"/>
                <w:szCs w:val="20"/>
              </w:rPr>
              <w:lastRenderedPageBreak/>
              <w:t>Certainty of the evidence</w:t>
            </w:r>
          </w:p>
        </w:tc>
        <w:tc>
          <w:tcPr>
            <w:tcW w:w="12757" w:type="dxa"/>
            <w:gridSpan w:val="2"/>
            <w:tcBorders>
              <w:left w:val="single" w:sz="4" w:space="0" w:color="77BCD9"/>
            </w:tcBorders>
          </w:tcPr>
          <w:p w14:paraId="2E5C2481" w14:textId="77777777" w:rsidR="00036214" w:rsidRPr="00211817" w:rsidRDefault="00036214">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Requirements during lactation are estimated based on adult requirements and factoring in additional losses in breast milk, measured using BMIC. The evidence for BMIC is inconsistent, with findings varying </w:t>
            </w:r>
            <w:r w:rsidRPr="00211817">
              <w:rPr>
                <w:rFonts w:eastAsia="Arial" w:cs="Times New Roman"/>
                <w:szCs w:val="20"/>
              </w:rPr>
              <w:t>between populations, and over the course of lactation</w:t>
            </w:r>
            <w:r w:rsidRPr="00211817">
              <w:rPr>
                <w:rFonts w:eastAsia="Times New Roman" w:cs="Arial"/>
                <w:szCs w:val="20"/>
              </w:rPr>
              <w:t xml:space="preserve">. </w:t>
            </w:r>
          </w:p>
          <w:p w14:paraId="1FF12303" w14:textId="77777777" w:rsidR="00036214" w:rsidRPr="00211817" w:rsidRDefault="00036214">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highlight w:val="yellow"/>
              </w:rPr>
            </w:pPr>
            <w:r w:rsidRPr="00211817">
              <w:rPr>
                <w:rFonts w:eastAsia="Times New Roman" w:cs="Arial"/>
                <w:szCs w:val="20"/>
              </w:rPr>
              <w:t>The evidence for the iodine intake required to prevent maternal and child deficiency during lactation is uncertain.</w:t>
            </w:r>
          </w:p>
        </w:tc>
      </w:tr>
      <w:tr w:rsidR="00036214" w:rsidRPr="00211817" w14:paraId="62DE5E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tcPr>
          <w:p w14:paraId="1A73D874" w14:textId="77777777" w:rsidR="00036214" w:rsidRPr="00211817" w:rsidRDefault="00036214">
            <w:pPr>
              <w:rPr>
                <w:rFonts w:eastAsia="Arial" w:cs="Arial"/>
                <w:szCs w:val="20"/>
              </w:rPr>
            </w:pPr>
            <w:r w:rsidRPr="00211817">
              <w:rPr>
                <w:rFonts w:eastAsia="Arial" w:cs="Arial"/>
                <w:szCs w:val="20"/>
              </w:rPr>
              <w:t>Values, preferences and feasibility (consumers, communities)</w:t>
            </w:r>
          </w:p>
        </w:tc>
        <w:tc>
          <w:tcPr>
            <w:tcW w:w="12757" w:type="dxa"/>
            <w:gridSpan w:val="2"/>
            <w:tcBorders>
              <w:left w:val="single" w:sz="4" w:space="0" w:color="77BCD9"/>
            </w:tcBorders>
          </w:tcPr>
          <w:p w14:paraId="6943A358" w14:textId="77777777" w:rsidR="00036214" w:rsidRPr="00211817" w:rsidRDefault="00036214">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
                <w:iCs/>
                <w:szCs w:val="20"/>
                <w:highlight w:val="yellow"/>
              </w:rPr>
            </w:pPr>
            <w:r w:rsidRPr="00211817">
              <w:rPr>
                <w:rFonts w:eastAsia="Times New Roman" w:cs="Arial"/>
                <w:szCs w:val="20"/>
              </w:rPr>
              <w:t xml:space="preserve">Foundation diet modelling (NHMRC, 2011) estimates dietary iodine intake in lactating women at between 251 and 253 </w:t>
            </w:r>
            <w:proofErr w:type="spellStart"/>
            <w:r w:rsidRPr="00211817">
              <w:rPr>
                <w:rFonts w:eastAsia="Times New Roman" w:cs="Arial"/>
                <w:szCs w:val="20"/>
              </w:rPr>
              <w:t>μg</w:t>
            </w:r>
            <w:proofErr w:type="spellEnd"/>
            <w:r w:rsidRPr="00211817">
              <w:rPr>
                <w:rFonts w:eastAsia="Times New Roman" w:cs="Arial"/>
                <w:szCs w:val="20"/>
              </w:rPr>
              <w:t xml:space="preserve">/day. This falls short of the RDI of 270 </w:t>
            </w:r>
            <w:proofErr w:type="spellStart"/>
            <w:r w:rsidRPr="00211817">
              <w:rPr>
                <w:rFonts w:eastAsia="Times New Roman" w:cs="Arial"/>
                <w:szCs w:val="20"/>
              </w:rPr>
              <w:t>μg</w:t>
            </w:r>
            <w:proofErr w:type="spellEnd"/>
            <w:r w:rsidRPr="00211817">
              <w:rPr>
                <w:rFonts w:eastAsia="Times New Roman" w:cs="Arial"/>
                <w:szCs w:val="20"/>
              </w:rPr>
              <w:t>/day, suggesting that the recommendations may not be fully achievable from diet alone. However, these concerns have been reflected in public health policy, with the recommendation that all Australian and New Zealand women who are lactating should be encouraged to take an iodine supplement (NHMRC, 2010).</w:t>
            </w:r>
          </w:p>
        </w:tc>
      </w:tr>
      <w:tr w:rsidR="00036214" w:rsidRPr="00211817" w14:paraId="1C8A45C9" w14:textId="77777777">
        <w:tblPrEx>
          <w:tblBorders>
            <w:top w:val="single" w:sz="4" w:space="0" w:color="005F85"/>
            <w:left w:val="single" w:sz="4" w:space="0" w:color="005F85"/>
            <w:bottom w:val="single" w:sz="4" w:space="0" w:color="005F85"/>
            <w:right w:val="single" w:sz="4" w:space="0" w:color="005F85"/>
            <w:insideH w:val="single" w:sz="4" w:space="0" w:color="005F85"/>
            <w:insideV w:val="single" w:sz="4" w:space="0" w:color="005F85"/>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14:paraId="07CB9456" w14:textId="77777777" w:rsidR="00036214" w:rsidRPr="00211817" w:rsidRDefault="00036214">
            <w:pPr>
              <w:rPr>
                <w:rFonts w:eastAsia="Arial" w:cs="Arial"/>
                <w:szCs w:val="20"/>
              </w:rPr>
            </w:pPr>
            <w:r w:rsidRPr="00211817">
              <w:rPr>
                <w:rFonts w:eastAsia="Arial" w:cs="Arial"/>
                <w:szCs w:val="20"/>
              </w:rPr>
              <w:t>Resource impacts</w:t>
            </w:r>
          </w:p>
        </w:tc>
        <w:tc>
          <w:tcPr>
            <w:tcW w:w="5953" w:type="dxa"/>
          </w:tcPr>
          <w:p w14:paraId="280658C6" w14:textId="77777777" w:rsidR="00036214" w:rsidRPr="00211817" w:rsidRDefault="00036214">
            <w:pPr>
              <w:spacing w:before="120" w:after="0"/>
              <w:ind w:right="-11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Retaining the current values during lactation is expected to have no implications for regulators, including FSANZ (food and food products) and TGA (supplements).</w:t>
            </w:r>
          </w:p>
          <w:p w14:paraId="168859E2" w14:textId="77777777" w:rsidR="00036214" w:rsidRPr="00211817" w:rsidRDefault="00036214">
            <w:pPr>
              <w:spacing w:before="120" w:after="0"/>
              <w:ind w:right="-114"/>
              <w:cnfStyle w:val="000000010000" w:firstRow="0" w:lastRow="0" w:firstColumn="0" w:lastColumn="0" w:oddVBand="0" w:evenVBand="0" w:oddHBand="0" w:evenHBand="1" w:firstRowFirstColumn="0" w:firstRowLastColumn="0" w:lastRowFirstColumn="0" w:lastRowLastColumn="0"/>
              <w:rPr>
                <w:rFonts w:eastAsia="Times New Roman" w:cs="Arial"/>
                <w:i/>
                <w:szCs w:val="20"/>
                <w:highlight w:val="yellow"/>
              </w:rPr>
            </w:pPr>
            <w:r w:rsidRPr="00211817">
              <w:rPr>
                <w:rFonts w:eastAsia="Times New Roman" w:cs="Arial"/>
                <w:szCs w:val="20"/>
              </w:rPr>
              <w:t xml:space="preserve">Current recommendations during lactation are presented for each age group, although the NRV is the same for each age group. It is proposed that the revised recommendations will be presented as a single recommendation that applies across all ages and for the duration of lactation. This will alter how recommendations are </w:t>
            </w:r>
            <w:proofErr w:type="gramStart"/>
            <w:r w:rsidRPr="00211817">
              <w:rPr>
                <w:rFonts w:eastAsia="Times New Roman" w:cs="Arial"/>
                <w:szCs w:val="20"/>
              </w:rPr>
              <w:t>presented, but</w:t>
            </w:r>
            <w:proofErr w:type="gramEnd"/>
            <w:r w:rsidRPr="00211817">
              <w:rPr>
                <w:rFonts w:eastAsia="Times New Roman" w:cs="Arial"/>
                <w:szCs w:val="20"/>
              </w:rPr>
              <w:t xml:space="preserve"> has no impact on the actual recommendations themselves.</w:t>
            </w:r>
          </w:p>
        </w:tc>
        <w:tc>
          <w:tcPr>
            <w:tcW w:w="6804" w:type="dxa"/>
          </w:tcPr>
          <w:p w14:paraId="07ECDE30" w14:textId="77777777" w:rsidR="00036214" w:rsidRPr="00211817" w:rsidRDefault="00036214">
            <w:pPr>
              <w:spacing w:before="120" w:after="0"/>
              <w:ind w:right="31"/>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The proposed change is nominal, replacing the current EAR and RDI with an AI to reflect uncertainty in the evidence base, and adjusting recommendations to align with new age groupings. </w:t>
            </w:r>
          </w:p>
          <w:p w14:paraId="25149BED"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 xml:space="preserve">While small, these changes may have significant implications for regulators, including FSANZ (food and food products) and the TGA (supplements). </w:t>
            </w:r>
            <w:proofErr w:type="gramStart"/>
            <w:r w:rsidRPr="00211817">
              <w:rPr>
                <w:rFonts w:eastAsia="Times New Roman" w:cs="Arial"/>
                <w:szCs w:val="20"/>
              </w:rPr>
              <w:t>In particular, removal</w:t>
            </w:r>
            <w:proofErr w:type="gramEnd"/>
            <w:r w:rsidRPr="00211817">
              <w:rPr>
                <w:rFonts w:eastAsia="Times New Roman" w:cs="Arial"/>
                <w:szCs w:val="20"/>
              </w:rPr>
              <w:t xml:space="preserve"> of the EAR may preclude analysis comparing dietary intake modelling data against the EAR. Preliminary discussions with FSANZ have indicated that removal of the EAR would be problematic for ongoing monitoring of the mandatory fortification program. </w:t>
            </w:r>
          </w:p>
          <w:p w14:paraId="22AE8753" w14:textId="77777777" w:rsidR="00036214" w:rsidRPr="00211817"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
                <w:iCs/>
                <w:szCs w:val="20"/>
                <w:highlight w:val="yellow"/>
              </w:rPr>
            </w:pPr>
            <w:r w:rsidRPr="00211817">
              <w:rPr>
                <w:rFonts w:eastAsia="Times New Roman" w:cs="Arial"/>
                <w:szCs w:val="20"/>
              </w:rPr>
              <w:t xml:space="preserve">Views will be sought during targeted/stakeholder consultation and considered when developing final NRVs.  </w:t>
            </w:r>
          </w:p>
        </w:tc>
      </w:tr>
      <w:tr w:rsidR="00036214" w:rsidRPr="00211817" w14:paraId="577DF6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tcPr>
          <w:p w14:paraId="7FA3E032" w14:textId="77777777" w:rsidR="00036214" w:rsidRPr="00211817" w:rsidRDefault="00036214">
            <w:pPr>
              <w:rPr>
                <w:rFonts w:eastAsia="Arial" w:cs="Arial"/>
                <w:szCs w:val="20"/>
              </w:rPr>
            </w:pPr>
            <w:r w:rsidRPr="00211817">
              <w:rPr>
                <w:rFonts w:eastAsia="Arial" w:cs="Arial"/>
                <w:szCs w:val="20"/>
              </w:rPr>
              <w:lastRenderedPageBreak/>
              <w:t>Other factors (health equity impacts, sustainability)</w:t>
            </w:r>
          </w:p>
        </w:tc>
        <w:tc>
          <w:tcPr>
            <w:tcW w:w="12757" w:type="dxa"/>
            <w:gridSpan w:val="2"/>
            <w:tcBorders>
              <w:left w:val="single" w:sz="4" w:space="0" w:color="77BCD9"/>
            </w:tcBorders>
          </w:tcPr>
          <w:p w14:paraId="4CDCD680" w14:textId="77777777" w:rsidR="00036214" w:rsidRPr="00211817" w:rsidRDefault="00036214">
            <w:pPr>
              <w:tabs>
                <w:tab w:val="left" w:pos="11838"/>
              </w:tabs>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Arial"/>
                <w:iCs/>
                <w:szCs w:val="20"/>
              </w:rPr>
              <w:t xml:space="preserve">Groups at risk of deficiency </w:t>
            </w:r>
            <w:proofErr w:type="gramStart"/>
            <w:r w:rsidRPr="00211817">
              <w:rPr>
                <w:rFonts w:eastAsia="Times New Roman" w:cs="Arial"/>
                <w:iCs/>
                <w:szCs w:val="20"/>
              </w:rPr>
              <w:t>include:</w:t>
            </w:r>
            <w:proofErr w:type="gramEnd"/>
            <w:r w:rsidRPr="00211817">
              <w:rPr>
                <w:rFonts w:eastAsia="Times New Roman" w:cs="Arial"/>
                <w:iCs/>
                <w:szCs w:val="20"/>
              </w:rPr>
              <w:t xml:space="preserve"> vegans or vegetarians; individuals with low consumption of dairy, commercial bread, or iodised salt; and smokers of both tobacco and electronic cigarettes. </w:t>
            </w:r>
            <w:r w:rsidRPr="00211817">
              <w:rPr>
                <w:rFonts w:eastAsia="Times New Roman" w:cs="Times New Roman"/>
                <w:szCs w:val="20"/>
              </w:rPr>
              <w:t xml:space="preserve">Reduced consumption of commercial bread and bread products in Australia (ABS 2025b) and </w:t>
            </w:r>
            <w:r w:rsidRPr="00211817">
              <w:rPr>
                <w:rFonts w:eastAsia="Times New Roman" w:cs="Arial"/>
                <w:iCs/>
                <w:szCs w:val="20"/>
              </w:rPr>
              <w:t>increasing interest in predominantly plant-based diets (</w:t>
            </w:r>
            <w:r w:rsidRPr="00211817">
              <w:rPr>
                <w:rFonts w:eastAsia="Times New Roman" w:cs="Times New Roman"/>
                <w:szCs w:val="20"/>
              </w:rPr>
              <w:t xml:space="preserve">Roy Morgan 2016; Kantar 2022; Riverola et al. 2023) </w:t>
            </w:r>
            <w:r w:rsidRPr="00211817">
              <w:rPr>
                <w:rFonts w:eastAsia="Times New Roman" w:cs="Arial"/>
                <w:iCs/>
                <w:szCs w:val="20"/>
              </w:rPr>
              <w:t>has the potential to reduce population iodine intake and should be closely monitored.</w:t>
            </w:r>
          </w:p>
          <w:p w14:paraId="4F1DBB8C" w14:textId="77777777" w:rsidR="00036214" w:rsidRPr="00211817" w:rsidRDefault="00036214">
            <w:pPr>
              <w:tabs>
                <w:tab w:val="left" w:pos="11838"/>
              </w:tabs>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Arial"/>
                <w:iCs/>
                <w:szCs w:val="20"/>
              </w:rPr>
              <w:t xml:space="preserve">If the change from an EAR and RDI to an AI is adopted to reflect uncertainty in the evidence base, care must be taken to avoid suggesting that there is uncertainty about the need for increased iodine during pregnancy, or to undermine messaging about routine iodine supplementation in this cohort. </w:t>
            </w:r>
          </w:p>
          <w:p w14:paraId="42B0DBE7" w14:textId="77777777" w:rsidR="00036214" w:rsidRPr="00211817" w:rsidRDefault="00036214">
            <w:pPr>
              <w:tabs>
                <w:tab w:val="left" w:pos="11838"/>
              </w:tabs>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211817">
              <w:rPr>
                <w:rFonts w:eastAsia="Times New Roman" w:cs="Arial"/>
                <w:iCs/>
                <w:szCs w:val="20"/>
              </w:rPr>
              <w:t>Data from Australia and New Zealand also suggests that women of reproductive age may be mildly deficient. Sufficient iodine status during lactation is essential for child neurocognitive development. Studies suggest that knowledge about the importance of iodine supplementation during pregnancy and lactation - and adherence to supplementation recommendations - are lacking among Australians and New Zealanders (</w:t>
            </w:r>
            <w:r w:rsidRPr="00211817">
              <w:rPr>
                <w:rFonts w:eastAsia="Arial" w:cs="Times New Roman"/>
                <w:szCs w:val="20"/>
              </w:rPr>
              <w:t xml:space="preserve">El-mani et al 2014, Lucas et al 2014, Martin et al 2014, Malek et al 2016, Guess et al 2017, Hine et al 2018, </w:t>
            </w:r>
            <w:r w:rsidRPr="00211817">
              <w:rPr>
                <w:rFonts w:eastAsia="Times New Roman" w:cs="Arial"/>
                <w:iCs/>
                <w:szCs w:val="20"/>
              </w:rPr>
              <w:t xml:space="preserve">Jin et al 2021). It is critical that public health messaging communicates the importance of achieving and maintaining sufficient iodine status prior to conception and throughout pregnancy and lactation, for optimal </w:t>
            </w:r>
            <w:proofErr w:type="spellStart"/>
            <w:r w:rsidRPr="00211817">
              <w:rPr>
                <w:rFonts w:eastAsia="Times New Roman" w:cs="Arial"/>
                <w:iCs/>
                <w:szCs w:val="20"/>
              </w:rPr>
              <w:t>fetal</w:t>
            </w:r>
            <w:proofErr w:type="spellEnd"/>
            <w:r w:rsidRPr="00211817">
              <w:rPr>
                <w:rFonts w:eastAsia="Times New Roman" w:cs="Arial"/>
                <w:iCs/>
                <w:szCs w:val="20"/>
              </w:rPr>
              <w:t xml:space="preserve"> development.</w:t>
            </w:r>
          </w:p>
          <w:p w14:paraId="15F0F1EE" w14:textId="77777777" w:rsidR="00036214" w:rsidRPr="00211817" w:rsidRDefault="00036214">
            <w:pPr>
              <w:tabs>
                <w:tab w:val="left" w:pos="11838"/>
              </w:tabs>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
                <w:iCs/>
                <w:szCs w:val="20"/>
                <w:highlight w:val="yellow"/>
              </w:rPr>
            </w:pPr>
            <w:r w:rsidRPr="00211817">
              <w:rPr>
                <w:rFonts w:eastAsia="Times New Roman" w:cs="Arial"/>
                <w:iCs/>
                <w:szCs w:val="20"/>
              </w:rPr>
              <w:t xml:space="preserve">Dietary modelling suggests that the current and proposed recommendations may be unable to be met from diet alone. However, the affordability of iodine supplements has been identified as a barrier to use during pregnancy and lactation in Australia (Nolan et al 2022, Jorgensen et al 2016). This may have equity implications for the ability of individuals to meet nutritional recommendations during this life stage. </w:t>
            </w:r>
            <w:r w:rsidRPr="00211817" w:rsidDel="005B7166">
              <w:rPr>
                <w:rFonts w:eastAsia="Times New Roman" w:cs="Arial"/>
                <w:iCs/>
                <w:szCs w:val="20"/>
              </w:rPr>
              <w:t xml:space="preserve"> </w:t>
            </w:r>
            <w:r w:rsidRPr="00211817">
              <w:rPr>
                <w:rFonts w:eastAsia="Times New Roman" w:cs="Arial"/>
                <w:iCs/>
                <w:szCs w:val="20"/>
              </w:rPr>
              <w:t>This equity issue should be addressed by public health policy makers.</w:t>
            </w:r>
          </w:p>
        </w:tc>
      </w:tr>
      <w:tr w:rsidR="00036214" w:rsidRPr="00211817" w14:paraId="77C5D0B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77BCD9"/>
              <w:left w:val="single" w:sz="4" w:space="0" w:color="77BCD9"/>
              <w:bottom w:val="single" w:sz="4" w:space="0" w:color="77BCD9"/>
              <w:right w:val="single" w:sz="4" w:space="0" w:color="77BCD9"/>
            </w:tcBorders>
          </w:tcPr>
          <w:p w14:paraId="16571798" w14:textId="77777777" w:rsidR="00036214" w:rsidRPr="00211817" w:rsidRDefault="00036214">
            <w:pPr>
              <w:rPr>
                <w:rFonts w:eastAsia="Arial" w:cs="Arial"/>
                <w:szCs w:val="20"/>
              </w:rPr>
            </w:pPr>
            <w:r w:rsidRPr="00211817">
              <w:rPr>
                <w:rFonts w:eastAsia="Arial" w:cs="Arial"/>
                <w:szCs w:val="20"/>
              </w:rPr>
              <w:t>Decision</w:t>
            </w:r>
          </w:p>
        </w:tc>
        <w:tc>
          <w:tcPr>
            <w:tcW w:w="12757" w:type="dxa"/>
            <w:gridSpan w:val="2"/>
            <w:tcBorders>
              <w:left w:val="single" w:sz="4" w:space="0" w:color="77BCD9"/>
            </w:tcBorders>
          </w:tcPr>
          <w:p w14:paraId="2630D506" w14:textId="77777777" w:rsidR="00036214" w:rsidRPr="00211817" w:rsidRDefault="00036214">
            <w:pPr>
              <w:spacing w:before="120" w:after="0"/>
              <w:ind w:right="-1346"/>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Retain existing EAR and RDI recommendations. Rationale:</w:t>
            </w:r>
          </w:p>
          <w:p w14:paraId="3A690080" w14:textId="77777777" w:rsidR="00036214" w:rsidRPr="00211817" w:rsidRDefault="00036214">
            <w:pPr>
              <w:spacing w:before="120" w:after="0"/>
              <w:ind w:right="172"/>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211817">
              <w:rPr>
                <w:rFonts w:eastAsia="Times New Roman" w:cs="Arial"/>
                <w:szCs w:val="20"/>
              </w:rPr>
              <w:t>Maintaining the EAR and RDI (vs shifting to an AI) is important as it provides a critical mechanism for public health evaluation</w:t>
            </w:r>
          </w:p>
          <w:p w14:paraId="6945069D" w14:textId="77777777" w:rsidR="00036214" w:rsidRPr="00211817" w:rsidRDefault="00036214">
            <w:pPr>
              <w:spacing w:before="120" w:after="0"/>
              <w:ind w:right="172"/>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Times New Roman" w:cs="Arial"/>
                <w:szCs w:val="20"/>
              </w:rPr>
              <w:t xml:space="preserve">Although the evidence is uncertain, </w:t>
            </w:r>
            <w:r w:rsidRPr="00211817">
              <w:rPr>
                <w:rFonts w:eastAsia="Arial" w:cs="Times New Roman"/>
                <w:szCs w:val="20"/>
              </w:rPr>
              <w:t xml:space="preserve">studies collectively suggest additional requirements between 90-120 </w:t>
            </w:r>
            <w:proofErr w:type="spellStart"/>
            <w:r w:rsidRPr="00211817">
              <w:rPr>
                <w:rFonts w:eastAsia="Arial" w:cs="Times New Roman"/>
                <w:szCs w:val="20"/>
              </w:rPr>
              <w:t>μg</w:t>
            </w:r>
            <w:proofErr w:type="spellEnd"/>
            <w:r w:rsidRPr="00211817">
              <w:rPr>
                <w:rFonts w:eastAsia="Arial" w:cs="Times New Roman"/>
                <w:szCs w:val="20"/>
              </w:rPr>
              <w:t>/day to account for iodine losses through breast milk.</w:t>
            </w:r>
          </w:p>
          <w:p w14:paraId="181BA641" w14:textId="77777777" w:rsidR="00036214" w:rsidRPr="00211817" w:rsidRDefault="00036214">
            <w:pPr>
              <w:spacing w:before="120" w:after="0"/>
              <w:ind w:right="172"/>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211817">
              <w:rPr>
                <w:rFonts w:eastAsia="Times New Roman" w:cs="Arial"/>
                <w:szCs w:val="20"/>
              </w:rPr>
              <w:t>There is no evidence to indicate that the current recommendations are inaccurate or inadequate for meeting nutritional needs of lactating women and their infants.</w:t>
            </w:r>
          </w:p>
        </w:tc>
      </w:tr>
    </w:tbl>
    <w:p w14:paraId="6C89C058" w14:textId="77777777" w:rsidR="00036214" w:rsidRDefault="00036214" w:rsidP="00036214"/>
    <w:p w14:paraId="0A2AB86C" w14:textId="77777777" w:rsidR="00036214" w:rsidRDefault="00036214" w:rsidP="00036214"/>
    <w:p w14:paraId="0AAEB424" w14:textId="0A5AF637" w:rsidR="00036214" w:rsidRDefault="00036214" w:rsidP="00036214">
      <w:pPr>
        <w:pStyle w:val="Heading5"/>
      </w:pPr>
      <w:r w:rsidRPr="00036214">
        <w:lastRenderedPageBreak/>
        <w:t>Children and adolescents</w:t>
      </w:r>
    </w:p>
    <w:tbl>
      <w:tblPr>
        <w:tblStyle w:val="DefaultTable1"/>
        <w:tblW w:w="5534" w:type="pct"/>
        <w:tblInd w:w="-431" w:type="dxa"/>
        <w:tblBorders>
          <w:top w:val="single" w:sz="4" w:space="0" w:color="4216FF"/>
          <w:left w:val="single" w:sz="4" w:space="0" w:color="4216FF"/>
          <w:bottom w:val="single" w:sz="4" w:space="0" w:color="4216FF"/>
          <w:right w:val="single" w:sz="4" w:space="0" w:color="4216FF"/>
          <w:insideH w:val="single" w:sz="4" w:space="0" w:color="4216FF"/>
          <w:insideV w:val="single" w:sz="4" w:space="0" w:color="4216FF"/>
        </w:tblBorders>
        <w:tblLayout w:type="fixed"/>
        <w:tblLook w:val="04A0" w:firstRow="1" w:lastRow="0" w:firstColumn="1" w:lastColumn="0" w:noHBand="0" w:noVBand="1"/>
      </w:tblPr>
      <w:tblGrid>
        <w:gridCol w:w="2334"/>
        <w:gridCol w:w="5889"/>
        <w:gridCol w:w="6662"/>
      </w:tblGrid>
      <w:tr w:rsidR="00036214" w:rsidRPr="00505285" w14:paraId="2D3CFAA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hideMark/>
          </w:tcPr>
          <w:p w14:paraId="6450EDD5" w14:textId="77777777" w:rsidR="00036214" w:rsidRPr="00505285" w:rsidRDefault="00036214">
            <w:pPr>
              <w:rPr>
                <w:rFonts w:eastAsia="Times New Roman" w:cs="Times New Roman"/>
                <w:szCs w:val="20"/>
              </w:rPr>
            </w:pPr>
            <w:r w:rsidRPr="00505285">
              <w:rPr>
                <w:rFonts w:eastAsia="Times New Roman" w:cs="Arial"/>
                <w:szCs w:val="20"/>
              </w:rPr>
              <w:t>Criterion</w:t>
            </w:r>
          </w:p>
        </w:tc>
        <w:tc>
          <w:tcPr>
            <w:tcW w:w="5889" w:type="dxa"/>
            <w:tcBorders>
              <w:top w:val="single" w:sz="4" w:space="0" w:color="77BCD9"/>
              <w:left w:val="single" w:sz="4" w:space="0" w:color="77BCD9"/>
              <w:bottom w:val="single" w:sz="4" w:space="0" w:color="77BCD9"/>
              <w:right w:val="single" w:sz="4" w:space="0" w:color="77BCD9"/>
            </w:tcBorders>
          </w:tcPr>
          <w:p w14:paraId="0FC0E171" w14:textId="77777777" w:rsidR="00036214" w:rsidRPr="00505285" w:rsidRDefault="00036214">
            <w:pPr>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u w:val="single"/>
              </w:rPr>
              <w:t>OPTION 1</w:t>
            </w:r>
            <w:r w:rsidRPr="00505285">
              <w:rPr>
                <w:rFonts w:eastAsia="Times New Roman" w:cs="Times New Roman"/>
                <w:szCs w:val="20"/>
              </w:rPr>
              <w:t>:</w:t>
            </w:r>
          </w:p>
          <w:p w14:paraId="75957674" w14:textId="77777777" w:rsidR="00036214" w:rsidRPr="00505285" w:rsidRDefault="00036214">
            <w:pPr>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Maintain current recommendations (EAR &amp; RDI)</w:t>
            </w:r>
          </w:p>
          <w:p w14:paraId="01EE2825" w14:textId="77777777" w:rsidR="00036214" w:rsidRPr="00505285" w:rsidRDefault="00036214" w:rsidP="00505285">
            <w:pPr>
              <w:spacing w:line="240" w:lineRule="atLeast"/>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Present NRVs for current and revised age groupings to provide options for different stakeholders/users</w:t>
            </w:r>
          </w:p>
        </w:tc>
        <w:tc>
          <w:tcPr>
            <w:tcW w:w="0" w:type="dxa"/>
            <w:tcBorders>
              <w:top w:val="single" w:sz="4" w:space="0" w:color="77BCD9"/>
              <w:left w:val="single" w:sz="4" w:space="0" w:color="77BCD9"/>
              <w:bottom w:val="single" w:sz="4" w:space="0" w:color="77BCD9"/>
              <w:right w:val="single" w:sz="4" w:space="0" w:color="77BCD9"/>
            </w:tcBorders>
          </w:tcPr>
          <w:p w14:paraId="2886CB6A" w14:textId="77777777" w:rsidR="00036214" w:rsidRPr="00505285" w:rsidRDefault="00036214">
            <w:pPr>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u w:val="single"/>
              </w:rPr>
              <w:t>OPTION 2</w:t>
            </w:r>
            <w:r w:rsidRPr="00505285">
              <w:rPr>
                <w:rFonts w:eastAsia="Times New Roman" w:cs="Times New Roman"/>
                <w:szCs w:val="20"/>
              </w:rPr>
              <w:t>:</w:t>
            </w:r>
          </w:p>
          <w:p w14:paraId="56366F49" w14:textId="77777777" w:rsidR="00036214" w:rsidRPr="00505285" w:rsidRDefault="00036214" w:rsidP="00505285">
            <w:pPr>
              <w:spacing w:line="240" w:lineRule="atLeast"/>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Revise recommendations to AIs to reflect uncertainty in evidence base</w:t>
            </w:r>
          </w:p>
          <w:p w14:paraId="015822D5" w14:textId="77777777" w:rsidR="00036214" w:rsidRPr="00505285" w:rsidRDefault="00036214" w:rsidP="00505285">
            <w:pPr>
              <w:spacing w:line="240" w:lineRule="atLeast"/>
              <w:contextualSpacing/>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Present NRVs for current and revised age groupings to provide greater options for different stakeholders/users</w:t>
            </w:r>
          </w:p>
        </w:tc>
      </w:tr>
      <w:tr w:rsidR="00036214" w:rsidRPr="00505285" w14:paraId="3994D6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tcPr>
          <w:p w14:paraId="1768B821" w14:textId="77777777" w:rsidR="00036214" w:rsidRPr="00505285" w:rsidRDefault="00036214">
            <w:pPr>
              <w:rPr>
                <w:rFonts w:eastAsia="Times New Roman" w:cs="Arial"/>
                <w:szCs w:val="20"/>
              </w:rPr>
            </w:pPr>
            <w:r w:rsidRPr="00505285">
              <w:rPr>
                <w:rFonts w:eastAsia="Times New Roman" w:cs="Arial"/>
                <w:szCs w:val="20"/>
              </w:rPr>
              <w:lastRenderedPageBreak/>
              <w:t>Example recommendation</w:t>
            </w:r>
          </w:p>
        </w:tc>
        <w:tc>
          <w:tcPr>
            <w:tcW w:w="5889" w:type="dxa"/>
            <w:tcBorders>
              <w:left w:val="single" w:sz="4" w:space="0" w:color="77BCD9"/>
            </w:tcBorders>
          </w:tcPr>
          <w:tbl>
            <w:tblPr>
              <w:tblStyle w:val="TableGrid2"/>
              <w:tblW w:w="5786" w:type="dxa"/>
              <w:tblInd w:w="0" w:type="dxa"/>
              <w:tblLook w:val="04A0" w:firstRow="1" w:lastRow="0" w:firstColumn="1" w:lastColumn="0" w:noHBand="0" w:noVBand="1"/>
            </w:tblPr>
            <w:tblGrid>
              <w:gridCol w:w="3235"/>
              <w:gridCol w:w="1276"/>
              <w:gridCol w:w="1275"/>
            </w:tblGrid>
            <w:tr w:rsidR="00036214" w:rsidRPr="00505285" w14:paraId="540410BA" w14:textId="77777777" w:rsidTr="008346F6">
              <w:trPr>
                <w:trHeight w:val="397"/>
              </w:trPr>
              <w:tc>
                <w:tcPr>
                  <w:tcW w:w="3235" w:type="dxa"/>
                </w:tcPr>
                <w:p w14:paraId="276C98B4" w14:textId="77777777" w:rsidR="00036214" w:rsidRPr="00505285" w:rsidRDefault="00036214">
                  <w:pPr>
                    <w:spacing w:after="0"/>
                    <w:rPr>
                      <w:rFonts w:eastAsia="Times New Roman" w:cs="Arial"/>
                      <w:b/>
                      <w:bCs/>
                      <w:i/>
                      <w:iCs/>
                      <w:szCs w:val="20"/>
                    </w:rPr>
                  </w:pPr>
                  <w:r w:rsidRPr="00505285">
                    <w:rPr>
                      <w:rFonts w:eastAsia="Arial" w:cs="Times New Roman"/>
                      <w:szCs w:val="20"/>
                      <w:u w:val="single"/>
                    </w:rPr>
                    <w:t>NRVs age groupings:</w:t>
                  </w:r>
                </w:p>
              </w:tc>
              <w:tc>
                <w:tcPr>
                  <w:tcW w:w="1276" w:type="dxa"/>
                </w:tcPr>
                <w:p w14:paraId="0C2AF0E5" w14:textId="77777777" w:rsidR="00036214" w:rsidRPr="00505285" w:rsidRDefault="00036214">
                  <w:pPr>
                    <w:spacing w:after="0"/>
                    <w:jc w:val="center"/>
                    <w:rPr>
                      <w:rFonts w:eastAsia="Times New Roman" w:cs="Arial"/>
                      <w:b/>
                      <w:bCs/>
                      <w:i/>
                      <w:iCs/>
                      <w:szCs w:val="20"/>
                    </w:rPr>
                  </w:pPr>
                  <w:r w:rsidRPr="00505285">
                    <w:rPr>
                      <w:rFonts w:eastAsia="Times New Roman" w:cs="Arial"/>
                      <w:b/>
                      <w:bCs/>
                      <w:i/>
                      <w:iCs/>
                      <w:szCs w:val="20"/>
                    </w:rPr>
                    <w:t>EAR</w:t>
                  </w:r>
                </w:p>
                <w:p w14:paraId="66684590" w14:textId="77777777" w:rsidR="00036214" w:rsidRPr="00505285" w:rsidRDefault="00036214">
                  <w:pPr>
                    <w:spacing w:after="0"/>
                    <w:jc w:val="center"/>
                    <w:rPr>
                      <w:rFonts w:eastAsia="Times New Roman" w:cs="Arial"/>
                      <w:b/>
                      <w:bCs/>
                      <w:i/>
                      <w:iCs/>
                      <w:szCs w:val="20"/>
                    </w:rPr>
                  </w:pPr>
                  <w:r w:rsidRPr="00505285">
                    <w:rPr>
                      <w:rFonts w:eastAsia="Times New Roman" w:cs="Arial"/>
                      <w:b/>
                      <w:bCs/>
                      <w:i/>
                      <w:iCs/>
                      <w:szCs w:val="20"/>
                    </w:rPr>
                    <w:t>(</w:t>
                  </w:r>
                  <w:r w:rsidRPr="00505285">
                    <w:rPr>
                      <w:rFonts w:eastAsia="Times New Roman" w:cs="Arial"/>
                      <w:i/>
                      <w:iCs/>
                      <w:szCs w:val="20"/>
                    </w:rPr>
                    <w:t>µg/day)</w:t>
                  </w:r>
                </w:p>
              </w:tc>
              <w:tc>
                <w:tcPr>
                  <w:tcW w:w="1275" w:type="dxa"/>
                </w:tcPr>
                <w:p w14:paraId="494188A1" w14:textId="77777777" w:rsidR="00036214" w:rsidRPr="00505285" w:rsidRDefault="00036214">
                  <w:pPr>
                    <w:spacing w:after="0"/>
                    <w:jc w:val="center"/>
                    <w:rPr>
                      <w:rFonts w:eastAsia="Times New Roman" w:cs="Arial"/>
                      <w:b/>
                      <w:bCs/>
                      <w:i/>
                      <w:iCs/>
                      <w:szCs w:val="20"/>
                    </w:rPr>
                  </w:pPr>
                  <w:r w:rsidRPr="00505285">
                    <w:rPr>
                      <w:rFonts w:eastAsia="Times New Roman" w:cs="Arial"/>
                      <w:b/>
                      <w:bCs/>
                      <w:i/>
                      <w:iCs/>
                      <w:szCs w:val="20"/>
                    </w:rPr>
                    <w:t>RDI</w:t>
                  </w:r>
                </w:p>
                <w:p w14:paraId="72236C71" w14:textId="77777777" w:rsidR="00036214" w:rsidRPr="00505285" w:rsidRDefault="00036214">
                  <w:pPr>
                    <w:spacing w:after="0"/>
                    <w:jc w:val="center"/>
                    <w:rPr>
                      <w:rFonts w:eastAsia="Times New Roman" w:cs="Arial"/>
                      <w:b/>
                      <w:bCs/>
                      <w:i/>
                      <w:iCs/>
                      <w:szCs w:val="20"/>
                    </w:rPr>
                  </w:pPr>
                  <w:r w:rsidRPr="00505285">
                    <w:rPr>
                      <w:rFonts w:eastAsia="Times New Roman" w:cs="Arial"/>
                      <w:b/>
                      <w:bCs/>
                      <w:i/>
                      <w:iCs/>
                      <w:szCs w:val="20"/>
                    </w:rPr>
                    <w:t>(</w:t>
                  </w:r>
                  <w:r w:rsidRPr="00505285">
                    <w:rPr>
                      <w:rFonts w:eastAsia="Times New Roman" w:cs="Arial"/>
                      <w:i/>
                      <w:iCs/>
                      <w:szCs w:val="20"/>
                    </w:rPr>
                    <w:t>µg/day)</w:t>
                  </w:r>
                </w:p>
              </w:tc>
            </w:tr>
            <w:tr w:rsidR="00036214" w:rsidRPr="00505285" w14:paraId="5EA5456A" w14:textId="77777777" w:rsidTr="008346F6">
              <w:trPr>
                <w:trHeight w:val="397"/>
              </w:trPr>
              <w:tc>
                <w:tcPr>
                  <w:tcW w:w="3235" w:type="dxa"/>
                </w:tcPr>
                <w:p w14:paraId="3B029C24" w14:textId="77777777" w:rsidR="00036214" w:rsidRPr="00505285" w:rsidRDefault="00036214">
                  <w:pPr>
                    <w:spacing w:after="0"/>
                    <w:rPr>
                      <w:rFonts w:eastAsia="Times New Roman" w:cs="Arial"/>
                      <w:i/>
                      <w:iCs/>
                      <w:szCs w:val="20"/>
                    </w:rPr>
                  </w:pPr>
                  <w:r w:rsidRPr="00505285">
                    <w:rPr>
                      <w:rFonts w:eastAsia="Times New Roman" w:cs="Arial"/>
                      <w:b/>
                      <w:bCs/>
                      <w:i/>
                      <w:iCs/>
                      <w:szCs w:val="20"/>
                    </w:rPr>
                    <w:t>All</w:t>
                  </w:r>
                </w:p>
              </w:tc>
              <w:tc>
                <w:tcPr>
                  <w:tcW w:w="1276" w:type="dxa"/>
                </w:tcPr>
                <w:p w14:paraId="6E2CF27B" w14:textId="77777777" w:rsidR="00036214" w:rsidRPr="00505285" w:rsidRDefault="00036214">
                  <w:pPr>
                    <w:spacing w:after="0"/>
                    <w:jc w:val="center"/>
                    <w:rPr>
                      <w:rFonts w:eastAsia="Times New Roman" w:cs="Arial"/>
                      <w:i/>
                      <w:iCs/>
                      <w:szCs w:val="20"/>
                    </w:rPr>
                  </w:pPr>
                </w:p>
              </w:tc>
              <w:tc>
                <w:tcPr>
                  <w:tcW w:w="1275" w:type="dxa"/>
                </w:tcPr>
                <w:p w14:paraId="4D5F5DFB" w14:textId="77777777" w:rsidR="00036214" w:rsidRPr="00505285" w:rsidRDefault="00036214">
                  <w:pPr>
                    <w:spacing w:after="0"/>
                    <w:jc w:val="center"/>
                    <w:rPr>
                      <w:rFonts w:eastAsia="Times New Roman" w:cs="Arial"/>
                      <w:i/>
                      <w:iCs/>
                      <w:szCs w:val="20"/>
                    </w:rPr>
                  </w:pPr>
                </w:p>
              </w:tc>
            </w:tr>
            <w:tr w:rsidR="00B65D62" w:rsidRPr="00505285" w14:paraId="3E3373D3" w14:textId="77777777" w:rsidTr="008346F6">
              <w:trPr>
                <w:trHeight w:val="397"/>
              </w:trPr>
              <w:tc>
                <w:tcPr>
                  <w:tcW w:w="3235" w:type="dxa"/>
                  <w:tcMar>
                    <w:left w:w="170" w:type="dxa"/>
                  </w:tcMar>
                </w:tcPr>
                <w:p w14:paraId="0C2007B7" w14:textId="77777777" w:rsidR="00B65D62" w:rsidRPr="00505285" w:rsidRDefault="00B65D62">
                  <w:pPr>
                    <w:spacing w:after="0"/>
                    <w:rPr>
                      <w:rFonts w:eastAsia="Times New Roman" w:cs="Arial"/>
                      <w:b/>
                      <w:bCs/>
                      <w:i/>
                      <w:iCs/>
                      <w:szCs w:val="20"/>
                    </w:rPr>
                  </w:pPr>
                  <w:r w:rsidRPr="00505285">
                    <w:rPr>
                      <w:rFonts w:eastAsia="Times New Roman" w:cs="Arial"/>
                      <w:b/>
                      <w:bCs/>
                      <w:i/>
                      <w:iCs/>
                      <w:szCs w:val="20"/>
                    </w:rPr>
                    <w:t xml:space="preserve">1 to under 4 years </w:t>
                  </w:r>
                </w:p>
              </w:tc>
              <w:tc>
                <w:tcPr>
                  <w:tcW w:w="1276" w:type="dxa"/>
                </w:tcPr>
                <w:p w14:paraId="43D4BA51" w14:textId="77777777" w:rsidR="00B65D62" w:rsidRPr="00505285" w:rsidRDefault="00B65D62">
                  <w:pPr>
                    <w:spacing w:after="0"/>
                    <w:jc w:val="center"/>
                    <w:rPr>
                      <w:rFonts w:eastAsia="Times New Roman" w:cs="Arial"/>
                      <w:i/>
                      <w:iCs/>
                      <w:szCs w:val="20"/>
                    </w:rPr>
                  </w:pPr>
                  <w:r w:rsidRPr="00505285">
                    <w:rPr>
                      <w:rFonts w:eastAsia="Times New Roman" w:cs="Arial"/>
                      <w:i/>
                      <w:iCs/>
                      <w:szCs w:val="20"/>
                    </w:rPr>
                    <w:t>65</w:t>
                  </w:r>
                </w:p>
              </w:tc>
              <w:tc>
                <w:tcPr>
                  <w:tcW w:w="1275" w:type="dxa"/>
                </w:tcPr>
                <w:p w14:paraId="52FC902A" w14:textId="77777777" w:rsidR="00B65D62" w:rsidRPr="00505285" w:rsidRDefault="00B65D62">
                  <w:pPr>
                    <w:spacing w:after="0"/>
                    <w:jc w:val="center"/>
                    <w:rPr>
                      <w:rFonts w:eastAsia="Times New Roman" w:cs="Arial"/>
                      <w:i/>
                      <w:iCs/>
                      <w:szCs w:val="20"/>
                    </w:rPr>
                  </w:pPr>
                  <w:r w:rsidRPr="00505285">
                    <w:rPr>
                      <w:rFonts w:eastAsia="Times New Roman" w:cs="Arial"/>
                      <w:i/>
                      <w:iCs/>
                      <w:szCs w:val="20"/>
                    </w:rPr>
                    <w:t>90</w:t>
                  </w:r>
                </w:p>
              </w:tc>
            </w:tr>
            <w:tr w:rsidR="00B65D62" w:rsidRPr="00505285" w14:paraId="5E3147BD" w14:textId="77777777" w:rsidTr="008346F6">
              <w:trPr>
                <w:trHeight w:val="397"/>
              </w:trPr>
              <w:tc>
                <w:tcPr>
                  <w:tcW w:w="3235" w:type="dxa"/>
                  <w:tcMar>
                    <w:left w:w="170" w:type="dxa"/>
                  </w:tcMar>
                </w:tcPr>
                <w:p w14:paraId="31A8EA5D" w14:textId="77777777" w:rsidR="00B65D62" w:rsidRPr="00505285" w:rsidRDefault="00B65D62">
                  <w:pPr>
                    <w:spacing w:after="0"/>
                    <w:rPr>
                      <w:rFonts w:eastAsia="Times New Roman" w:cs="Arial"/>
                      <w:b/>
                      <w:bCs/>
                      <w:i/>
                      <w:iCs/>
                      <w:szCs w:val="20"/>
                    </w:rPr>
                  </w:pPr>
                  <w:r w:rsidRPr="00505285">
                    <w:rPr>
                      <w:rFonts w:eastAsia="Times New Roman" w:cs="Arial"/>
                      <w:b/>
                      <w:bCs/>
                      <w:i/>
                      <w:iCs/>
                      <w:szCs w:val="20"/>
                    </w:rPr>
                    <w:t>4 to under 9 years</w:t>
                  </w:r>
                </w:p>
              </w:tc>
              <w:tc>
                <w:tcPr>
                  <w:tcW w:w="1276" w:type="dxa"/>
                </w:tcPr>
                <w:p w14:paraId="3833B9A4" w14:textId="77777777" w:rsidR="00B65D62" w:rsidRPr="00505285" w:rsidRDefault="00B65D62">
                  <w:pPr>
                    <w:spacing w:after="0"/>
                    <w:jc w:val="center"/>
                    <w:rPr>
                      <w:rFonts w:eastAsia="Times New Roman" w:cs="Arial"/>
                      <w:i/>
                      <w:iCs/>
                      <w:szCs w:val="20"/>
                    </w:rPr>
                  </w:pPr>
                  <w:r w:rsidRPr="00505285">
                    <w:rPr>
                      <w:rFonts w:eastAsia="Times New Roman" w:cs="Arial"/>
                      <w:i/>
                      <w:iCs/>
                      <w:szCs w:val="20"/>
                    </w:rPr>
                    <w:t>65</w:t>
                  </w:r>
                </w:p>
              </w:tc>
              <w:tc>
                <w:tcPr>
                  <w:tcW w:w="1275" w:type="dxa"/>
                </w:tcPr>
                <w:p w14:paraId="3365A9D6" w14:textId="77777777" w:rsidR="00B65D62" w:rsidRPr="00505285" w:rsidRDefault="00B65D62">
                  <w:pPr>
                    <w:spacing w:after="0"/>
                    <w:jc w:val="center"/>
                    <w:rPr>
                      <w:rFonts w:eastAsia="Times New Roman" w:cs="Arial"/>
                      <w:i/>
                      <w:iCs/>
                      <w:szCs w:val="20"/>
                    </w:rPr>
                  </w:pPr>
                  <w:r w:rsidRPr="00505285">
                    <w:rPr>
                      <w:rFonts w:eastAsia="Times New Roman" w:cs="Arial"/>
                      <w:i/>
                      <w:iCs/>
                      <w:szCs w:val="20"/>
                    </w:rPr>
                    <w:t>90</w:t>
                  </w:r>
                </w:p>
              </w:tc>
            </w:tr>
            <w:tr w:rsidR="00036214" w:rsidRPr="00505285" w14:paraId="24FFC5CE" w14:textId="77777777" w:rsidTr="008346F6">
              <w:trPr>
                <w:trHeight w:val="397"/>
              </w:trPr>
              <w:tc>
                <w:tcPr>
                  <w:tcW w:w="3235" w:type="dxa"/>
                </w:tcPr>
                <w:p w14:paraId="239A0510" w14:textId="77777777" w:rsidR="00036214" w:rsidRPr="00505285" w:rsidRDefault="00036214">
                  <w:pPr>
                    <w:spacing w:after="0"/>
                    <w:rPr>
                      <w:rFonts w:eastAsia="Times New Roman" w:cs="Arial"/>
                      <w:b/>
                      <w:bCs/>
                      <w:i/>
                      <w:iCs/>
                      <w:szCs w:val="20"/>
                    </w:rPr>
                  </w:pPr>
                  <w:r w:rsidRPr="00505285">
                    <w:rPr>
                      <w:rFonts w:eastAsia="Times New Roman" w:cs="Arial"/>
                      <w:b/>
                      <w:bCs/>
                      <w:i/>
                      <w:iCs/>
                      <w:szCs w:val="20"/>
                    </w:rPr>
                    <w:t>Males</w:t>
                  </w:r>
                </w:p>
              </w:tc>
              <w:tc>
                <w:tcPr>
                  <w:tcW w:w="1276" w:type="dxa"/>
                </w:tcPr>
                <w:p w14:paraId="66C103C3" w14:textId="77777777" w:rsidR="00036214" w:rsidRPr="00505285" w:rsidRDefault="00036214">
                  <w:pPr>
                    <w:spacing w:after="0"/>
                    <w:jc w:val="center"/>
                    <w:rPr>
                      <w:rFonts w:eastAsia="Times New Roman" w:cs="Arial"/>
                      <w:i/>
                      <w:iCs/>
                      <w:szCs w:val="20"/>
                    </w:rPr>
                  </w:pPr>
                </w:p>
              </w:tc>
              <w:tc>
                <w:tcPr>
                  <w:tcW w:w="1275" w:type="dxa"/>
                </w:tcPr>
                <w:p w14:paraId="15BA3E96" w14:textId="77777777" w:rsidR="00036214" w:rsidRPr="00505285" w:rsidRDefault="00036214">
                  <w:pPr>
                    <w:spacing w:after="0"/>
                    <w:jc w:val="center"/>
                    <w:rPr>
                      <w:rFonts w:eastAsia="Times New Roman" w:cs="Arial"/>
                      <w:i/>
                      <w:iCs/>
                      <w:szCs w:val="20"/>
                    </w:rPr>
                  </w:pPr>
                </w:p>
              </w:tc>
            </w:tr>
            <w:tr w:rsidR="00B65D62" w:rsidRPr="00505285" w14:paraId="03545DA2" w14:textId="77777777" w:rsidTr="008346F6">
              <w:trPr>
                <w:trHeight w:val="397"/>
              </w:trPr>
              <w:tc>
                <w:tcPr>
                  <w:tcW w:w="3235" w:type="dxa"/>
                  <w:tcMar>
                    <w:left w:w="170" w:type="dxa"/>
                  </w:tcMar>
                </w:tcPr>
                <w:p w14:paraId="4DF56492" w14:textId="77777777" w:rsidR="00B65D62" w:rsidRPr="00505285" w:rsidRDefault="00B65D62">
                  <w:pPr>
                    <w:spacing w:after="0"/>
                    <w:rPr>
                      <w:rFonts w:eastAsia="Times New Roman" w:cs="Arial"/>
                      <w:b/>
                      <w:bCs/>
                      <w:i/>
                      <w:iCs/>
                      <w:szCs w:val="20"/>
                    </w:rPr>
                  </w:pPr>
                  <w:r w:rsidRPr="00505285">
                    <w:rPr>
                      <w:rFonts w:eastAsia="Times New Roman" w:cs="Arial"/>
                      <w:b/>
                      <w:bCs/>
                      <w:i/>
                      <w:iCs/>
                      <w:szCs w:val="20"/>
                    </w:rPr>
                    <w:t>9 to under 14 years</w:t>
                  </w:r>
                </w:p>
              </w:tc>
              <w:tc>
                <w:tcPr>
                  <w:tcW w:w="1276" w:type="dxa"/>
                </w:tcPr>
                <w:p w14:paraId="5A200FB4" w14:textId="77777777" w:rsidR="00B65D62" w:rsidRPr="00505285" w:rsidRDefault="00B65D62">
                  <w:pPr>
                    <w:spacing w:after="0"/>
                    <w:jc w:val="center"/>
                    <w:rPr>
                      <w:rFonts w:eastAsia="Times New Roman" w:cs="Arial"/>
                      <w:i/>
                      <w:iCs/>
                      <w:szCs w:val="20"/>
                    </w:rPr>
                  </w:pPr>
                  <w:r w:rsidRPr="00505285">
                    <w:rPr>
                      <w:rFonts w:eastAsia="Times New Roman" w:cs="Arial"/>
                      <w:i/>
                      <w:iCs/>
                      <w:szCs w:val="20"/>
                    </w:rPr>
                    <w:t>75</w:t>
                  </w:r>
                </w:p>
              </w:tc>
              <w:tc>
                <w:tcPr>
                  <w:tcW w:w="1275" w:type="dxa"/>
                </w:tcPr>
                <w:p w14:paraId="1B0754FE" w14:textId="77777777" w:rsidR="00B65D62" w:rsidRPr="00505285" w:rsidRDefault="00B65D62">
                  <w:pPr>
                    <w:spacing w:after="0"/>
                    <w:jc w:val="center"/>
                    <w:rPr>
                      <w:rFonts w:eastAsia="Times New Roman" w:cs="Arial"/>
                      <w:i/>
                      <w:iCs/>
                      <w:szCs w:val="20"/>
                    </w:rPr>
                  </w:pPr>
                  <w:r w:rsidRPr="00505285">
                    <w:rPr>
                      <w:rFonts w:eastAsia="Times New Roman" w:cs="Arial"/>
                      <w:i/>
                      <w:iCs/>
                      <w:szCs w:val="20"/>
                    </w:rPr>
                    <w:t>120</w:t>
                  </w:r>
                </w:p>
              </w:tc>
            </w:tr>
            <w:tr w:rsidR="00B65D62" w:rsidRPr="00505285" w14:paraId="2EA8AEDF" w14:textId="77777777" w:rsidTr="008346F6">
              <w:trPr>
                <w:trHeight w:val="397"/>
              </w:trPr>
              <w:tc>
                <w:tcPr>
                  <w:tcW w:w="3235" w:type="dxa"/>
                  <w:tcMar>
                    <w:left w:w="170" w:type="dxa"/>
                  </w:tcMar>
                </w:tcPr>
                <w:p w14:paraId="3C8A6AB3" w14:textId="77777777" w:rsidR="00B65D62" w:rsidRPr="00505285" w:rsidRDefault="00B65D62">
                  <w:pPr>
                    <w:spacing w:after="0"/>
                    <w:rPr>
                      <w:rFonts w:eastAsia="Times New Roman" w:cs="Arial"/>
                      <w:b/>
                      <w:bCs/>
                      <w:i/>
                      <w:iCs/>
                      <w:szCs w:val="20"/>
                    </w:rPr>
                  </w:pPr>
                  <w:r w:rsidRPr="00505285">
                    <w:rPr>
                      <w:rFonts w:eastAsia="Times New Roman" w:cs="Arial"/>
                      <w:b/>
                      <w:bCs/>
                      <w:i/>
                      <w:iCs/>
                      <w:szCs w:val="20"/>
                    </w:rPr>
                    <w:t>14 to under 18 years</w:t>
                  </w:r>
                </w:p>
              </w:tc>
              <w:tc>
                <w:tcPr>
                  <w:tcW w:w="1276" w:type="dxa"/>
                </w:tcPr>
                <w:p w14:paraId="252C3490" w14:textId="77777777" w:rsidR="00B65D62" w:rsidRPr="00505285" w:rsidRDefault="00B65D62">
                  <w:pPr>
                    <w:spacing w:after="0"/>
                    <w:jc w:val="center"/>
                    <w:rPr>
                      <w:rFonts w:eastAsia="Times New Roman" w:cs="Arial"/>
                      <w:i/>
                      <w:iCs/>
                      <w:szCs w:val="20"/>
                    </w:rPr>
                  </w:pPr>
                  <w:r w:rsidRPr="00505285">
                    <w:rPr>
                      <w:rFonts w:eastAsia="Times New Roman" w:cs="Arial"/>
                      <w:i/>
                      <w:iCs/>
                      <w:szCs w:val="20"/>
                    </w:rPr>
                    <w:t>95</w:t>
                  </w:r>
                </w:p>
              </w:tc>
              <w:tc>
                <w:tcPr>
                  <w:tcW w:w="1275" w:type="dxa"/>
                </w:tcPr>
                <w:p w14:paraId="2BE9427E" w14:textId="77777777" w:rsidR="00B65D62" w:rsidRPr="00505285" w:rsidRDefault="00B65D62">
                  <w:pPr>
                    <w:spacing w:after="0"/>
                    <w:jc w:val="center"/>
                    <w:rPr>
                      <w:rFonts w:eastAsia="Times New Roman" w:cs="Arial"/>
                      <w:i/>
                      <w:iCs/>
                      <w:szCs w:val="20"/>
                    </w:rPr>
                  </w:pPr>
                  <w:r w:rsidRPr="00505285">
                    <w:rPr>
                      <w:rFonts w:eastAsia="Times New Roman" w:cs="Arial"/>
                      <w:i/>
                      <w:iCs/>
                      <w:szCs w:val="20"/>
                    </w:rPr>
                    <w:t>150</w:t>
                  </w:r>
                </w:p>
              </w:tc>
            </w:tr>
            <w:tr w:rsidR="00036214" w:rsidRPr="00505285" w14:paraId="7EB707A9" w14:textId="77777777" w:rsidTr="008346F6">
              <w:trPr>
                <w:trHeight w:val="397"/>
              </w:trPr>
              <w:tc>
                <w:tcPr>
                  <w:tcW w:w="3235" w:type="dxa"/>
                </w:tcPr>
                <w:p w14:paraId="18496559" w14:textId="77777777" w:rsidR="00036214" w:rsidRPr="00505285" w:rsidRDefault="00036214">
                  <w:pPr>
                    <w:spacing w:after="0"/>
                    <w:rPr>
                      <w:rFonts w:eastAsia="Times New Roman" w:cs="Arial"/>
                      <w:b/>
                      <w:bCs/>
                      <w:i/>
                      <w:iCs/>
                      <w:szCs w:val="20"/>
                    </w:rPr>
                  </w:pPr>
                  <w:r w:rsidRPr="00505285">
                    <w:rPr>
                      <w:rFonts w:eastAsia="Times New Roman" w:cs="Arial"/>
                      <w:b/>
                      <w:bCs/>
                      <w:i/>
                      <w:iCs/>
                      <w:szCs w:val="20"/>
                    </w:rPr>
                    <w:t>Females</w:t>
                  </w:r>
                </w:p>
              </w:tc>
              <w:tc>
                <w:tcPr>
                  <w:tcW w:w="1276" w:type="dxa"/>
                </w:tcPr>
                <w:p w14:paraId="52C1D3FC" w14:textId="77777777" w:rsidR="00036214" w:rsidRPr="00505285" w:rsidRDefault="00036214">
                  <w:pPr>
                    <w:spacing w:after="0"/>
                    <w:jc w:val="center"/>
                    <w:rPr>
                      <w:rFonts w:eastAsia="Times New Roman" w:cs="Arial"/>
                      <w:i/>
                      <w:iCs/>
                      <w:szCs w:val="20"/>
                    </w:rPr>
                  </w:pPr>
                </w:p>
              </w:tc>
              <w:tc>
                <w:tcPr>
                  <w:tcW w:w="1275" w:type="dxa"/>
                </w:tcPr>
                <w:p w14:paraId="70EE3D6A" w14:textId="77777777" w:rsidR="00036214" w:rsidRPr="00505285" w:rsidRDefault="00036214">
                  <w:pPr>
                    <w:spacing w:after="0"/>
                    <w:jc w:val="center"/>
                    <w:rPr>
                      <w:rFonts w:eastAsia="Times New Roman" w:cs="Arial"/>
                      <w:i/>
                      <w:iCs/>
                      <w:szCs w:val="20"/>
                    </w:rPr>
                  </w:pPr>
                </w:p>
              </w:tc>
            </w:tr>
            <w:tr w:rsidR="00532AAA" w:rsidRPr="00505285" w14:paraId="097A7F20" w14:textId="77777777" w:rsidTr="008346F6">
              <w:trPr>
                <w:trHeight w:val="397"/>
              </w:trPr>
              <w:tc>
                <w:tcPr>
                  <w:tcW w:w="3235" w:type="dxa"/>
                  <w:tcMar>
                    <w:left w:w="170" w:type="dxa"/>
                  </w:tcMar>
                </w:tcPr>
                <w:p w14:paraId="7F24A69E" w14:textId="77777777" w:rsidR="00532AAA" w:rsidRPr="00505285" w:rsidRDefault="00532AAA">
                  <w:pPr>
                    <w:spacing w:after="0"/>
                    <w:rPr>
                      <w:rFonts w:eastAsia="Times New Roman" w:cs="Arial"/>
                      <w:b/>
                      <w:bCs/>
                      <w:i/>
                      <w:iCs/>
                      <w:szCs w:val="20"/>
                    </w:rPr>
                  </w:pPr>
                  <w:r w:rsidRPr="00505285">
                    <w:rPr>
                      <w:rFonts w:eastAsia="Times New Roman" w:cs="Arial"/>
                      <w:b/>
                      <w:bCs/>
                      <w:i/>
                      <w:iCs/>
                      <w:szCs w:val="20"/>
                    </w:rPr>
                    <w:t>9 to under 14 years</w:t>
                  </w:r>
                </w:p>
              </w:tc>
              <w:tc>
                <w:tcPr>
                  <w:tcW w:w="1276" w:type="dxa"/>
                </w:tcPr>
                <w:p w14:paraId="3C1904F8"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75</w:t>
                  </w:r>
                </w:p>
              </w:tc>
              <w:tc>
                <w:tcPr>
                  <w:tcW w:w="1275" w:type="dxa"/>
                </w:tcPr>
                <w:p w14:paraId="26E06474"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120</w:t>
                  </w:r>
                </w:p>
              </w:tc>
            </w:tr>
            <w:tr w:rsidR="00532AAA" w:rsidRPr="00505285" w14:paraId="1B48C66E" w14:textId="77777777" w:rsidTr="008346F6">
              <w:trPr>
                <w:trHeight w:val="397"/>
              </w:trPr>
              <w:tc>
                <w:tcPr>
                  <w:tcW w:w="3235" w:type="dxa"/>
                  <w:tcMar>
                    <w:left w:w="170" w:type="dxa"/>
                  </w:tcMar>
                </w:tcPr>
                <w:p w14:paraId="2ABDD68D" w14:textId="77777777" w:rsidR="00532AAA" w:rsidRPr="00505285" w:rsidRDefault="00532AAA">
                  <w:pPr>
                    <w:spacing w:after="0"/>
                    <w:rPr>
                      <w:rFonts w:eastAsia="Times New Roman" w:cs="Arial"/>
                      <w:b/>
                      <w:bCs/>
                      <w:i/>
                      <w:iCs/>
                      <w:szCs w:val="20"/>
                    </w:rPr>
                  </w:pPr>
                  <w:r w:rsidRPr="00505285">
                    <w:rPr>
                      <w:rFonts w:eastAsia="Times New Roman" w:cs="Arial"/>
                      <w:b/>
                      <w:bCs/>
                      <w:i/>
                      <w:iCs/>
                      <w:szCs w:val="20"/>
                    </w:rPr>
                    <w:t>14 to under 18 years</w:t>
                  </w:r>
                </w:p>
              </w:tc>
              <w:tc>
                <w:tcPr>
                  <w:tcW w:w="1276" w:type="dxa"/>
                </w:tcPr>
                <w:p w14:paraId="4FDCA5E1"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95</w:t>
                  </w:r>
                </w:p>
              </w:tc>
              <w:tc>
                <w:tcPr>
                  <w:tcW w:w="1275" w:type="dxa"/>
                </w:tcPr>
                <w:p w14:paraId="5ED48D97"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150</w:t>
                  </w:r>
                </w:p>
              </w:tc>
            </w:tr>
          </w:tbl>
          <w:p w14:paraId="79655A3E" w14:textId="77777777" w:rsidR="00036214" w:rsidRDefault="00036214">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i/>
                <w:iCs/>
                <w:szCs w:val="20"/>
              </w:rPr>
            </w:pPr>
          </w:p>
          <w:tbl>
            <w:tblPr>
              <w:tblStyle w:val="TableGrid2"/>
              <w:tblW w:w="5786" w:type="dxa"/>
              <w:tblInd w:w="0" w:type="dxa"/>
              <w:tblLook w:val="06A0" w:firstRow="1" w:lastRow="0" w:firstColumn="1" w:lastColumn="0" w:noHBand="1" w:noVBand="1"/>
            </w:tblPr>
            <w:tblGrid>
              <w:gridCol w:w="3235"/>
              <w:gridCol w:w="1276"/>
              <w:gridCol w:w="1275"/>
            </w:tblGrid>
            <w:tr w:rsidR="00532AAA" w:rsidRPr="00505285" w14:paraId="55E1A5C5" w14:textId="77777777" w:rsidTr="008346F6">
              <w:trPr>
                <w:trHeight w:val="283"/>
              </w:trPr>
              <w:tc>
                <w:tcPr>
                  <w:tcW w:w="3235" w:type="dxa"/>
                </w:tcPr>
                <w:p w14:paraId="4043EBA4" w14:textId="77777777" w:rsidR="00532AAA" w:rsidRPr="00505285" w:rsidRDefault="00532AAA" w:rsidP="00532AAA">
                  <w:pPr>
                    <w:spacing w:after="0"/>
                    <w:jc w:val="center"/>
                    <w:rPr>
                      <w:rFonts w:eastAsia="Times New Roman" w:cs="Arial"/>
                      <w:b/>
                      <w:bCs/>
                      <w:i/>
                      <w:iCs/>
                      <w:szCs w:val="20"/>
                    </w:rPr>
                  </w:pPr>
                  <w:r w:rsidRPr="00505285">
                    <w:rPr>
                      <w:rFonts w:eastAsia="Arial" w:cs="Times New Roman"/>
                      <w:szCs w:val="20"/>
                      <w:u w:val="single"/>
                    </w:rPr>
                    <w:t>Age groupings by school-age:</w:t>
                  </w:r>
                </w:p>
              </w:tc>
              <w:tc>
                <w:tcPr>
                  <w:tcW w:w="1276" w:type="dxa"/>
                </w:tcPr>
                <w:p w14:paraId="08B3DACF" w14:textId="77777777" w:rsidR="00532AAA" w:rsidRPr="00505285" w:rsidRDefault="00532AAA" w:rsidP="00532AAA">
                  <w:pPr>
                    <w:spacing w:after="0"/>
                    <w:jc w:val="center"/>
                    <w:rPr>
                      <w:rFonts w:eastAsia="Times New Roman" w:cs="Arial"/>
                      <w:b/>
                      <w:bCs/>
                      <w:i/>
                      <w:iCs/>
                      <w:szCs w:val="20"/>
                    </w:rPr>
                  </w:pPr>
                  <w:r w:rsidRPr="00505285">
                    <w:rPr>
                      <w:rFonts w:eastAsia="Times New Roman" w:cs="Arial"/>
                      <w:b/>
                      <w:bCs/>
                      <w:i/>
                      <w:iCs/>
                      <w:szCs w:val="20"/>
                    </w:rPr>
                    <w:t>EAR</w:t>
                  </w:r>
                </w:p>
                <w:p w14:paraId="76DDDDB6" w14:textId="77777777" w:rsidR="00532AAA" w:rsidRPr="00505285" w:rsidRDefault="00532AAA" w:rsidP="00532AAA">
                  <w:pPr>
                    <w:spacing w:after="0"/>
                    <w:jc w:val="center"/>
                    <w:rPr>
                      <w:rFonts w:eastAsia="Times New Roman" w:cs="Arial"/>
                      <w:b/>
                      <w:bCs/>
                      <w:i/>
                      <w:iCs/>
                      <w:szCs w:val="20"/>
                    </w:rPr>
                  </w:pPr>
                  <w:r w:rsidRPr="00505285">
                    <w:rPr>
                      <w:rFonts w:eastAsia="Times New Roman" w:cs="Arial"/>
                      <w:b/>
                      <w:bCs/>
                      <w:i/>
                      <w:iCs/>
                      <w:szCs w:val="20"/>
                    </w:rPr>
                    <w:t>(</w:t>
                  </w:r>
                  <w:r w:rsidRPr="00505285">
                    <w:rPr>
                      <w:rFonts w:eastAsia="Times New Roman" w:cs="Arial"/>
                      <w:i/>
                      <w:iCs/>
                      <w:szCs w:val="20"/>
                    </w:rPr>
                    <w:t>µg/day)</w:t>
                  </w:r>
                </w:p>
              </w:tc>
              <w:tc>
                <w:tcPr>
                  <w:tcW w:w="1275" w:type="dxa"/>
                </w:tcPr>
                <w:p w14:paraId="388F76E5" w14:textId="77777777" w:rsidR="00532AAA" w:rsidRPr="00505285" w:rsidRDefault="00532AAA" w:rsidP="00532AAA">
                  <w:pPr>
                    <w:spacing w:after="0"/>
                    <w:jc w:val="center"/>
                    <w:rPr>
                      <w:rFonts w:eastAsia="Times New Roman" w:cs="Arial"/>
                      <w:b/>
                      <w:bCs/>
                      <w:i/>
                      <w:iCs/>
                      <w:szCs w:val="20"/>
                    </w:rPr>
                  </w:pPr>
                  <w:r w:rsidRPr="00505285">
                    <w:rPr>
                      <w:rFonts w:eastAsia="Times New Roman" w:cs="Arial"/>
                      <w:b/>
                      <w:bCs/>
                      <w:i/>
                      <w:iCs/>
                      <w:szCs w:val="20"/>
                    </w:rPr>
                    <w:t>RDI</w:t>
                  </w:r>
                </w:p>
                <w:p w14:paraId="72D0F8B1" w14:textId="77777777" w:rsidR="00532AAA" w:rsidRPr="00505285" w:rsidRDefault="00532AAA" w:rsidP="00532AAA">
                  <w:pPr>
                    <w:spacing w:after="0"/>
                    <w:jc w:val="center"/>
                    <w:rPr>
                      <w:rFonts w:eastAsia="Times New Roman" w:cs="Arial"/>
                      <w:b/>
                      <w:bCs/>
                      <w:i/>
                      <w:iCs/>
                      <w:szCs w:val="20"/>
                    </w:rPr>
                  </w:pPr>
                  <w:r w:rsidRPr="00505285">
                    <w:rPr>
                      <w:rFonts w:eastAsia="Times New Roman" w:cs="Arial"/>
                      <w:b/>
                      <w:bCs/>
                      <w:i/>
                      <w:iCs/>
                      <w:szCs w:val="20"/>
                    </w:rPr>
                    <w:t>(</w:t>
                  </w:r>
                  <w:r w:rsidRPr="00505285">
                    <w:rPr>
                      <w:rFonts w:eastAsia="Times New Roman" w:cs="Arial"/>
                      <w:i/>
                      <w:iCs/>
                      <w:szCs w:val="20"/>
                    </w:rPr>
                    <w:t>µg/day)</w:t>
                  </w:r>
                </w:p>
              </w:tc>
            </w:tr>
            <w:tr w:rsidR="00532AAA" w:rsidRPr="00505285" w14:paraId="2FDE37CF" w14:textId="77777777" w:rsidTr="008346F6">
              <w:trPr>
                <w:trHeight w:val="283"/>
              </w:trPr>
              <w:tc>
                <w:tcPr>
                  <w:tcW w:w="3235" w:type="dxa"/>
                </w:tcPr>
                <w:p w14:paraId="4CA15FFD" w14:textId="77777777" w:rsidR="00532AAA" w:rsidRPr="00505285" w:rsidRDefault="00532AAA" w:rsidP="00532AAA">
                  <w:pPr>
                    <w:spacing w:after="0"/>
                    <w:rPr>
                      <w:rFonts w:eastAsia="Times New Roman" w:cs="Arial"/>
                      <w:i/>
                      <w:iCs/>
                      <w:szCs w:val="20"/>
                    </w:rPr>
                  </w:pPr>
                  <w:r w:rsidRPr="00505285">
                    <w:rPr>
                      <w:rFonts w:eastAsia="Times New Roman" w:cs="Arial"/>
                      <w:b/>
                      <w:bCs/>
                      <w:i/>
                      <w:iCs/>
                      <w:szCs w:val="20"/>
                    </w:rPr>
                    <w:t>All</w:t>
                  </w:r>
                </w:p>
              </w:tc>
              <w:tc>
                <w:tcPr>
                  <w:tcW w:w="1276" w:type="dxa"/>
                </w:tcPr>
                <w:p w14:paraId="65EC5C8D" w14:textId="77777777" w:rsidR="00532AAA" w:rsidRPr="00505285" w:rsidRDefault="00532AAA" w:rsidP="00532AAA">
                  <w:pPr>
                    <w:spacing w:after="0"/>
                    <w:jc w:val="center"/>
                    <w:rPr>
                      <w:rFonts w:eastAsia="Times New Roman" w:cs="Arial"/>
                      <w:i/>
                      <w:iCs/>
                      <w:szCs w:val="20"/>
                    </w:rPr>
                  </w:pPr>
                </w:p>
              </w:tc>
              <w:tc>
                <w:tcPr>
                  <w:tcW w:w="1275" w:type="dxa"/>
                </w:tcPr>
                <w:p w14:paraId="37A77FCA" w14:textId="77777777" w:rsidR="00532AAA" w:rsidRPr="00505285" w:rsidRDefault="00532AAA" w:rsidP="00532AAA">
                  <w:pPr>
                    <w:spacing w:after="0"/>
                    <w:jc w:val="center"/>
                    <w:rPr>
                      <w:rFonts w:eastAsia="Times New Roman" w:cs="Arial"/>
                      <w:i/>
                      <w:iCs/>
                      <w:szCs w:val="20"/>
                    </w:rPr>
                  </w:pPr>
                </w:p>
              </w:tc>
            </w:tr>
            <w:tr w:rsidR="00532AAA" w:rsidRPr="00505285" w14:paraId="43BE1DAF" w14:textId="77777777" w:rsidTr="008346F6">
              <w:trPr>
                <w:trHeight w:val="283"/>
              </w:trPr>
              <w:tc>
                <w:tcPr>
                  <w:tcW w:w="3235" w:type="dxa"/>
                  <w:tcMar>
                    <w:left w:w="170" w:type="dxa"/>
                  </w:tcMar>
                </w:tcPr>
                <w:p w14:paraId="7B0FC85A"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 xml:space="preserve">12 to under 24 months </w:t>
                  </w:r>
                </w:p>
              </w:tc>
              <w:tc>
                <w:tcPr>
                  <w:tcW w:w="1276" w:type="dxa"/>
                </w:tcPr>
                <w:p w14:paraId="278621D4"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65</w:t>
                  </w:r>
                </w:p>
              </w:tc>
              <w:tc>
                <w:tcPr>
                  <w:tcW w:w="1275" w:type="dxa"/>
                </w:tcPr>
                <w:p w14:paraId="5FCC82AD"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90</w:t>
                  </w:r>
                </w:p>
              </w:tc>
            </w:tr>
            <w:tr w:rsidR="00532AAA" w:rsidRPr="00505285" w14:paraId="53DF4243" w14:textId="77777777" w:rsidTr="008346F6">
              <w:trPr>
                <w:trHeight w:val="283"/>
              </w:trPr>
              <w:tc>
                <w:tcPr>
                  <w:tcW w:w="3235" w:type="dxa"/>
                  <w:tcMar>
                    <w:left w:w="170" w:type="dxa"/>
                  </w:tcMar>
                </w:tcPr>
                <w:p w14:paraId="6F859F8F"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2 to under 5 years</w:t>
                  </w:r>
                </w:p>
              </w:tc>
              <w:tc>
                <w:tcPr>
                  <w:tcW w:w="1276" w:type="dxa"/>
                </w:tcPr>
                <w:p w14:paraId="74471ABF"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65</w:t>
                  </w:r>
                </w:p>
              </w:tc>
              <w:tc>
                <w:tcPr>
                  <w:tcW w:w="1275" w:type="dxa"/>
                </w:tcPr>
                <w:p w14:paraId="66D9FD82"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90</w:t>
                  </w:r>
                </w:p>
              </w:tc>
            </w:tr>
            <w:tr w:rsidR="00532AAA" w:rsidRPr="00505285" w14:paraId="415DEE3E" w14:textId="77777777" w:rsidTr="008346F6">
              <w:trPr>
                <w:trHeight w:val="283"/>
              </w:trPr>
              <w:tc>
                <w:tcPr>
                  <w:tcW w:w="3235" w:type="dxa"/>
                </w:tcPr>
                <w:p w14:paraId="36FDDC9B"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Males</w:t>
                  </w:r>
                </w:p>
              </w:tc>
              <w:tc>
                <w:tcPr>
                  <w:tcW w:w="1276" w:type="dxa"/>
                </w:tcPr>
                <w:p w14:paraId="4404FF19" w14:textId="77777777" w:rsidR="00532AAA" w:rsidRPr="00505285" w:rsidRDefault="00532AAA" w:rsidP="00532AAA">
                  <w:pPr>
                    <w:spacing w:after="0"/>
                    <w:jc w:val="center"/>
                    <w:rPr>
                      <w:rFonts w:eastAsia="Times New Roman" w:cs="Arial"/>
                      <w:i/>
                      <w:iCs/>
                      <w:szCs w:val="20"/>
                    </w:rPr>
                  </w:pPr>
                </w:p>
              </w:tc>
              <w:tc>
                <w:tcPr>
                  <w:tcW w:w="1275" w:type="dxa"/>
                </w:tcPr>
                <w:p w14:paraId="0EBB454A" w14:textId="77777777" w:rsidR="00532AAA" w:rsidRPr="00505285" w:rsidRDefault="00532AAA" w:rsidP="00532AAA">
                  <w:pPr>
                    <w:spacing w:after="0"/>
                    <w:jc w:val="center"/>
                    <w:rPr>
                      <w:rFonts w:eastAsia="Times New Roman" w:cs="Arial"/>
                      <w:i/>
                      <w:iCs/>
                      <w:szCs w:val="20"/>
                    </w:rPr>
                  </w:pPr>
                </w:p>
              </w:tc>
            </w:tr>
            <w:tr w:rsidR="00532AAA" w:rsidRPr="00505285" w14:paraId="010A69CC" w14:textId="77777777" w:rsidTr="008346F6">
              <w:trPr>
                <w:trHeight w:val="283"/>
              </w:trPr>
              <w:tc>
                <w:tcPr>
                  <w:tcW w:w="3235" w:type="dxa"/>
                  <w:tcMar>
                    <w:left w:w="170" w:type="dxa"/>
                  </w:tcMar>
                </w:tcPr>
                <w:p w14:paraId="4B898981"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5 to under 12 years</w:t>
                  </w:r>
                </w:p>
              </w:tc>
              <w:tc>
                <w:tcPr>
                  <w:tcW w:w="1276" w:type="dxa"/>
                </w:tcPr>
                <w:p w14:paraId="766CF08D"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70</w:t>
                  </w:r>
                </w:p>
              </w:tc>
              <w:tc>
                <w:tcPr>
                  <w:tcW w:w="1275" w:type="dxa"/>
                </w:tcPr>
                <w:p w14:paraId="4C55577E"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110</w:t>
                  </w:r>
                </w:p>
              </w:tc>
            </w:tr>
            <w:tr w:rsidR="00532AAA" w:rsidRPr="00505285" w14:paraId="1F4ECA73" w14:textId="77777777" w:rsidTr="008346F6">
              <w:trPr>
                <w:trHeight w:val="283"/>
              </w:trPr>
              <w:tc>
                <w:tcPr>
                  <w:tcW w:w="3235" w:type="dxa"/>
                  <w:tcMar>
                    <w:left w:w="170" w:type="dxa"/>
                  </w:tcMar>
                </w:tcPr>
                <w:p w14:paraId="0789759A"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12 to under 18 years</w:t>
                  </w:r>
                </w:p>
              </w:tc>
              <w:tc>
                <w:tcPr>
                  <w:tcW w:w="1276" w:type="dxa"/>
                </w:tcPr>
                <w:p w14:paraId="3F715B28"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90</w:t>
                  </w:r>
                </w:p>
              </w:tc>
              <w:tc>
                <w:tcPr>
                  <w:tcW w:w="1275" w:type="dxa"/>
                </w:tcPr>
                <w:p w14:paraId="7AC2D413"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140</w:t>
                  </w:r>
                </w:p>
              </w:tc>
            </w:tr>
            <w:tr w:rsidR="00532AAA" w:rsidRPr="00505285" w14:paraId="37B3D444" w14:textId="77777777" w:rsidTr="008346F6">
              <w:trPr>
                <w:trHeight w:val="283"/>
              </w:trPr>
              <w:tc>
                <w:tcPr>
                  <w:tcW w:w="3235" w:type="dxa"/>
                </w:tcPr>
                <w:p w14:paraId="2CB966D5"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Females</w:t>
                  </w:r>
                </w:p>
              </w:tc>
              <w:tc>
                <w:tcPr>
                  <w:tcW w:w="1276" w:type="dxa"/>
                </w:tcPr>
                <w:p w14:paraId="5FAAD70A" w14:textId="77777777" w:rsidR="00532AAA" w:rsidRPr="00505285" w:rsidRDefault="00532AAA" w:rsidP="00532AAA">
                  <w:pPr>
                    <w:spacing w:after="0"/>
                    <w:jc w:val="center"/>
                    <w:rPr>
                      <w:rFonts w:eastAsia="Times New Roman" w:cs="Arial"/>
                      <w:i/>
                      <w:iCs/>
                      <w:szCs w:val="20"/>
                    </w:rPr>
                  </w:pPr>
                </w:p>
              </w:tc>
              <w:tc>
                <w:tcPr>
                  <w:tcW w:w="1275" w:type="dxa"/>
                </w:tcPr>
                <w:p w14:paraId="3808766C" w14:textId="77777777" w:rsidR="00532AAA" w:rsidRPr="00505285" w:rsidRDefault="00532AAA" w:rsidP="00532AAA">
                  <w:pPr>
                    <w:spacing w:after="0"/>
                    <w:jc w:val="center"/>
                    <w:rPr>
                      <w:rFonts w:eastAsia="Times New Roman" w:cs="Arial"/>
                      <w:i/>
                      <w:iCs/>
                      <w:szCs w:val="20"/>
                    </w:rPr>
                  </w:pPr>
                </w:p>
              </w:tc>
            </w:tr>
            <w:tr w:rsidR="00532AAA" w:rsidRPr="00505285" w14:paraId="30597098" w14:textId="77777777" w:rsidTr="008346F6">
              <w:trPr>
                <w:trHeight w:val="283"/>
              </w:trPr>
              <w:tc>
                <w:tcPr>
                  <w:tcW w:w="3235" w:type="dxa"/>
                  <w:tcMar>
                    <w:left w:w="170" w:type="dxa"/>
                  </w:tcMar>
                </w:tcPr>
                <w:p w14:paraId="08E3160A"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5 to under 12 years</w:t>
                  </w:r>
                </w:p>
              </w:tc>
              <w:tc>
                <w:tcPr>
                  <w:tcW w:w="1276" w:type="dxa"/>
                </w:tcPr>
                <w:p w14:paraId="0AD12F3D"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70</w:t>
                  </w:r>
                </w:p>
              </w:tc>
              <w:tc>
                <w:tcPr>
                  <w:tcW w:w="1275" w:type="dxa"/>
                </w:tcPr>
                <w:p w14:paraId="160DF414"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110</w:t>
                  </w:r>
                </w:p>
              </w:tc>
            </w:tr>
            <w:tr w:rsidR="00532AAA" w:rsidRPr="00505285" w14:paraId="00B28FDD" w14:textId="77777777" w:rsidTr="008346F6">
              <w:trPr>
                <w:trHeight w:val="283"/>
              </w:trPr>
              <w:tc>
                <w:tcPr>
                  <w:tcW w:w="3235" w:type="dxa"/>
                  <w:tcMar>
                    <w:left w:w="170" w:type="dxa"/>
                  </w:tcMar>
                </w:tcPr>
                <w:p w14:paraId="72413C13"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12 to under 18 years</w:t>
                  </w:r>
                </w:p>
              </w:tc>
              <w:tc>
                <w:tcPr>
                  <w:tcW w:w="1276" w:type="dxa"/>
                </w:tcPr>
                <w:p w14:paraId="4BAAA255"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90</w:t>
                  </w:r>
                </w:p>
              </w:tc>
              <w:tc>
                <w:tcPr>
                  <w:tcW w:w="1275" w:type="dxa"/>
                </w:tcPr>
                <w:p w14:paraId="6C22736A"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140</w:t>
                  </w:r>
                </w:p>
              </w:tc>
            </w:tr>
          </w:tbl>
          <w:p w14:paraId="18CE30BD" w14:textId="77777777" w:rsidR="00532AAA" w:rsidRPr="00505285" w:rsidRDefault="00532AAA">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i/>
                <w:iCs/>
                <w:szCs w:val="20"/>
              </w:rPr>
            </w:pPr>
          </w:p>
        </w:tc>
        <w:tc>
          <w:tcPr>
            <w:tcW w:w="0" w:type="dxa"/>
          </w:tcPr>
          <w:tbl>
            <w:tblPr>
              <w:tblStyle w:val="TableGrid2"/>
              <w:tblW w:w="4848" w:type="dxa"/>
              <w:tblInd w:w="0" w:type="dxa"/>
              <w:tblLook w:val="06A0" w:firstRow="1" w:lastRow="0" w:firstColumn="1" w:lastColumn="0" w:noHBand="1" w:noVBand="1"/>
            </w:tblPr>
            <w:tblGrid>
              <w:gridCol w:w="3289"/>
              <w:gridCol w:w="1559"/>
            </w:tblGrid>
            <w:tr w:rsidR="00036214" w:rsidRPr="00505285" w14:paraId="3CCDE8C6" w14:textId="77777777" w:rsidTr="008346F6">
              <w:trPr>
                <w:trHeight w:val="397"/>
              </w:trPr>
              <w:tc>
                <w:tcPr>
                  <w:tcW w:w="3289" w:type="dxa"/>
                </w:tcPr>
                <w:p w14:paraId="39307889" w14:textId="77777777" w:rsidR="00036214" w:rsidRPr="00505285" w:rsidRDefault="00036214">
                  <w:pPr>
                    <w:spacing w:after="0"/>
                    <w:rPr>
                      <w:rFonts w:eastAsia="Times New Roman" w:cs="Arial"/>
                      <w:b/>
                      <w:bCs/>
                      <w:i/>
                      <w:iCs/>
                      <w:szCs w:val="20"/>
                    </w:rPr>
                  </w:pPr>
                  <w:r w:rsidRPr="00505285">
                    <w:rPr>
                      <w:rFonts w:eastAsia="Arial" w:cs="Times New Roman"/>
                      <w:szCs w:val="20"/>
                      <w:u w:val="single"/>
                    </w:rPr>
                    <w:t>NRVs age groupings:</w:t>
                  </w:r>
                </w:p>
              </w:tc>
              <w:tc>
                <w:tcPr>
                  <w:tcW w:w="1559" w:type="dxa"/>
                </w:tcPr>
                <w:p w14:paraId="138CEA40" w14:textId="77777777" w:rsidR="00036214" w:rsidRPr="00505285" w:rsidRDefault="00036214">
                  <w:pPr>
                    <w:spacing w:after="0"/>
                    <w:jc w:val="center"/>
                    <w:rPr>
                      <w:rFonts w:eastAsia="Times New Roman" w:cs="Arial"/>
                      <w:b/>
                      <w:bCs/>
                      <w:i/>
                      <w:iCs/>
                      <w:szCs w:val="20"/>
                    </w:rPr>
                  </w:pPr>
                  <w:r w:rsidRPr="00505285">
                    <w:rPr>
                      <w:rFonts w:eastAsia="Times New Roman" w:cs="Arial"/>
                      <w:b/>
                      <w:bCs/>
                      <w:i/>
                      <w:iCs/>
                      <w:szCs w:val="20"/>
                    </w:rPr>
                    <w:t>AI</w:t>
                  </w:r>
                </w:p>
                <w:p w14:paraId="200361DC" w14:textId="77777777" w:rsidR="00036214" w:rsidRPr="00505285" w:rsidRDefault="00036214">
                  <w:pPr>
                    <w:spacing w:after="0"/>
                    <w:jc w:val="center"/>
                    <w:rPr>
                      <w:rFonts w:eastAsia="Times New Roman" w:cs="Arial"/>
                      <w:b/>
                      <w:bCs/>
                      <w:i/>
                      <w:iCs/>
                      <w:szCs w:val="20"/>
                    </w:rPr>
                  </w:pPr>
                  <w:r w:rsidRPr="00505285">
                    <w:rPr>
                      <w:rFonts w:eastAsia="Times New Roman" w:cs="Arial"/>
                      <w:b/>
                      <w:bCs/>
                      <w:i/>
                      <w:iCs/>
                      <w:szCs w:val="20"/>
                    </w:rPr>
                    <w:t>(</w:t>
                  </w:r>
                  <w:r w:rsidRPr="00505285">
                    <w:rPr>
                      <w:rFonts w:eastAsia="Times New Roman" w:cs="Arial"/>
                      <w:i/>
                      <w:iCs/>
                      <w:szCs w:val="20"/>
                    </w:rPr>
                    <w:t>µg/day)</w:t>
                  </w:r>
                </w:p>
              </w:tc>
            </w:tr>
            <w:tr w:rsidR="00036214" w:rsidRPr="00505285" w14:paraId="4852069B" w14:textId="77777777" w:rsidTr="008346F6">
              <w:trPr>
                <w:trHeight w:val="397"/>
              </w:trPr>
              <w:tc>
                <w:tcPr>
                  <w:tcW w:w="3289" w:type="dxa"/>
                </w:tcPr>
                <w:p w14:paraId="4267C214" w14:textId="77777777" w:rsidR="00036214" w:rsidRPr="00505285" w:rsidRDefault="00036214">
                  <w:pPr>
                    <w:spacing w:after="0"/>
                    <w:rPr>
                      <w:rFonts w:eastAsia="Times New Roman" w:cs="Arial"/>
                      <w:i/>
                      <w:iCs/>
                      <w:szCs w:val="20"/>
                    </w:rPr>
                  </w:pPr>
                  <w:r w:rsidRPr="00505285">
                    <w:rPr>
                      <w:rFonts w:eastAsia="Times New Roman" w:cs="Arial"/>
                      <w:b/>
                      <w:bCs/>
                      <w:i/>
                      <w:iCs/>
                      <w:szCs w:val="20"/>
                    </w:rPr>
                    <w:t>All</w:t>
                  </w:r>
                </w:p>
              </w:tc>
              <w:tc>
                <w:tcPr>
                  <w:tcW w:w="1559" w:type="dxa"/>
                </w:tcPr>
                <w:p w14:paraId="218D646A" w14:textId="77777777" w:rsidR="00036214" w:rsidRPr="00505285" w:rsidRDefault="00036214">
                  <w:pPr>
                    <w:spacing w:after="0"/>
                    <w:jc w:val="center"/>
                    <w:rPr>
                      <w:rFonts w:eastAsia="Times New Roman" w:cs="Arial"/>
                      <w:i/>
                      <w:iCs/>
                      <w:szCs w:val="20"/>
                    </w:rPr>
                  </w:pPr>
                </w:p>
              </w:tc>
            </w:tr>
            <w:tr w:rsidR="00532AAA" w:rsidRPr="00505285" w14:paraId="61DA1863" w14:textId="77777777" w:rsidTr="008346F6">
              <w:trPr>
                <w:trHeight w:val="397"/>
              </w:trPr>
              <w:tc>
                <w:tcPr>
                  <w:tcW w:w="3289" w:type="dxa"/>
                  <w:tcMar>
                    <w:left w:w="170" w:type="dxa"/>
                  </w:tcMar>
                </w:tcPr>
                <w:p w14:paraId="23FA51F8" w14:textId="77777777" w:rsidR="00532AAA" w:rsidRPr="00505285" w:rsidRDefault="00532AAA">
                  <w:pPr>
                    <w:spacing w:after="0"/>
                    <w:rPr>
                      <w:rFonts w:eastAsia="Times New Roman" w:cs="Arial"/>
                      <w:b/>
                      <w:bCs/>
                      <w:i/>
                      <w:iCs/>
                      <w:szCs w:val="20"/>
                    </w:rPr>
                  </w:pPr>
                  <w:r w:rsidRPr="00505285">
                    <w:rPr>
                      <w:rFonts w:eastAsia="Times New Roman" w:cs="Arial"/>
                      <w:b/>
                      <w:bCs/>
                      <w:i/>
                      <w:iCs/>
                      <w:szCs w:val="20"/>
                    </w:rPr>
                    <w:t xml:space="preserve">1 to under 4 years </w:t>
                  </w:r>
                </w:p>
              </w:tc>
              <w:tc>
                <w:tcPr>
                  <w:tcW w:w="1559" w:type="dxa"/>
                </w:tcPr>
                <w:p w14:paraId="55275AFA"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90</w:t>
                  </w:r>
                </w:p>
              </w:tc>
            </w:tr>
            <w:tr w:rsidR="00532AAA" w:rsidRPr="00505285" w14:paraId="3E3672AE" w14:textId="77777777" w:rsidTr="008346F6">
              <w:trPr>
                <w:trHeight w:val="397"/>
              </w:trPr>
              <w:tc>
                <w:tcPr>
                  <w:tcW w:w="3289" w:type="dxa"/>
                  <w:tcMar>
                    <w:left w:w="170" w:type="dxa"/>
                  </w:tcMar>
                </w:tcPr>
                <w:p w14:paraId="52D25CDB" w14:textId="77777777" w:rsidR="00532AAA" w:rsidRPr="00505285" w:rsidRDefault="00532AAA">
                  <w:pPr>
                    <w:spacing w:after="0"/>
                    <w:rPr>
                      <w:rFonts w:eastAsia="Times New Roman" w:cs="Arial"/>
                      <w:b/>
                      <w:bCs/>
                      <w:i/>
                      <w:iCs/>
                      <w:szCs w:val="20"/>
                    </w:rPr>
                  </w:pPr>
                  <w:r w:rsidRPr="00505285">
                    <w:rPr>
                      <w:rFonts w:eastAsia="Times New Roman" w:cs="Arial"/>
                      <w:b/>
                      <w:bCs/>
                      <w:i/>
                      <w:iCs/>
                      <w:szCs w:val="20"/>
                    </w:rPr>
                    <w:t>4 to under 9 years</w:t>
                  </w:r>
                </w:p>
              </w:tc>
              <w:tc>
                <w:tcPr>
                  <w:tcW w:w="1559" w:type="dxa"/>
                </w:tcPr>
                <w:p w14:paraId="6B412BB3"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90</w:t>
                  </w:r>
                </w:p>
              </w:tc>
            </w:tr>
            <w:tr w:rsidR="00036214" w:rsidRPr="00505285" w14:paraId="032CD9DD" w14:textId="77777777" w:rsidTr="008346F6">
              <w:trPr>
                <w:trHeight w:val="397"/>
              </w:trPr>
              <w:tc>
                <w:tcPr>
                  <w:tcW w:w="3289" w:type="dxa"/>
                </w:tcPr>
                <w:p w14:paraId="49DA5267" w14:textId="77777777" w:rsidR="00036214" w:rsidRPr="00505285" w:rsidRDefault="00036214">
                  <w:pPr>
                    <w:spacing w:after="0"/>
                    <w:rPr>
                      <w:rFonts w:eastAsia="Times New Roman" w:cs="Arial"/>
                      <w:b/>
                      <w:bCs/>
                      <w:i/>
                      <w:iCs/>
                      <w:szCs w:val="20"/>
                    </w:rPr>
                  </w:pPr>
                  <w:r w:rsidRPr="00505285">
                    <w:rPr>
                      <w:rFonts w:eastAsia="Times New Roman" w:cs="Arial"/>
                      <w:b/>
                      <w:bCs/>
                      <w:i/>
                      <w:iCs/>
                      <w:szCs w:val="20"/>
                    </w:rPr>
                    <w:t>Males</w:t>
                  </w:r>
                </w:p>
              </w:tc>
              <w:tc>
                <w:tcPr>
                  <w:tcW w:w="1559" w:type="dxa"/>
                </w:tcPr>
                <w:p w14:paraId="57982769" w14:textId="77777777" w:rsidR="00036214" w:rsidRPr="00505285" w:rsidRDefault="00036214">
                  <w:pPr>
                    <w:spacing w:after="0"/>
                    <w:jc w:val="center"/>
                    <w:rPr>
                      <w:rFonts w:eastAsia="Times New Roman" w:cs="Arial"/>
                      <w:i/>
                      <w:iCs/>
                      <w:szCs w:val="20"/>
                    </w:rPr>
                  </w:pPr>
                </w:p>
              </w:tc>
            </w:tr>
            <w:tr w:rsidR="00532AAA" w:rsidRPr="00505285" w14:paraId="130D073D" w14:textId="77777777" w:rsidTr="008346F6">
              <w:trPr>
                <w:trHeight w:val="397"/>
              </w:trPr>
              <w:tc>
                <w:tcPr>
                  <w:tcW w:w="3289" w:type="dxa"/>
                  <w:tcMar>
                    <w:left w:w="170" w:type="dxa"/>
                  </w:tcMar>
                </w:tcPr>
                <w:p w14:paraId="49C7726F" w14:textId="77777777" w:rsidR="00532AAA" w:rsidRPr="00505285" w:rsidRDefault="00532AAA">
                  <w:pPr>
                    <w:spacing w:after="0"/>
                    <w:rPr>
                      <w:rFonts w:eastAsia="Times New Roman" w:cs="Arial"/>
                      <w:b/>
                      <w:bCs/>
                      <w:i/>
                      <w:iCs/>
                      <w:szCs w:val="20"/>
                    </w:rPr>
                  </w:pPr>
                  <w:r w:rsidRPr="00505285">
                    <w:rPr>
                      <w:rFonts w:eastAsia="Times New Roman" w:cs="Arial"/>
                      <w:b/>
                      <w:bCs/>
                      <w:i/>
                      <w:iCs/>
                      <w:szCs w:val="20"/>
                    </w:rPr>
                    <w:t>9 to under 14 years</w:t>
                  </w:r>
                </w:p>
              </w:tc>
              <w:tc>
                <w:tcPr>
                  <w:tcW w:w="1559" w:type="dxa"/>
                </w:tcPr>
                <w:p w14:paraId="037DFAD9"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120</w:t>
                  </w:r>
                </w:p>
              </w:tc>
            </w:tr>
            <w:tr w:rsidR="00532AAA" w:rsidRPr="00505285" w14:paraId="36BD0424" w14:textId="77777777" w:rsidTr="008346F6">
              <w:trPr>
                <w:trHeight w:val="397"/>
              </w:trPr>
              <w:tc>
                <w:tcPr>
                  <w:tcW w:w="3289" w:type="dxa"/>
                  <w:tcMar>
                    <w:left w:w="170" w:type="dxa"/>
                  </w:tcMar>
                </w:tcPr>
                <w:p w14:paraId="7E580261" w14:textId="77777777" w:rsidR="00532AAA" w:rsidRPr="00505285" w:rsidRDefault="00532AAA">
                  <w:pPr>
                    <w:spacing w:after="0"/>
                    <w:rPr>
                      <w:rFonts w:eastAsia="Times New Roman" w:cs="Arial"/>
                      <w:b/>
                      <w:bCs/>
                      <w:i/>
                      <w:iCs/>
                      <w:szCs w:val="20"/>
                    </w:rPr>
                  </w:pPr>
                  <w:r w:rsidRPr="00505285">
                    <w:rPr>
                      <w:rFonts w:eastAsia="Times New Roman" w:cs="Arial"/>
                      <w:b/>
                      <w:bCs/>
                      <w:i/>
                      <w:iCs/>
                      <w:szCs w:val="20"/>
                    </w:rPr>
                    <w:t>14 to under 18 years</w:t>
                  </w:r>
                </w:p>
              </w:tc>
              <w:tc>
                <w:tcPr>
                  <w:tcW w:w="1559" w:type="dxa"/>
                </w:tcPr>
                <w:p w14:paraId="11604ED5"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150</w:t>
                  </w:r>
                </w:p>
              </w:tc>
            </w:tr>
            <w:tr w:rsidR="00036214" w:rsidRPr="00505285" w14:paraId="3C7A053E" w14:textId="77777777" w:rsidTr="008346F6">
              <w:trPr>
                <w:trHeight w:val="397"/>
              </w:trPr>
              <w:tc>
                <w:tcPr>
                  <w:tcW w:w="3289" w:type="dxa"/>
                </w:tcPr>
                <w:p w14:paraId="0C54ACDA" w14:textId="77777777" w:rsidR="00036214" w:rsidRPr="00505285" w:rsidRDefault="00036214">
                  <w:pPr>
                    <w:spacing w:after="0"/>
                    <w:rPr>
                      <w:rFonts w:eastAsia="Times New Roman" w:cs="Arial"/>
                      <w:b/>
                      <w:bCs/>
                      <w:i/>
                      <w:iCs/>
                      <w:szCs w:val="20"/>
                    </w:rPr>
                  </w:pPr>
                  <w:r w:rsidRPr="00505285">
                    <w:rPr>
                      <w:rFonts w:eastAsia="Times New Roman" w:cs="Arial"/>
                      <w:b/>
                      <w:bCs/>
                      <w:i/>
                      <w:iCs/>
                      <w:szCs w:val="20"/>
                    </w:rPr>
                    <w:t>Females</w:t>
                  </w:r>
                </w:p>
              </w:tc>
              <w:tc>
                <w:tcPr>
                  <w:tcW w:w="1559" w:type="dxa"/>
                </w:tcPr>
                <w:p w14:paraId="2777DD85" w14:textId="77777777" w:rsidR="00036214" w:rsidRPr="00505285" w:rsidRDefault="00036214">
                  <w:pPr>
                    <w:spacing w:after="0"/>
                    <w:jc w:val="center"/>
                    <w:rPr>
                      <w:rFonts w:eastAsia="Times New Roman" w:cs="Arial"/>
                      <w:i/>
                      <w:iCs/>
                      <w:szCs w:val="20"/>
                    </w:rPr>
                  </w:pPr>
                </w:p>
              </w:tc>
            </w:tr>
            <w:tr w:rsidR="00532AAA" w:rsidRPr="00505285" w14:paraId="77FDA4AE" w14:textId="77777777" w:rsidTr="008346F6">
              <w:trPr>
                <w:trHeight w:val="397"/>
              </w:trPr>
              <w:tc>
                <w:tcPr>
                  <w:tcW w:w="3289" w:type="dxa"/>
                  <w:tcMar>
                    <w:left w:w="170" w:type="dxa"/>
                  </w:tcMar>
                </w:tcPr>
                <w:p w14:paraId="0772C8AB" w14:textId="77777777" w:rsidR="00532AAA" w:rsidRPr="00505285" w:rsidRDefault="00532AAA">
                  <w:pPr>
                    <w:spacing w:after="0"/>
                    <w:rPr>
                      <w:rFonts w:eastAsia="Times New Roman" w:cs="Arial"/>
                      <w:b/>
                      <w:bCs/>
                      <w:i/>
                      <w:iCs/>
                      <w:szCs w:val="20"/>
                    </w:rPr>
                  </w:pPr>
                  <w:r w:rsidRPr="00505285">
                    <w:rPr>
                      <w:rFonts w:eastAsia="Times New Roman" w:cs="Arial"/>
                      <w:b/>
                      <w:bCs/>
                      <w:i/>
                      <w:iCs/>
                      <w:szCs w:val="20"/>
                    </w:rPr>
                    <w:t>9 to under 14 years</w:t>
                  </w:r>
                </w:p>
              </w:tc>
              <w:tc>
                <w:tcPr>
                  <w:tcW w:w="1559" w:type="dxa"/>
                </w:tcPr>
                <w:p w14:paraId="59890124"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120</w:t>
                  </w:r>
                </w:p>
              </w:tc>
            </w:tr>
            <w:tr w:rsidR="00532AAA" w:rsidRPr="00505285" w14:paraId="10C4FE9F" w14:textId="77777777" w:rsidTr="008346F6">
              <w:trPr>
                <w:trHeight w:val="397"/>
              </w:trPr>
              <w:tc>
                <w:tcPr>
                  <w:tcW w:w="3289" w:type="dxa"/>
                  <w:tcMar>
                    <w:left w:w="170" w:type="dxa"/>
                  </w:tcMar>
                </w:tcPr>
                <w:p w14:paraId="1993DCAC" w14:textId="77777777" w:rsidR="00532AAA" w:rsidRPr="00505285" w:rsidRDefault="00532AAA">
                  <w:pPr>
                    <w:spacing w:after="0"/>
                    <w:rPr>
                      <w:rFonts w:eastAsia="Times New Roman" w:cs="Arial"/>
                      <w:b/>
                      <w:bCs/>
                      <w:i/>
                      <w:iCs/>
                      <w:szCs w:val="20"/>
                    </w:rPr>
                  </w:pPr>
                  <w:r w:rsidRPr="00505285">
                    <w:rPr>
                      <w:rFonts w:eastAsia="Times New Roman" w:cs="Arial"/>
                      <w:b/>
                      <w:bCs/>
                      <w:i/>
                      <w:iCs/>
                      <w:szCs w:val="20"/>
                    </w:rPr>
                    <w:t>14 to under 18 years</w:t>
                  </w:r>
                </w:p>
              </w:tc>
              <w:tc>
                <w:tcPr>
                  <w:tcW w:w="1559" w:type="dxa"/>
                </w:tcPr>
                <w:p w14:paraId="588566C8" w14:textId="77777777" w:rsidR="00532AAA" w:rsidRPr="00505285" w:rsidRDefault="00532AAA">
                  <w:pPr>
                    <w:spacing w:after="0"/>
                    <w:jc w:val="center"/>
                    <w:rPr>
                      <w:rFonts w:eastAsia="Times New Roman" w:cs="Arial"/>
                      <w:i/>
                      <w:iCs/>
                      <w:szCs w:val="20"/>
                    </w:rPr>
                  </w:pPr>
                  <w:r w:rsidRPr="00505285">
                    <w:rPr>
                      <w:rFonts w:eastAsia="Times New Roman" w:cs="Arial"/>
                      <w:i/>
                      <w:iCs/>
                      <w:szCs w:val="20"/>
                    </w:rPr>
                    <w:t>150</w:t>
                  </w:r>
                </w:p>
              </w:tc>
            </w:tr>
          </w:tbl>
          <w:p w14:paraId="7347E42F" w14:textId="77777777" w:rsidR="00036214" w:rsidRDefault="00036214">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rPr>
            </w:pPr>
          </w:p>
          <w:tbl>
            <w:tblPr>
              <w:tblStyle w:val="TableGrid2"/>
              <w:tblW w:w="4848" w:type="dxa"/>
              <w:tblInd w:w="0" w:type="dxa"/>
              <w:tblLook w:val="06A0" w:firstRow="1" w:lastRow="0" w:firstColumn="1" w:lastColumn="0" w:noHBand="1" w:noVBand="1"/>
            </w:tblPr>
            <w:tblGrid>
              <w:gridCol w:w="3289"/>
              <w:gridCol w:w="1559"/>
            </w:tblGrid>
            <w:tr w:rsidR="00532AAA" w:rsidRPr="00505285" w14:paraId="58B6ADB6" w14:textId="77777777" w:rsidTr="008346F6">
              <w:trPr>
                <w:trHeight w:val="397"/>
              </w:trPr>
              <w:tc>
                <w:tcPr>
                  <w:tcW w:w="3289" w:type="dxa"/>
                </w:tcPr>
                <w:p w14:paraId="2809DAC8" w14:textId="77777777" w:rsidR="00532AAA" w:rsidRPr="00505285" w:rsidRDefault="00532AAA" w:rsidP="00532AAA">
                  <w:pPr>
                    <w:spacing w:after="0"/>
                    <w:jc w:val="center"/>
                    <w:rPr>
                      <w:rFonts w:eastAsia="Times New Roman" w:cs="Arial"/>
                      <w:b/>
                      <w:bCs/>
                      <w:i/>
                      <w:iCs/>
                      <w:szCs w:val="20"/>
                    </w:rPr>
                  </w:pPr>
                  <w:r w:rsidRPr="00505285">
                    <w:rPr>
                      <w:rFonts w:eastAsia="Arial" w:cs="Times New Roman"/>
                      <w:szCs w:val="20"/>
                      <w:u w:val="single"/>
                    </w:rPr>
                    <w:t>Age groupings by school-age:</w:t>
                  </w:r>
                </w:p>
              </w:tc>
              <w:tc>
                <w:tcPr>
                  <w:tcW w:w="1559" w:type="dxa"/>
                </w:tcPr>
                <w:p w14:paraId="1D1B004D" w14:textId="77777777" w:rsidR="00532AAA" w:rsidRPr="00505285" w:rsidRDefault="00532AAA" w:rsidP="00532AAA">
                  <w:pPr>
                    <w:spacing w:after="0"/>
                    <w:jc w:val="center"/>
                    <w:rPr>
                      <w:rFonts w:eastAsia="Times New Roman" w:cs="Arial"/>
                      <w:b/>
                      <w:bCs/>
                      <w:i/>
                      <w:iCs/>
                      <w:szCs w:val="20"/>
                    </w:rPr>
                  </w:pPr>
                  <w:r w:rsidRPr="00505285">
                    <w:rPr>
                      <w:rFonts w:eastAsia="Times New Roman" w:cs="Arial"/>
                      <w:b/>
                      <w:bCs/>
                      <w:i/>
                      <w:iCs/>
                      <w:szCs w:val="20"/>
                    </w:rPr>
                    <w:t>AI</w:t>
                  </w:r>
                </w:p>
                <w:p w14:paraId="2FE7550D" w14:textId="77777777" w:rsidR="00532AAA" w:rsidRPr="00505285" w:rsidRDefault="00532AAA" w:rsidP="00532AAA">
                  <w:pPr>
                    <w:spacing w:after="0"/>
                    <w:jc w:val="center"/>
                    <w:rPr>
                      <w:rFonts w:eastAsia="Times New Roman" w:cs="Arial"/>
                      <w:b/>
                      <w:bCs/>
                      <w:i/>
                      <w:iCs/>
                      <w:szCs w:val="20"/>
                    </w:rPr>
                  </w:pPr>
                  <w:r w:rsidRPr="00505285">
                    <w:rPr>
                      <w:rFonts w:eastAsia="Times New Roman" w:cs="Arial"/>
                      <w:b/>
                      <w:bCs/>
                      <w:i/>
                      <w:iCs/>
                      <w:szCs w:val="20"/>
                    </w:rPr>
                    <w:t>(</w:t>
                  </w:r>
                  <w:r w:rsidRPr="00505285">
                    <w:rPr>
                      <w:rFonts w:eastAsia="Times New Roman" w:cs="Arial"/>
                      <w:i/>
                      <w:iCs/>
                      <w:szCs w:val="20"/>
                    </w:rPr>
                    <w:t>µg/day)</w:t>
                  </w:r>
                </w:p>
              </w:tc>
            </w:tr>
            <w:tr w:rsidR="00532AAA" w:rsidRPr="00505285" w14:paraId="1D9FBFE5" w14:textId="77777777" w:rsidTr="008346F6">
              <w:trPr>
                <w:trHeight w:val="397"/>
              </w:trPr>
              <w:tc>
                <w:tcPr>
                  <w:tcW w:w="3289" w:type="dxa"/>
                </w:tcPr>
                <w:p w14:paraId="7332FEB9" w14:textId="77777777" w:rsidR="00532AAA" w:rsidRPr="00505285" w:rsidRDefault="00532AAA" w:rsidP="00532AAA">
                  <w:pPr>
                    <w:spacing w:after="0"/>
                    <w:rPr>
                      <w:rFonts w:eastAsia="Times New Roman" w:cs="Arial"/>
                      <w:i/>
                      <w:iCs/>
                      <w:szCs w:val="20"/>
                    </w:rPr>
                  </w:pPr>
                  <w:r w:rsidRPr="00505285">
                    <w:rPr>
                      <w:rFonts w:eastAsia="Times New Roman" w:cs="Arial"/>
                      <w:b/>
                      <w:bCs/>
                      <w:i/>
                      <w:iCs/>
                      <w:szCs w:val="20"/>
                    </w:rPr>
                    <w:t>All</w:t>
                  </w:r>
                </w:p>
              </w:tc>
              <w:tc>
                <w:tcPr>
                  <w:tcW w:w="1559" w:type="dxa"/>
                </w:tcPr>
                <w:p w14:paraId="0662F6B9" w14:textId="77777777" w:rsidR="00532AAA" w:rsidRPr="00505285" w:rsidRDefault="00532AAA" w:rsidP="00532AAA">
                  <w:pPr>
                    <w:spacing w:after="0"/>
                    <w:jc w:val="center"/>
                    <w:rPr>
                      <w:rFonts w:eastAsia="Times New Roman" w:cs="Arial"/>
                      <w:i/>
                      <w:iCs/>
                      <w:szCs w:val="20"/>
                    </w:rPr>
                  </w:pPr>
                </w:p>
              </w:tc>
            </w:tr>
            <w:tr w:rsidR="00532AAA" w:rsidRPr="00505285" w14:paraId="27F4CBD2" w14:textId="77777777" w:rsidTr="008346F6">
              <w:trPr>
                <w:trHeight w:val="397"/>
              </w:trPr>
              <w:tc>
                <w:tcPr>
                  <w:tcW w:w="3289" w:type="dxa"/>
                  <w:tcMar>
                    <w:left w:w="170" w:type="dxa"/>
                  </w:tcMar>
                </w:tcPr>
                <w:p w14:paraId="14917FDF"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 xml:space="preserve">12 to under 24 months </w:t>
                  </w:r>
                </w:p>
              </w:tc>
              <w:tc>
                <w:tcPr>
                  <w:tcW w:w="1559" w:type="dxa"/>
                </w:tcPr>
                <w:p w14:paraId="2CE35306"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90</w:t>
                  </w:r>
                </w:p>
              </w:tc>
            </w:tr>
            <w:tr w:rsidR="00532AAA" w:rsidRPr="00505285" w14:paraId="6A5AED3E" w14:textId="77777777" w:rsidTr="008346F6">
              <w:trPr>
                <w:trHeight w:val="397"/>
              </w:trPr>
              <w:tc>
                <w:tcPr>
                  <w:tcW w:w="3289" w:type="dxa"/>
                  <w:tcMar>
                    <w:left w:w="170" w:type="dxa"/>
                  </w:tcMar>
                </w:tcPr>
                <w:p w14:paraId="753C0B6E"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2 to under 5 years</w:t>
                  </w:r>
                </w:p>
              </w:tc>
              <w:tc>
                <w:tcPr>
                  <w:tcW w:w="1559" w:type="dxa"/>
                </w:tcPr>
                <w:p w14:paraId="1B8F7A7E"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90</w:t>
                  </w:r>
                </w:p>
              </w:tc>
            </w:tr>
            <w:tr w:rsidR="00532AAA" w:rsidRPr="00505285" w14:paraId="1036D013" w14:textId="77777777" w:rsidTr="008346F6">
              <w:trPr>
                <w:trHeight w:val="397"/>
              </w:trPr>
              <w:tc>
                <w:tcPr>
                  <w:tcW w:w="3289" w:type="dxa"/>
                </w:tcPr>
                <w:p w14:paraId="3D4C4994"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Males</w:t>
                  </w:r>
                </w:p>
              </w:tc>
              <w:tc>
                <w:tcPr>
                  <w:tcW w:w="1559" w:type="dxa"/>
                </w:tcPr>
                <w:p w14:paraId="32AF7561" w14:textId="77777777" w:rsidR="00532AAA" w:rsidRPr="00505285" w:rsidRDefault="00532AAA" w:rsidP="00532AAA">
                  <w:pPr>
                    <w:spacing w:after="0"/>
                    <w:jc w:val="center"/>
                    <w:rPr>
                      <w:rFonts w:eastAsia="Times New Roman" w:cs="Arial"/>
                      <w:i/>
                      <w:iCs/>
                      <w:szCs w:val="20"/>
                    </w:rPr>
                  </w:pPr>
                </w:p>
              </w:tc>
            </w:tr>
            <w:tr w:rsidR="00532AAA" w:rsidRPr="00505285" w14:paraId="0553A9DB" w14:textId="77777777" w:rsidTr="008346F6">
              <w:trPr>
                <w:trHeight w:val="397"/>
              </w:trPr>
              <w:tc>
                <w:tcPr>
                  <w:tcW w:w="3289" w:type="dxa"/>
                  <w:tcMar>
                    <w:left w:w="170" w:type="dxa"/>
                  </w:tcMar>
                </w:tcPr>
                <w:p w14:paraId="21D92778"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5 to under 12 years</w:t>
                  </w:r>
                </w:p>
              </w:tc>
              <w:tc>
                <w:tcPr>
                  <w:tcW w:w="1559" w:type="dxa"/>
                </w:tcPr>
                <w:p w14:paraId="22CBF3C6"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110</w:t>
                  </w:r>
                </w:p>
              </w:tc>
            </w:tr>
            <w:tr w:rsidR="00532AAA" w:rsidRPr="00505285" w14:paraId="6A3F2508" w14:textId="77777777" w:rsidTr="008346F6">
              <w:trPr>
                <w:trHeight w:val="397"/>
              </w:trPr>
              <w:tc>
                <w:tcPr>
                  <w:tcW w:w="3289" w:type="dxa"/>
                  <w:tcMar>
                    <w:left w:w="170" w:type="dxa"/>
                  </w:tcMar>
                </w:tcPr>
                <w:p w14:paraId="75A7EF80"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12 to under 18 years</w:t>
                  </w:r>
                </w:p>
              </w:tc>
              <w:tc>
                <w:tcPr>
                  <w:tcW w:w="1559" w:type="dxa"/>
                </w:tcPr>
                <w:p w14:paraId="469C0380"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140</w:t>
                  </w:r>
                </w:p>
              </w:tc>
            </w:tr>
            <w:tr w:rsidR="00532AAA" w:rsidRPr="00505285" w14:paraId="1D419FB6" w14:textId="77777777" w:rsidTr="008346F6">
              <w:trPr>
                <w:trHeight w:val="397"/>
              </w:trPr>
              <w:tc>
                <w:tcPr>
                  <w:tcW w:w="3289" w:type="dxa"/>
                </w:tcPr>
                <w:p w14:paraId="137C9474"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Females</w:t>
                  </w:r>
                </w:p>
              </w:tc>
              <w:tc>
                <w:tcPr>
                  <w:tcW w:w="1559" w:type="dxa"/>
                </w:tcPr>
                <w:p w14:paraId="2D57D2E0" w14:textId="77777777" w:rsidR="00532AAA" w:rsidRPr="00505285" w:rsidRDefault="00532AAA" w:rsidP="00532AAA">
                  <w:pPr>
                    <w:spacing w:after="0"/>
                    <w:jc w:val="center"/>
                    <w:rPr>
                      <w:rFonts w:eastAsia="Times New Roman" w:cs="Arial"/>
                      <w:i/>
                      <w:iCs/>
                      <w:szCs w:val="20"/>
                    </w:rPr>
                  </w:pPr>
                </w:p>
              </w:tc>
            </w:tr>
            <w:tr w:rsidR="00532AAA" w:rsidRPr="00505285" w14:paraId="7BCFD3A0" w14:textId="77777777" w:rsidTr="008346F6">
              <w:trPr>
                <w:trHeight w:val="397"/>
              </w:trPr>
              <w:tc>
                <w:tcPr>
                  <w:tcW w:w="3289" w:type="dxa"/>
                  <w:tcMar>
                    <w:left w:w="170" w:type="dxa"/>
                  </w:tcMar>
                </w:tcPr>
                <w:p w14:paraId="7998D5C4"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5 to under 12 years</w:t>
                  </w:r>
                </w:p>
              </w:tc>
              <w:tc>
                <w:tcPr>
                  <w:tcW w:w="1559" w:type="dxa"/>
                </w:tcPr>
                <w:p w14:paraId="774DB96F"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110</w:t>
                  </w:r>
                </w:p>
              </w:tc>
            </w:tr>
            <w:tr w:rsidR="00532AAA" w:rsidRPr="00505285" w14:paraId="5CABE887" w14:textId="77777777" w:rsidTr="008346F6">
              <w:trPr>
                <w:trHeight w:val="397"/>
              </w:trPr>
              <w:tc>
                <w:tcPr>
                  <w:tcW w:w="3289" w:type="dxa"/>
                  <w:tcMar>
                    <w:left w:w="170" w:type="dxa"/>
                  </w:tcMar>
                </w:tcPr>
                <w:p w14:paraId="6EF6AE83" w14:textId="77777777" w:rsidR="00532AAA" w:rsidRPr="00505285" w:rsidRDefault="00532AAA" w:rsidP="00532AAA">
                  <w:pPr>
                    <w:spacing w:after="0"/>
                    <w:rPr>
                      <w:rFonts w:eastAsia="Times New Roman" w:cs="Arial"/>
                      <w:b/>
                      <w:bCs/>
                      <w:i/>
                      <w:iCs/>
                      <w:szCs w:val="20"/>
                    </w:rPr>
                  </w:pPr>
                  <w:r w:rsidRPr="00505285">
                    <w:rPr>
                      <w:rFonts w:eastAsia="Times New Roman" w:cs="Arial"/>
                      <w:b/>
                      <w:bCs/>
                      <w:i/>
                      <w:iCs/>
                      <w:szCs w:val="20"/>
                    </w:rPr>
                    <w:t>12 to under 18 years</w:t>
                  </w:r>
                </w:p>
              </w:tc>
              <w:tc>
                <w:tcPr>
                  <w:tcW w:w="1559" w:type="dxa"/>
                </w:tcPr>
                <w:p w14:paraId="0891CE81" w14:textId="77777777" w:rsidR="00532AAA" w:rsidRPr="00505285" w:rsidRDefault="00532AAA" w:rsidP="00532AAA">
                  <w:pPr>
                    <w:spacing w:after="0"/>
                    <w:jc w:val="center"/>
                    <w:rPr>
                      <w:rFonts w:eastAsia="Times New Roman" w:cs="Arial"/>
                      <w:i/>
                      <w:iCs/>
                      <w:szCs w:val="20"/>
                    </w:rPr>
                  </w:pPr>
                  <w:r w:rsidRPr="00505285">
                    <w:rPr>
                      <w:rFonts w:eastAsia="Times New Roman" w:cs="Arial"/>
                      <w:i/>
                      <w:iCs/>
                      <w:szCs w:val="20"/>
                    </w:rPr>
                    <w:t>140</w:t>
                  </w:r>
                </w:p>
              </w:tc>
            </w:tr>
          </w:tbl>
          <w:p w14:paraId="78E663F0" w14:textId="77777777" w:rsidR="00532AAA" w:rsidRPr="00505285" w:rsidRDefault="00532AAA">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rPr>
            </w:pPr>
          </w:p>
        </w:tc>
      </w:tr>
      <w:tr w:rsidR="00036214" w:rsidRPr="00505285" w14:paraId="615C24B2" w14:textId="77777777">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tcPr>
          <w:p w14:paraId="1E00CCBD" w14:textId="77777777" w:rsidR="00036214" w:rsidRPr="00505285" w:rsidRDefault="00036214">
            <w:pPr>
              <w:rPr>
                <w:rFonts w:eastAsia="Times New Roman" w:cs="Arial"/>
                <w:szCs w:val="20"/>
              </w:rPr>
            </w:pPr>
            <w:r w:rsidRPr="00505285">
              <w:rPr>
                <w:rFonts w:eastAsia="Times New Roman" w:cs="Arial"/>
                <w:szCs w:val="20"/>
              </w:rPr>
              <w:lastRenderedPageBreak/>
              <w:t>Health evidence profile and supporting information</w:t>
            </w:r>
          </w:p>
        </w:tc>
        <w:tc>
          <w:tcPr>
            <w:tcW w:w="5889" w:type="dxa"/>
            <w:tcBorders>
              <w:left w:val="single" w:sz="4" w:space="0" w:color="77BCD9"/>
            </w:tcBorders>
          </w:tcPr>
          <w:p w14:paraId="1FBB41D5"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Cs/>
                <w:szCs w:val="20"/>
                <w:lang w:eastAsia="en-AU"/>
              </w:rPr>
            </w:pPr>
            <w:r w:rsidRPr="00505285">
              <w:rPr>
                <w:rFonts w:eastAsia="Times New Roman" w:cs="Arial"/>
                <w:iCs/>
                <w:szCs w:val="20"/>
                <w:lang w:eastAsia="en-AU"/>
              </w:rPr>
              <w:t>The 2006 NRV recommendations for children and adolescents are based on balance studies conducted in small numbers of children of varying age. This includes:</w:t>
            </w:r>
          </w:p>
          <w:p w14:paraId="6DD953AE"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Cs/>
                <w:szCs w:val="20"/>
                <w:lang w:eastAsia="en-AU"/>
              </w:rPr>
            </w:pPr>
            <w:r w:rsidRPr="00505285">
              <w:rPr>
                <w:rFonts w:eastAsia="Times New Roman" w:cs="Arial"/>
                <w:iCs/>
                <w:szCs w:val="20"/>
                <w:lang w:eastAsia="en-AU"/>
              </w:rPr>
              <w:t>A 4-day balance study in seven previously malnourished children aged 1.5 to 2.5 who had been nutritionally rehabilitated (</w:t>
            </w:r>
            <w:proofErr w:type="spellStart"/>
            <w:r w:rsidRPr="00505285">
              <w:rPr>
                <w:rFonts w:eastAsia="Times New Roman" w:cs="Arial"/>
                <w:iCs/>
                <w:szCs w:val="20"/>
                <w:lang w:eastAsia="en-AU"/>
              </w:rPr>
              <w:t>Ingenbleek</w:t>
            </w:r>
            <w:proofErr w:type="spellEnd"/>
            <w:r w:rsidRPr="00505285">
              <w:rPr>
                <w:rFonts w:eastAsia="Times New Roman" w:cs="Arial"/>
                <w:iCs/>
                <w:szCs w:val="20"/>
                <w:lang w:eastAsia="en-AU"/>
              </w:rPr>
              <w:t xml:space="preserve"> and </w:t>
            </w:r>
            <w:proofErr w:type="spellStart"/>
            <w:r w:rsidRPr="00505285">
              <w:rPr>
                <w:rFonts w:eastAsia="Times New Roman" w:cs="Arial"/>
                <w:iCs/>
                <w:szCs w:val="20"/>
                <w:lang w:eastAsia="en-AU"/>
              </w:rPr>
              <w:t>Malvaux</w:t>
            </w:r>
            <w:proofErr w:type="spellEnd"/>
            <w:r w:rsidRPr="00505285">
              <w:rPr>
                <w:rFonts w:eastAsia="Times New Roman" w:cs="Arial"/>
                <w:iCs/>
                <w:szCs w:val="20"/>
                <w:lang w:eastAsia="en-AU"/>
              </w:rPr>
              <w:t xml:space="preserve"> 1974). The EAR of 65 </w:t>
            </w:r>
            <w:proofErr w:type="spellStart"/>
            <w:r w:rsidRPr="00505285">
              <w:rPr>
                <w:rFonts w:eastAsia="Times New Roman" w:cs="Arial"/>
                <w:iCs/>
                <w:szCs w:val="20"/>
                <w:lang w:eastAsia="en-AU"/>
              </w:rPr>
              <w:t>μg</w:t>
            </w:r>
            <w:proofErr w:type="spellEnd"/>
            <w:r w:rsidRPr="00505285">
              <w:rPr>
                <w:rFonts w:eastAsia="Times New Roman" w:cs="Arial"/>
                <w:iCs/>
                <w:szCs w:val="20"/>
                <w:lang w:eastAsia="en-AU"/>
              </w:rPr>
              <w:t>/day was set based on there being a positive balance of 19 </w:t>
            </w:r>
            <w:proofErr w:type="spellStart"/>
            <w:r w:rsidRPr="00505285">
              <w:rPr>
                <w:rFonts w:eastAsia="Times New Roman" w:cs="Arial"/>
                <w:iCs/>
                <w:szCs w:val="20"/>
                <w:lang w:eastAsia="en-AU"/>
              </w:rPr>
              <w:t>μg</w:t>
            </w:r>
            <w:proofErr w:type="spellEnd"/>
            <w:r w:rsidRPr="00505285">
              <w:rPr>
                <w:rFonts w:eastAsia="Times New Roman" w:cs="Arial"/>
                <w:iCs/>
                <w:szCs w:val="20"/>
                <w:lang w:eastAsia="en-AU"/>
              </w:rPr>
              <w:t xml:space="preserve">/day observed with intakes of 63.5 </w:t>
            </w:r>
            <w:proofErr w:type="spellStart"/>
            <w:r w:rsidRPr="00505285">
              <w:rPr>
                <w:rFonts w:eastAsia="Times New Roman" w:cs="Arial"/>
                <w:iCs/>
                <w:szCs w:val="20"/>
                <w:lang w:eastAsia="en-AU"/>
              </w:rPr>
              <w:t>μg</w:t>
            </w:r>
            <w:proofErr w:type="spellEnd"/>
            <w:r w:rsidRPr="00505285">
              <w:rPr>
                <w:rFonts w:eastAsia="Times New Roman" w:cs="Arial"/>
                <w:iCs/>
                <w:szCs w:val="20"/>
                <w:lang w:eastAsia="en-AU"/>
              </w:rPr>
              <w:t>/day</w:t>
            </w:r>
          </w:p>
          <w:p w14:paraId="456C291B"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Cs/>
                <w:szCs w:val="20"/>
                <w:lang w:eastAsia="en-AU"/>
              </w:rPr>
            </w:pPr>
            <w:r w:rsidRPr="00505285">
              <w:rPr>
                <w:rFonts w:eastAsia="Times New Roman" w:cs="Arial"/>
                <w:iCs/>
                <w:szCs w:val="20"/>
                <w:lang w:eastAsia="en-AU"/>
              </w:rPr>
              <w:t>Extracting results of two 8-year-old participants from a 1969 balance study</w:t>
            </w:r>
            <w:r w:rsidRPr="00505285">
              <w:rPr>
                <w:rFonts w:eastAsia="Arial" w:cs="Times New Roman"/>
                <w:szCs w:val="20"/>
              </w:rPr>
              <w:t xml:space="preserve"> (</w:t>
            </w:r>
            <w:proofErr w:type="spellStart"/>
            <w:r w:rsidRPr="00505285">
              <w:rPr>
                <w:rFonts w:eastAsia="Times New Roman" w:cs="Arial"/>
                <w:iCs/>
                <w:szCs w:val="20"/>
                <w:lang w:eastAsia="en-AU"/>
              </w:rPr>
              <w:t>Malvaux</w:t>
            </w:r>
            <w:proofErr w:type="spellEnd"/>
            <w:r w:rsidRPr="00505285">
              <w:rPr>
                <w:rFonts w:eastAsia="Times New Roman" w:cs="Arial"/>
                <w:iCs/>
                <w:szCs w:val="20"/>
                <w:lang w:eastAsia="en-AU"/>
              </w:rPr>
              <w:t xml:space="preserve"> et al. 1969)</w:t>
            </w:r>
            <w:r w:rsidRPr="00505285">
              <w:rPr>
                <w:rFonts w:eastAsia="Arial" w:cs="Times New Roman"/>
                <w:szCs w:val="20"/>
                <w:shd w:val="clear" w:color="auto" w:fill="FFFFFF"/>
              </w:rPr>
              <w:t xml:space="preserve"> </w:t>
            </w:r>
            <w:r w:rsidRPr="00505285">
              <w:rPr>
                <w:rFonts w:eastAsia="Times New Roman" w:cs="Arial"/>
                <w:iCs/>
                <w:szCs w:val="20"/>
                <w:lang w:eastAsia="en-AU"/>
              </w:rPr>
              <w:t>with intakes of 20 or 40 </w:t>
            </w:r>
            <w:proofErr w:type="spellStart"/>
            <w:r w:rsidRPr="00505285">
              <w:rPr>
                <w:rFonts w:eastAsia="Times New Roman" w:cs="Arial"/>
                <w:iCs/>
                <w:szCs w:val="20"/>
                <w:lang w:eastAsia="en-AU"/>
              </w:rPr>
              <w:t>μg</w:t>
            </w:r>
            <w:proofErr w:type="spellEnd"/>
            <w:r w:rsidRPr="00505285">
              <w:rPr>
                <w:rFonts w:eastAsia="Times New Roman" w:cs="Arial"/>
                <w:iCs/>
                <w:szCs w:val="20"/>
                <w:lang w:eastAsia="en-AU"/>
              </w:rPr>
              <w:t xml:space="preserve">/day, resulting in negative balance (-23 or -26 </w:t>
            </w:r>
            <w:proofErr w:type="spellStart"/>
            <w:r w:rsidRPr="00505285">
              <w:rPr>
                <w:rFonts w:eastAsia="Times New Roman" w:cs="Arial"/>
                <w:iCs/>
                <w:szCs w:val="20"/>
                <w:lang w:eastAsia="en-AU"/>
              </w:rPr>
              <w:t>μg</w:t>
            </w:r>
            <w:proofErr w:type="spellEnd"/>
            <w:r w:rsidRPr="00505285">
              <w:rPr>
                <w:rFonts w:eastAsia="Times New Roman" w:cs="Arial"/>
                <w:iCs/>
                <w:szCs w:val="20"/>
                <w:lang w:eastAsia="en-AU"/>
              </w:rPr>
              <w:t xml:space="preserve">/day respectively), from which the EAR of 65 </w:t>
            </w:r>
            <w:proofErr w:type="spellStart"/>
            <w:r w:rsidRPr="00505285">
              <w:rPr>
                <w:rFonts w:eastAsia="Times New Roman" w:cs="Arial"/>
                <w:iCs/>
                <w:szCs w:val="20"/>
                <w:lang w:eastAsia="en-AU"/>
              </w:rPr>
              <w:t>μg</w:t>
            </w:r>
            <w:proofErr w:type="spellEnd"/>
            <w:r w:rsidRPr="00505285">
              <w:rPr>
                <w:rFonts w:eastAsia="Times New Roman" w:cs="Arial"/>
                <w:iCs/>
                <w:szCs w:val="20"/>
                <w:lang w:eastAsia="en-AU"/>
              </w:rPr>
              <w:t>/day in children aged 4 - 8 was set.</w:t>
            </w:r>
          </w:p>
          <w:p w14:paraId="6171C40D"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Cs/>
                <w:szCs w:val="20"/>
                <w:lang w:eastAsia="en-AU"/>
              </w:rPr>
            </w:pPr>
            <w:r w:rsidRPr="00505285">
              <w:rPr>
                <w:rFonts w:eastAsia="Times New Roman" w:cs="Arial"/>
                <w:iCs/>
                <w:szCs w:val="20"/>
                <w:lang w:eastAsia="en-AU"/>
              </w:rPr>
              <w:t xml:space="preserve">the EARs for children aged 9-13 years and 14 to 18 years were extrapolated from adult values </w:t>
            </w:r>
          </w:p>
          <w:p w14:paraId="647B1F5B"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Cs/>
                <w:szCs w:val="20"/>
                <w:lang w:eastAsia="en-AU"/>
              </w:rPr>
            </w:pPr>
            <w:r w:rsidRPr="00505285">
              <w:rPr>
                <w:rFonts w:eastAsia="Times New Roman" w:cs="Arial"/>
                <w:iCs/>
                <w:szCs w:val="20"/>
                <w:lang w:eastAsia="en-AU"/>
              </w:rPr>
              <w:t xml:space="preserve">The EARs for younger children have been derived from very small samples, or by extracting data for a small number of individuals within a broader sample. These methods lack precision and methodological </w:t>
            </w:r>
            <w:proofErr w:type="gramStart"/>
            <w:r w:rsidRPr="00505285">
              <w:rPr>
                <w:rFonts w:eastAsia="Times New Roman" w:cs="Arial"/>
                <w:iCs/>
                <w:szCs w:val="20"/>
                <w:lang w:eastAsia="en-AU"/>
              </w:rPr>
              <w:t>rigour, and</w:t>
            </w:r>
            <w:proofErr w:type="gramEnd"/>
            <w:r w:rsidRPr="00505285">
              <w:rPr>
                <w:rFonts w:eastAsia="Times New Roman" w:cs="Arial"/>
                <w:iCs/>
                <w:szCs w:val="20"/>
                <w:lang w:eastAsia="en-AU"/>
              </w:rPr>
              <w:t xml:space="preserve"> are unreliable for estimating individual requirements. </w:t>
            </w:r>
          </w:p>
          <w:p w14:paraId="626ED0D4"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505285">
              <w:rPr>
                <w:rFonts w:eastAsia="Times New Roman" w:cs="Arial"/>
                <w:iCs/>
                <w:szCs w:val="20"/>
                <w:lang w:eastAsia="en-AU"/>
              </w:rPr>
              <w:t>Consequently, revised EAR and RDIs were calculated by extrapolation from adult values, based on metabolic body weight</w:t>
            </w:r>
            <w:r w:rsidRPr="00505285">
              <w:rPr>
                <w:rFonts w:eastAsia="Arial" w:cs="Times New Roman"/>
                <w:szCs w:val="20"/>
              </w:rPr>
              <w:t xml:space="preserve">, using the formula: </w:t>
            </w:r>
          </w:p>
          <w:p w14:paraId="504E4F00" w14:textId="77777777" w:rsidR="00036214" w:rsidRPr="00505285" w:rsidRDefault="00036214">
            <w:pPr>
              <w:spacing w:after="0"/>
              <w:cnfStyle w:val="000000010000" w:firstRow="0" w:lastRow="0" w:firstColumn="0" w:lastColumn="0" w:oddVBand="0" w:evenVBand="0" w:oddHBand="0" w:evenHBand="1" w:firstRowFirstColumn="0" w:firstRowLastColumn="0" w:lastRowFirstColumn="0" w:lastRowLastColumn="0"/>
              <w:rPr>
                <w:rFonts w:eastAsia="Arial" w:cs="Times New Roman"/>
                <w:bCs/>
                <w:szCs w:val="20"/>
                <w:lang w:eastAsia="en-AU"/>
              </w:rPr>
            </w:pPr>
            <w:r w:rsidRPr="00505285">
              <w:rPr>
                <w:rFonts w:eastAsia="Arial" w:cs="Times New Roman"/>
                <w:bCs/>
                <w:szCs w:val="20"/>
                <w:lang w:eastAsia="en-AU"/>
              </w:rPr>
              <w:t xml:space="preserve">Estimated </w:t>
            </w:r>
            <w:proofErr w:type="spellStart"/>
            <w:r w:rsidRPr="00505285">
              <w:rPr>
                <w:rFonts w:eastAsia="Arial" w:cs="Times New Roman"/>
                <w:bCs/>
                <w:szCs w:val="20"/>
                <w:lang w:eastAsia="en-AU"/>
              </w:rPr>
              <w:t>EAR</w:t>
            </w:r>
            <w:r w:rsidRPr="00505285">
              <w:rPr>
                <w:rFonts w:eastAsia="Arial" w:cs="Times New Roman"/>
                <w:bCs/>
                <w:szCs w:val="20"/>
                <w:vertAlign w:val="subscript"/>
                <w:lang w:eastAsia="en-AU"/>
              </w:rPr>
              <w:t>child</w:t>
            </w:r>
            <w:proofErr w:type="spellEnd"/>
            <w:r w:rsidRPr="00505285">
              <w:rPr>
                <w:rFonts w:eastAsia="Arial" w:cs="Times New Roman"/>
                <w:bCs/>
                <w:szCs w:val="20"/>
                <w:lang w:eastAsia="en-AU"/>
              </w:rPr>
              <w:t xml:space="preserve"> = Estimated </w:t>
            </w:r>
            <w:proofErr w:type="spellStart"/>
            <w:r w:rsidRPr="00505285">
              <w:rPr>
                <w:rFonts w:eastAsia="Arial" w:cs="Times New Roman"/>
                <w:bCs/>
                <w:szCs w:val="20"/>
                <w:lang w:eastAsia="en-AU"/>
              </w:rPr>
              <w:t>EAR</w:t>
            </w:r>
            <w:r w:rsidRPr="00505285">
              <w:rPr>
                <w:rFonts w:eastAsia="Arial" w:cs="Times New Roman"/>
                <w:bCs/>
                <w:szCs w:val="20"/>
                <w:vertAlign w:val="subscript"/>
                <w:lang w:eastAsia="en-AU"/>
              </w:rPr>
              <w:t>adult</w:t>
            </w:r>
            <w:proofErr w:type="spellEnd"/>
            <w:r w:rsidRPr="00505285">
              <w:rPr>
                <w:rFonts w:eastAsia="Arial" w:cs="Times New Roman"/>
                <w:bCs/>
                <w:szCs w:val="20"/>
                <w:lang w:eastAsia="en-AU"/>
              </w:rPr>
              <w:t xml:space="preserve"> x </w:t>
            </w:r>
          </w:p>
          <w:p w14:paraId="673981BF"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i/>
                <w:iCs/>
                <w:szCs w:val="20"/>
              </w:rPr>
            </w:pPr>
            <w:r w:rsidRPr="00505285">
              <w:rPr>
                <w:rFonts w:eastAsia="Arial" w:cs="Times New Roman"/>
                <w:bCs/>
                <w:szCs w:val="20"/>
                <w:lang w:eastAsia="en-AU"/>
              </w:rPr>
              <w:t>[</w:t>
            </w:r>
            <w:proofErr w:type="spellStart"/>
            <w:r w:rsidRPr="00505285">
              <w:rPr>
                <w:rFonts w:eastAsia="Arial" w:cs="Times New Roman"/>
                <w:bCs/>
                <w:szCs w:val="20"/>
                <w:lang w:eastAsia="en-AU"/>
              </w:rPr>
              <w:t>Weight</w:t>
            </w:r>
            <w:r w:rsidRPr="00505285">
              <w:rPr>
                <w:rFonts w:eastAsia="Arial" w:cs="Times New Roman"/>
                <w:bCs/>
                <w:szCs w:val="20"/>
                <w:vertAlign w:val="subscript"/>
                <w:lang w:eastAsia="en-AU"/>
              </w:rPr>
              <w:t>child</w:t>
            </w:r>
            <w:proofErr w:type="spellEnd"/>
            <w:r w:rsidRPr="00505285">
              <w:rPr>
                <w:rFonts w:eastAsia="Arial" w:cs="Times New Roman"/>
                <w:bCs/>
                <w:szCs w:val="20"/>
                <w:lang w:eastAsia="en-AU"/>
              </w:rPr>
              <w:t xml:space="preserve"> / </w:t>
            </w:r>
            <w:proofErr w:type="spellStart"/>
            <w:r w:rsidRPr="00505285">
              <w:rPr>
                <w:rFonts w:eastAsia="Arial" w:cs="Times New Roman"/>
                <w:bCs/>
                <w:szCs w:val="20"/>
                <w:lang w:eastAsia="en-AU"/>
              </w:rPr>
              <w:t>Weight</w:t>
            </w:r>
            <w:r w:rsidRPr="00505285">
              <w:rPr>
                <w:rFonts w:eastAsia="Arial" w:cs="Times New Roman"/>
                <w:bCs/>
                <w:szCs w:val="20"/>
                <w:vertAlign w:val="subscript"/>
                <w:lang w:eastAsia="en-AU"/>
              </w:rPr>
              <w:t>adult</w:t>
            </w:r>
            <w:proofErr w:type="spellEnd"/>
            <w:r w:rsidRPr="00505285">
              <w:rPr>
                <w:rFonts w:eastAsia="Arial" w:cs="Times New Roman"/>
                <w:bCs/>
                <w:szCs w:val="20"/>
                <w:lang w:eastAsia="en-AU"/>
              </w:rPr>
              <w:t>]</w:t>
            </w:r>
            <w:r w:rsidRPr="00505285">
              <w:rPr>
                <w:rFonts w:eastAsia="Arial" w:cs="Times New Roman"/>
                <w:bCs/>
                <w:szCs w:val="20"/>
                <w:vertAlign w:val="superscript"/>
                <w:lang w:eastAsia="en-AU"/>
              </w:rPr>
              <w:t>0.75</w:t>
            </w:r>
            <w:r w:rsidRPr="00505285">
              <w:rPr>
                <w:rFonts w:eastAsia="Arial" w:cs="Times New Roman"/>
                <w:bCs/>
                <w:szCs w:val="20"/>
                <w:lang w:eastAsia="en-AU"/>
              </w:rPr>
              <w:t xml:space="preserve"> x [1 + growth factor]</w:t>
            </w:r>
          </w:p>
          <w:p w14:paraId="243378EB"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i/>
                <w:iCs/>
                <w:szCs w:val="20"/>
              </w:rPr>
            </w:pPr>
            <w:r w:rsidRPr="00505285">
              <w:rPr>
                <w:rFonts w:eastAsia="Times New Roman" w:cs="Times New Roman"/>
                <w:szCs w:val="20"/>
              </w:rPr>
              <w:t xml:space="preserve">Inputs were as follows: </w:t>
            </w:r>
          </w:p>
          <w:p w14:paraId="65B2A4DD" w14:textId="77777777" w:rsidR="00036214" w:rsidRPr="00505285" w:rsidRDefault="00036214">
            <w:pPr>
              <w:spacing w:after="8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proofErr w:type="spellStart"/>
            <w:r w:rsidRPr="00505285">
              <w:rPr>
                <w:rFonts w:eastAsia="Times New Roman" w:cs="Times New Roman"/>
                <w:szCs w:val="20"/>
              </w:rPr>
              <w:t>EAR</w:t>
            </w:r>
            <w:r w:rsidRPr="00505285">
              <w:rPr>
                <w:rFonts w:eastAsia="Times New Roman" w:cs="Times New Roman"/>
                <w:szCs w:val="20"/>
                <w:vertAlign w:val="subscript"/>
              </w:rPr>
              <w:t>adult</w:t>
            </w:r>
            <w:proofErr w:type="spellEnd"/>
            <w:r w:rsidRPr="00505285">
              <w:rPr>
                <w:rFonts w:eastAsia="Times New Roman" w:cs="Times New Roman"/>
                <w:szCs w:val="20"/>
                <w:vertAlign w:val="subscript"/>
              </w:rPr>
              <w:t xml:space="preserve">   </w:t>
            </w:r>
            <w:r w:rsidRPr="00505285">
              <w:rPr>
                <w:rFonts w:eastAsia="Times New Roman" w:cs="Times New Roman"/>
                <w:szCs w:val="20"/>
              </w:rPr>
              <w:t>= 100 µg/day</w:t>
            </w:r>
            <w:r w:rsidRPr="00505285">
              <w:rPr>
                <w:rFonts w:eastAsia="Arial" w:cs="Times New Roman"/>
                <w:szCs w:val="20"/>
              </w:rPr>
              <w:t xml:space="preserve"> </w:t>
            </w:r>
          </w:p>
          <w:p w14:paraId="116B95CB" w14:textId="77777777" w:rsidR="00036214" w:rsidRPr="00505285" w:rsidRDefault="00036214">
            <w:pPr>
              <w:spacing w:after="8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505285">
              <w:rPr>
                <w:rFonts w:eastAsia="Times New Roman" w:cs="Times New Roman"/>
                <w:szCs w:val="20"/>
              </w:rPr>
              <w:t xml:space="preserve">Weight </w:t>
            </w:r>
            <w:r w:rsidRPr="00505285">
              <w:rPr>
                <w:rFonts w:eastAsia="Times New Roman" w:cs="Times New Roman"/>
                <w:szCs w:val="20"/>
                <w:vertAlign w:val="subscript"/>
              </w:rPr>
              <w:t>adult</w:t>
            </w:r>
            <w:r w:rsidRPr="00505285">
              <w:rPr>
                <w:rFonts w:eastAsia="Times New Roman" w:cs="Times New Roman"/>
                <w:szCs w:val="20"/>
              </w:rPr>
              <w:t xml:space="preserve"> = 62.9 kg</w:t>
            </w:r>
          </w:p>
          <w:p w14:paraId="675E489D"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505285">
              <w:rPr>
                <w:rFonts w:eastAsia="Times New Roman" w:cs="Times New Roman"/>
                <w:szCs w:val="20"/>
              </w:rPr>
              <w:t xml:space="preserve">Growth factors (GF) and reference weights were as per the current NRVs Methodological Framework (NHMRC, </w:t>
            </w:r>
            <w:r w:rsidRPr="00505285">
              <w:rPr>
                <w:rFonts w:eastAsia="Times New Roman" w:cs="Times New Roman"/>
                <w:szCs w:val="20"/>
              </w:rPr>
              <w:lastRenderedPageBreak/>
              <w:t>2025), using contemporary ‘ideal body weight’ data from the Australian Bureau of Statistics.</w:t>
            </w:r>
          </w:p>
          <w:p w14:paraId="27148DE5"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505285">
              <w:rPr>
                <w:rFonts w:eastAsia="Times New Roman" w:cs="Times New Roman"/>
                <w:szCs w:val="20"/>
              </w:rPr>
              <w:t>Calculated values were rounded to ensure the requirements of all children within an age bracket would be met, to smooth out transitions between age groups. EAR calculations are shown in Table 7.</w:t>
            </w:r>
          </w:p>
          <w:p w14:paraId="5A946261" w14:textId="77777777" w:rsidR="00036214" w:rsidRPr="00505285" w:rsidRDefault="00036214">
            <w:pPr>
              <w:keepNext/>
              <w:keepLines/>
              <w:spacing w:after="200"/>
              <w:cnfStyle w:val="000000010000" w:firstRow="0" w:lastRow="0" w:firstColumn="0" w:lastColumn="0" w:oddVBand="0" w:evenVBand="0" w:oddHBand="0" w:evenHBand="1" w:firstRowFirstColumn="0" w:firstRowLastColumn="0" w:lastRowFirstColumn="0" w:lastRowLastColumn="0"/>
              <w:rPr>
                <w:rFonts w:eastAsia="Arial" w:cs="Times New Roman"/>
                <w:iCs/>
                <w:caps/>
                <w:szCs w:val="20"/>
              </w:rPr>
            </w:pPr>
            <w:r w:rsidRPr="00505285">
              <w:rPr>
                <w:rFonts w:eastAsia="Arial" w:cs="Times New Roman"/>
                <w:iCs/>
                <w:caps/>
                <w:szCs w:val="20"/>
              </w:rPr>
              <w:t>Table 7 - CALCULATIONS AND ROUNDING FOR EXTRAPOLATING ADULT EAR TO CHILDREN AND ADOLESCENTS</w:t>
            </w:r>
          </w:p>
          <w:tbl>
            <w:tblPr>
              <w:tblStyle w:val="TableGrid2"/>
              <w:tblW w:w="5640" w:type="dxa"/>
              <w:tblInd w:w="0" w:type="dxa"/>
              <w:tblLook w:val="04A0" w:firstRow="1" w:lastRow="0" w:firstColumn="1" w:lastColumn="0" w:noHBand="0" w:noVBand="1"/>
            </w:tblPr>
            <w:tblGrid>
              <w:gridCol w:w="1529"/>
              <w:gridCol w:w="992"/>
              <w:gridCol w:w="709"/>
              <w:gridCol w:w="1276"/>
              <w:gridCol w:w="1134"/>
            </w:tblGrid>
            <w:tr w:rsidR="00036214" w:rsidRPr="00505285" w14:paraId="201C53EE" w14:textId="77777777">
              <w:tc>
                <w:tcPr>
                  <w:tcW w:w="1529" w:type="dxa"/>
                  <w:shd w:val="clear" w:color="auto" w:fill="005F85"/>
                </w:tcPr>
                <w:p w14:paraId="098F1B6D" w14:textId="77777777" w:rsidR="00036214" w:rsidRPr="00505285" w:rsidRDefault="00036214">
                  <w:pPr>
                    <w:keepNext/>
                    <w:keepLines/>
                    <w:spacing w:after="0"/>
                    <w:rPr>
                      <w:rFonts w:eastAsia="Times New Roman" w:cs="Times New Roman"/>
                      <w:b/>
                      <w:bCs/>
                      <w:color w:val="FFFFFF"/>
                      <w:szCs w:val="20"/>
                    </w:rPr>
                  </w:pPr>
                  <w:r w:rsidRPr="00505285">
                    <w:rPr>
                      <w:rFonts w:eastAsia="Times New Roman" w:cs="Times New Roman"/>
                      <w:b/>
                      <w:bCs/>
                      <w:color w:val="FFFFFF"/>
                      <w:szCs w:val="20"/>
                    </w:rPr>
                    <w:t>Age group</w:t>
                  </w:r>
                </w:p>
              </w:tc>
              <w:tc>
                <w:tcPr>
                  <w:tcW w:w="992" w:type="dxa"/>
                  <w:shd w:val="clear" w:color="auto" w:fill="005F85"/>
                </w:tcPr>
                <w:p w14:paraId="521BE58F" w14:textId="77777777" w:rsidR="00036214" w:rsidRPr="00505285" w:rsidRDefault="00036214">
                  <w:pPr>
                    <w:keepNext/>
                    <w:keepLines/>
                    <w:spacing w:after="0"/>
                    <w:jc w:val="center"/>
                    <w:rPr>
                      <w:rFonts w:eastAsia="Times New Roman" w:cs="Times New Roman"/>
                      <w:b/>
                      <w:bCs/>
                      <w:color w:val="FFFFFF"/>
                      <w:szCs w:val="20"/>
                    </w:rPr>
                  </w:pPr>
                  <w:r w:rsidRPr="00505285">
                    <w:rPr>
                      <w:rFonts w:eastAsia="Times New Roman" w:cs="Times New Roman"/>
                      <w:b/>
                      <w:bCs/>
                      <w:color w:val="FFFFFF"/>
                      <w:szCs w:val="20"/>
                    </w:rPr>
                    <w:t>Weight</w:t>
                  </w:r>
                </w:p>
                <w:p w14:paraId="13428B4C" w14:textId="77777777" w:rsidR="00036214" w:rsidRPr="00505285" w:rsidRDefault="00036214">
                  <w:pPr>
                    <w:keepNext/>
                    <w:keepLines/>
                    <w:spacing w:after="0"/>
                    <w:jc w:val="center"/>
                    <w:rPr>
                      <w:rFonts w:eastAsia="Times New Roman" w:cs="Times New Roman"/>
                      <w:b/>
                      <w:bCs/>
                      <w:color w:val="FFFFFF"/>
                      <w:szCs w:val="20"/>
                      <w:vertAlign w:val="subscript"/>
                    </w:rPr>
                  </w:pPr>
                  <w:r w:rsidRPr="00505285">
                    <w:rPr>
                      <w:rFonts w:eastAsia="Times New Roman" w:cs="Times New Roman"/>
                      <w:b/>
                      <w:bCs/>
                      <w:color w:val="FFFFFF"/>
                      <w:szCs w:val="20"/>
                      <w:vertAlign w:val="subscript"/>
                    </w:rPr>
                    <w:t>child</w:t>
                  </w:r>
                </w:p>
                <w:p w14:paraId="7AE6AF1C" w14:textId="77777777" w:rsidR="00036214" w:rsidRPr="00505285" w:rsidRDefault="00036214">
                  <w:pPr>
                    <w:keepNext/>
                    <w:keepLines/>
                    <w:spacing w:after="0"/>
                    <w:jc w:val="center"/>
                    <w:rPr>
                      <w:rFonts w:eastAsia="Times New Roman" w:cs="Times New Roman"/>
                      <w:b/>
                      <w:bCs/>
                      <w:color w:val="FFFFFF"/>
                      <w:szCs w:val="20"/>
                    </w:rPr>
                  </w:pPr>
                  <w:r w:rsidRPr="00505285">
                    <w:rPr>
                      <w:rFonts w:eastAsia="Times New Roman" w:cs="Times New Roman"/>
                      <w:b/>
                      <w:bCs/>
                      <w:color w:val="FFFFFF"/>
                      <w:szCs w:val="20"/>
                    </w:rPr>
                    <w:t>(kg)</w:t>
                  </w:r>
                </w:p>
              </w:tc>
              <w:tc>
                <w:tcPr>
                  <w:tcW w:w="709" w:type="dxa"/>
                  <w:shd w:val="clear" w:color="auto" w:fill="005F85"/>
                </w:tcPr>
                <w:p w14:paraId="7ED8B077" w14:textId="77777777" w:rsidR="00036214" w:rsidRPr="00505285" w:rsidRDefault="00036214">
                  <w:pPr>
                    <w:keepNext/>
                    <w:keepLines/>
                    <w:spacing w:after="0"/>
                    <w:jc w:val="center"/>
                    <w:rPr>
                      <w:rFonts w:eastAsia="Times New Roman" w:cs="Times New Roman"/>
                      <w:b/>
                      <w:bCs/>
                      <w:color w:val="FFFFFF"/>
                      <w:szCs w:val="20"/>
                    </w:rPr>
                  </w:pPr>
                  <w:r w:rsidRPr="00505285">
                    <w:rPr>
                      <w:rFonts w:eastAsia="Times New Roman" w:cs="Times New Roman"/>
                      <w:b/>
                      <w:bCs/>
                      <w:color w:val="FFFFFF"/>
                      <w:szCs w:val="20"/>
                    </w:rPr>
                    <w:t>GF</w:t>
                  </w:r>
                </w:p>
              </w:tc>
              <w:tc>
                <w:tcPr>
                  <w:tcW w:w="1276" w:type="dxa"/>
                  <w:shd w:val="clear" w:color="auto" w:fill="005F85"/>
                </w:tcPr>
                <w:p w14:paraId="59F6C9A1" w14:textId="77777777" w:rsidR="00036214" w:rsidRPr="00505285" w:rsidRDefault="00036214">
                  <w:pPr>
                    <w:keepNext/>
                    <w:keepLines/>
                    <w:spacing w:after="0"/>
                    <w:ind w:right="-101"/>
                    <w:jc w:val="center"/>
                    <w:rPr>
                      <w:rFonts w:eastAsia="Times New Roman" w:cs="Times New Roman"/>
                      <w:b/>
                      <w:bCs/>
                      <w:color w:val="FFFFFF"/>
                      <w:szCs w:val="20"/>
                    </w:rPr>
                  </w:pPr>
                  <w:r w:rsidRPr="00505285">
                    <w:rPr>
                      <w:rFonts w:eastAsia="Times New Roman" w:cs="Times New Roman"/>
                      <w:b/>
                      <w:bCs/>
                      <w:color w:val="FFFFFF"/>
                      <w:szCs w:val="20"/>
                    </w:rPr>
                    <w:t>Calculated EAR</w:t>
                  </w:r>
                </w:p>
                <w:p w14:paraId="6BA1FDD4" w14:textId="77777777" w:rsidR="00036214" w:rsidRPr="00505285" w:rsidRDefault="00036214">
                  <w:pPr>
                    <w:keepNext/>
                    <w:keepLines/>
                    <w:spacing w:after="0"/>
                    <w:ind w:right="-101"/>
                    <w:jc w:val="center"/>
                    <w:rPr>
                      <w:rFonts w:eastAsia="Times New Roman" w:cs="Times New Roman"/>
                      <w:b/>
                      <w:bCs/>
                      <w:color w:val="FFFFFF"/>
                      <w:szCs w:val="20"/>
                    </w:rPr>
                  </w:pPr>
                  <w:r w:rsidRPr="00505285">
                    <w:rPr>
                      <w:rFonts w:eastAsia="Times New Roman" w:cs="Times New Roman"/>
                      <w:b/>
                      <w:bCs/>
                      <w:i/>
                      <w:iCs/>
                      <w:color w:val="FFFFFF"/>
                      <w:szCs w:val="20"/>
                    </w:rPr>
                    <w:t>(µg/</w:t>
                  </w:r>
                  <w:r w:rsidRPr="00505285">
                    <w:rPr>
                      <w:rFonts w:eastAsia="Arial" w:cs="Times New Roman"/>
                      <w:b/>
                      <w:bCs/>
                      <w:color w:val="FFFFFF"/>
                      <w:szCs w:val="20"/>
                    </w:rPr>
                    <w:t>day)</w:t>
                  </w:r>
                </w:p>
              </w:tc>
              <w:tc>
                <w:tcPr>
                  <w:tcW w:w="1134" w:type="dxa"/>
                  <w:shd w:val="clear" w:color="auto" w:fill="005F85"/>
                </w:tcPr>
                <w:p w14:paraId="40938DC6" w14:textId="77777777" w:rsidR="00036214" w:rsidRPr="00505285" w:rsidRDefault="00036214">
                  <w:pPr>
                    <w:keepNext/>
                    <w:keepLines/>
                    <w:spacing w:after="0"/>
                    <w:ind w:right="-79"/>
                    <w:jc w:val="center"/>
                    <w:rPr>
                      <w:rFonts w:eastAsia="Times New Roman" w:cs="Times New Roman"/>
                      <w:b/>
                      <w:bCs/>
                      <w:color w:val="FFFFFF"/>
                      <w:szCs w:val="20"/>
                    </w:rPr>
                  </w:pPr>
                  <w:r w:rsidRPr="00505285">
                    <w:rPr>
                      <w:rFonts w:eastAsia="Times New Roman" w:cs="Times New Roman"/>
                      <w:b/>
                      <w:bCs/>
                      <w:color w:val="FFFFFF"/>
                      <w:szCs w:val="20"/>
                    </w:rPr>
                    <w:t>Rounded /Proposed EAR</w:t>
                  </w:r>
                </w:p>
                <w:p w14:paraId="77B2C429" w14:textId="77777777" w:rsidR="00036214" w:rsidRPr="00505285" w:rsidRDefault="00036214">
                  <w:pPr>
                    <w:keepNext/>
                    <w:keepLines/>
                    <w:spacing w:after="0"/>
                    <w:ind w:right="-81"/>
                    <w:jc w:val="center"/>
                    <w:rPr>
                      <w:rFonts w:eastAsia="Times New Roman" w:cs="Times New Roman"/>
                      <w:b/>
                      <w:bCs/>
                      <w:color w:val="FFFFFF"/>
                      <w:szCs w:val="20"/>
                    </w:rPr>
                  </w:pPr>
                  <w:r w:rsidRPr="00505285">
                    <w:rPr>
                      <w:rFonts w:eastAsia="Times New Roman" w:cs="Times New Roman"/>
                      <w:b/>
                      <w:bCs/>
                      <w:i/>
                      <w:iCs/>
                      <w:color w:val="FFFFFF"/>
                      <w:szCs w:val="20"/>
                    </w:rPr>
                    <w:t>(µg/</w:t>
                  </w:r>
                  <w:r w:rsidRPr="00505285">
                    <w:rPr>
                      <w:rFonts w:eastAsia="Arial" w:cs="Times New Roman"/>
                      <w:b/>
                      <w:bCs/>
                      <w:color w:val="FFFFFF"/>
                      <w:szCs w:val="20"/>
                    </w:rPr>
                    <w:t>day)</w:t>
                  </w:r>
                </w:p>
              </w:tc>
            </w:tr>
            <w:tr w:rsidR="00036214" w:rsidRPr="00505285" w14:paraId="37902BCA" w14:textId="77777777">
              <w:tc>
                <w:tcPr>
                  <w:tcW w:w="5640" w:type="dxa"/>
                  <w:gridSpan w:val="5"/>
                  <w:shd w:val="clear" w:color="auto" w:fill="005F85"/>
                </w:tcPr>
                <w:p w14:paraId="79CC8ED3" w14:textId="77777777" w:rsidR="00036214" w:rsidRPr="00505285" w:rsidRDefault="00036214">
                  <w:pPr>
                    <w:keepNext/>
                    <w:keepLines/>
                    <w:spacing w:after="0"/>
                    <w:ind w:right="-79"/>
                    <w:rPr>
                      <w:rFonts w:eastAsia="Times New Roman" w:cs="Times New Roman"/>
                      <w:b/>
                      <w:bCs/>
                      <w:color w:val="FFFFFF"/>
                      <w:szCs w:val="20"/>
                    </w:rPr>
                  </w:pPr>
                  <w:r w:rsidRPr="00505285">
                    <w:rPr>
                      <w:rFonts w:eastAsia="Times New Roman" w:cs="Times New Roman"/>
                      <w:b/>
                      <w:bCs/>
                      <w:color w:val="FFFFFF"/>
                      <w:szCs w:val="20"/>
                    </w:rPr>
                    <w:t>NRVs age groupings:</w:t>
                  </w:r>
                </w:p>
              </w:tc>
            </w:tr>
            <w:tr w:rsidR="00036214" w:rsidRPr="00505285" w14:paraId="219ED4D5" w14:textId="77777777">
              <w:tc>
                <w:tcPr>
                  <w:tcW w:w="1529" w:type="dxa"/>
                  <w:vAlign w:val="bottom"/>
                </w:tcPr>
                <w:p w14:paraId="30ECB708" w14:textId="77777777" w:rsidR="00036214" w:rsidRPr="00505285" w:rsidRDefault="00036214">
                  <w:pPr>
                    <w:spacing w:after="0"/>
                    <w:rPr>
                      <w:rFonts w:eastAsia="Times New Roman" w:cs="Times New Roman"/>
                      <w:szCs w:val="20"/>
                    </w:rPr>
                  </w:pPr>
                  <w:r w:rsidRPr="00505285">
                    <w:rPr>
                      <w:rFonts w:eastAsia="Times New Roman" w:cs="Times New Roman"/>
                      <w:szCs w:val="20"/>
                    </w:rPr>
                    <w:t>1 to &lt;4y</w:t>
                  </w:r>
                </w:p>
              </w:tc>
              <w:tc>
                <w:tcPr>
                  <w:tcW w:w="992" w:type="dxa"/>
                </w:tcPr>
                <w:p w14:paraId="04366ECC"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13</w:t>
                  </w:r>
                </w:p>
              </w:tc>
              <w:tc>
                <w:tcPr>
                  <w:tcW w:w="709" w:type="dxa"/>
                </w:tcPr>
                <w:p w14:paraId="3745472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0.25</w:t>
                  </w:r>
                </w:p>
              </w:tc>
              <w:tc>
                <w:tcPr>
                  <w:tcW w:w="1276" w:type="dxa"/>
                </w:tcPr>
                <w:p w14:paraId="77C6673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38.3</w:t>
                  </w:r>
                </w:p>
              </w:tc>
              <w:tc>
                <w:tcPr>
                  <w:tcW w:w="1134" w:type="dxa"/>
                </w:tcPr>
                <w:p w14:paraId="1173C6D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65</w:t>
                  </w:r>
                </w:p>
              </w:tc>
            </w:tr>
            <w:tr w:rsidR="00036214" w:rsidRPr="00505285" w14:paraId="798D3E48" w14:textId="77777777">
              <w:tc>
                <w:tcPr>
                  <w:tcW w:w="1529" w:type="dxa"/>
                  <w:vAlign w:val="bottom"/>
                </w:tcPr>
                <w:p w14:paraId="6557BCDA" w14:textId="77777777" w:rsidR="00036214" w:rsidRPr="00505285" w:rsidRDefault="00036214">
                  <w:pPr>
                    <w:spacing w:after="0"/>
                    <w:rPr>
                      <w:rFonts w:eastAsia="Times New Roman" w:cs="Times New Roman"/>
                      <w:szCs w:val="20"/>
                    </w:rPr>
                  </w:pPr>
                  <w:r w:rsidRPr="00505285">
                    <w:rPr>
                      <w:rFonts w:eastAsia="Times New Roman" w:cs="Times New Roman"/>
                      <w:szCs w:val="20"/>
                    </w:rPr>
                    <w:t xml:space="preserve">4 to &lt;9y </w:t>
                  </w:r>
                </w:p>
              </w:tc>
              <w:tc>
                <w:tcPr>
                  <w:tcW w:w="992" w:type="dxa"/>
                </w:tcPr>
                <w:p w14:paraId="71F4F05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22.4</w:t>
                  </w:r>
                </w:p>
              </w:tc>
              <w:tc>
                <w:tcPr>
                  <w:tcW w:w="709" w:type="dxa"/>
                </w:tcPr>
                <w:p w14:paraId="5CB5A1E2"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0.09</w:t>
                  </w:r>
                </w:p>
              </w:tc>
              <w:tc>
                <w:tcPr>
                  <w:tcW w:w="1276" w:type="dxa"/>
                </w:tcPr>
                <w:p w14:paraId="3F10383D"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50.2</w:t>
                  </w:r>
                </w:p>
              </w:tc>
              <w:tc>
                <w:tcPr>
                  <w:tcW w:w="1134" w:type="dxa"/>
                </w:tcPr>
                <w:p w14:paraId="6C4A4D88"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65</w:t>
                  </w:r>
                </w:p>
              </w:tc>
            </w:tr>
            <w:tr w:rsidR="00036214" w:rsidRPr="00505285" w14:paraId="59AF015F" w14:textId="77777777">
              <w:tc>
                <w:tcPr>
                  <w:tcW w:w="1529" w:type="dxa"/>
                  <w:vAlign w:val="bottom"/>
                </w:tcPr>
                <w:p w14:paraId="3A9B554E" w14:textId="77777777" w:rsidR="00036214" w:rsidRPr="00505285" w:rsidRDefault="00036214">
                  <w:pPr>
                    <w:spacing w:after="0"/>
                    <w:rPr>
                      <w:rFonts w:eastAsia="Times New Roman" w:cs="Times New Roman"/>
                      <w:szCs w:val="20"/>
                    </w:rPr>
                  </w:pPr>
                  <w:r w:rsidRPr="00505285">
                    <w:rPr>
                      <w:rFonts w:eastAsia="Times New Roman" w:cs="Times New Roman"/>
                      <w:szCs w:val="20"/>
                    </w:rPr>
                    <w:t>9 to &lt;14y</w:t>
                  </w:r>
                </w:p>
              </w:tc>
              <w:tc>
                <w:tcPr>
                  <w:tcW w:w="992" w:type="dxa"/>
                </w:tcPr>
                <w:p w14:paraId="742462A1"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40.7</w:t>
                  </w:r>
                </w:p>
              </w:tc>
              <w:tc>
                <w:tcPr>
                  <w:tcW w:w="709" w:type="dxa"/>
                </w:tcPr>
                <w:p w14:paraId="32E8BDC4"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0.13</w:t>
                  </w:r>
                </w:p>
              </w:tc>
              <w:tc>
                <w:tcPr>
                  <w:tcW w:w="1276" w:type="dxa"/>
                </w:tcPr>
                <w:p w14:paraId="25C4C4AC"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81.5</w:t>
                  </w:r>
                </w:p>
              </w:tc>
              <w:tc>
                <w:tcPr>
                  <w:tcW w:w="1134" w:type="dxa"/>
                </w:tcPr>
                <w:p w14:paraId="08B9C45E"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75</w:t>
                  </w:r>
                </w:p>
              </w:tc>
            </w:tr>
            <w:tr w:rsidR="00036214" w:rsidRPr="00505285" w14:paraId="6A2C3476" w14:textId="77777777" w:rsidTr="00175AC7">
              <w:tc>
                <w:tcPr>
                  <w:tcW w:w="1529" w:type="dxa"/>
                  <w:vAlign w:val="bottom"/>
                </w:tcPr>
                <w:p w14:paraId="29D46E55" w14:textId="77777777" w:rsidR="00036214" w:rsidRPr="00505285" w:rsidRDefault="00036214" w:rsidP="00175AC7">
                  <w:pPr>
                    <w:spacing w:after="0"/>
                    <w:rPr>
                      <w:rFonts w:eastAsia="Times New Roman" w:cs="Times New Roman"/>
                      <w:szCs w:val="20"/>
                    </w:rPr>
                  </w:pPr>
                  <w:r w:rsidRPr="00505285">
                    <w:rPr>
                      <w:rFonts w:eastAsia="Times New Roman" w:cs="Times New Roman"/>
                      <w:szCs w:val="20"/>
                    </w:rPr>
                    <w:t>14 to &lt;18y</w:t>
                  </w:r>
                </w:p>
              </w:tc>
              <w:tc>
                <w:tcPr>
                  <w:tcW w:w="992" w:type="dxa"/>
                </w:tcPr>
                <w:p w14:paraId="55997E08"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57.6</w:t>
                  </w:r>
                </w:p>
              </w:tc>
              <w:tc>
                <w:tcPr>
                  <w:tcW w:w="709" w:type="dxa"/>
                </w:tcPr>
                <w:p w14:paraId="7C84D9DC"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0.08</w:t>
                  </w:r>
                </w:p>
              </w:tc>
              <w:tc>
                <w:tcPr>
                  <w:tcW w:w="1276" w:type="dxa"/>
                </w:tcPr>
                <w:p w14:paraId="0FA6CEC7"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101.1</w:t>
                  </w:r>
                </w:p>
              </w:tc>
              <w:tc>
                <w:tcPr>
                  <w:tcW w:w="1134" w:type="dxa"/>
                </w:tcPr>
                <w:p w14:paraId="0D575388"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95</w:t>
                  </w:r>
                </w:p>
              </w:tc>
            </w:tr>
            <w:tr w:rsidR="00036214" w:rsidRPr="00505285" w14:paraId="4D287825" w14:textId="77777777">
              <w:tc>
                <w:tcPr>
                  <w:tcW w:w="5640" w:type="dxa"/>
                  <w:gridSpan w:val="5"/>
                  <w:shd w:val="clear" w:color="auto" w:fill="005F85"/>
                </w:tcPr>
                <w:p w14:paraId="3CE58B94" w14:textId="77777777" w:rsidR="00036214" w:rsidRPr="00505285" w:rsidRDefault="00036214">
                  <w:pPr>
                    <w:spacing w:after="0"/>
                    <w:rPr>
                      <w:rFonts w:eastAsia="Times New Roman" w:cs="Times New Roman"/>
                      <w:szCs w:val="20"/>
                    </w:rPr>
                  </w:pPr>
                  <w:r w:rsidRPr="00505285">
                    <w:rPr>
                      <w:rFonts w:eastAsia="Times New Roman" w:cs="Times New Roman"/>
                      <w:b/>
                      <w:bCs/>
                      <w:color w:val="FFFFFF"/>
                      <w:szCs w:val="20"/>
                    </w:rPr>
                    <w:t>Age (grouped by school-age):</w:t>
                  </w:r>
                </w:p>
              </w:tc>
            </w:tr>
            <w:tr w:rsidR="00036214" w:rsidRPr="00505285" w14:paraId="4A083F92" w14:textId="77777777">
              <w:tc>
                <w:tcPr>
                  <w:tcW w:w="1529" w:type="dxa"/>
                </w:tcPr>
                <w:p w14:paraId="2495F2F1" w14:textId="77777777" w:rsidR="00036214" w:rsidRPr="00505285" w:rsidRDefault="00036214">
                  <w:pPr>
                    <w:spacing w:after="0"/>
                    <w:rPr>
                      <w:rFonts w:eastAsia="Times New Roman" w:cs="Times New Roman"/>
                      <w:szCs w:val="20"/>
                    </w:rPr>
                  </w:pPr>
                  <w:r w:rsidRPr="00505285">
                    <w:rPr>
                      <w:rFonts w:eastAsia="Times New Roman" w:cs="Times New Roman"/>
                      <w:szCs w:val="20"/>
                    </w:rPr>
                    <w:t>12 to &lt;24mo</w:t>
                  </w:r>
                  <w:r w:rsidRPr="00505285">
                    <w:rPr>
                      <w:rFonts w:eastAsia="Times New Roman" w:cs="Arial"/>
                      <w:b/>
                      <w:bCs/>
                      <w:i/>
                      <w:iCs/>
                      <w:szCs w:val="20"/>
                    </w:rPr>
                    <w:t xml:space="preserve"> </w:t>
                  </w:r>
                </w:p>
              </w:tc>
              <w:tc>
                <w:tcPr>
                  <w:tcW w:w="992" w:type="dxa"/>
                </w:tcPr>
                <w:p w14:paraId="2795D6AD"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10.6</w:t>
                  </w:r>
                </w:p>
              </w:tc>
              <w:tc>
                <w:tcPr>
                  <w:tcW w:w="709" w:type="dxa"/>
                </w:tcPr>
                <w:p w14:paraId="3A597D7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0.44</w:t>
                  </w:r>
                </w:p>
              </w:tc>
              <w:tc>
                <w:tcPr>
                  <w:tcW w:w="1276" w:type="dxa"/>
                </w:tcPr>
                <w:p w14:paraId="16303207"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37.9</w:t>
                  </w:r>
                </w:p>
              </w:tc>
              <w:tc>
                <w:tcPr>
                  <w:tcW w:w="1134" w:type="dxa"/>
                </w:tcPr>
                <w:p w14:paraId="51FBF58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65</w:t>
                  </w:r>
                </w:p>
              </w:tc>
            </w:tr>
            <w:tr w:rsidR="00036214" w:rsidRPr="00505285" w14:paraId="47BFF0F9" w14:textId="77777777">
              <w:tc>
                <w:tcPr>
                  <w:tcW w:w="1529" w:type="dxa"/>
                </w:tcPr>
                <w:p w14:paraId="397BAEF6" w14:textId="77777777" w:rsidR="00036214" w:rsidRPr="00505285" w:rsidRDefault="00036214">
                  <w:pPr>
                    <w:spacing w:after="0"/>
                    <w:rPr>
                      <w:rFonts w:eastAsia="Times New Roman" w:cs="Times New Roman"/>
                      <w:szCs w:val="20"/>
                    </w:rPr>
                  </w:pPr>
                  <w:r w:rsidRPr="00505285">
                    <w:rPr>
                      <w:rFonts w:eastAsia="Times New Roman" w:cs="Times New Roman"/>
                      <w:szCs w:val="20"/>
                    </w:rPr>
                    <w:t>2 to &lt;5y</w:t>
                  </w:r>
                </w:p>
              </w:tc>
              <w:tc>
                <w:tcPr>
                  <w:tcW w:w="992" w:type="dxa"/>
                </w:tcPr>
                <w:p w14:paraId="58F3F4EC"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15.9</w:t>
                  </w:r>
                </w:p>
              </w:tc>
              <w:tc>
                <w:tcPr>
                  <w:tcW w:w="709" w:type="dxa"/>
                </w:tcPr>
                <w:p w14:paraId="2207EE9B"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0.12</w:t>
                  </w:r>
                </w:p>
              </w:tc>
              <w:tc>
                <w:tcPr>
                  <w:tcW w:w="1276" w:type="dxa"/>
                </w:tcPr>
                <w:p w14:paraId="2559873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39.9</w:t>
                  </w:r>
                </w:p>
              </w:tc>
              <w:tc>
                <w:tcPr>
                  <w:tcW w:w="1134" w:type="dxa"/>
                </w:tcPr>
                <w:p w14:paraId="76A58A84"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65</w:t>
                  </w:r>
                </w:p>
              </w:tc>
            </w:tr>
            <w:tr w:rsidR="00036214" w:rsidRPr="00505285" w14:paraId="73C63A04" w14:textId="77777777">
              <w:tc>
                <w:tcPr>
                  <w:tcW w:w="1529" w:type="dxa"/>
                </w:tcPr>
                <w:p w14:paraId="298C6696" w14:textId="77777777" w:rsidR="00036214" w:rsidRPr="00505285" w:rsidRDefault="00036214">
                  <w:pPr>
                    <w:spacing w:after="0"/>
                    <w:rPr>
                      <w:rFonts w:eastAsia="Times New Roman" w:cs="Times New Roman"/>
                      <w:szCs w:val="20"/>
                    </w:rPr>
                  </w:pPr>
                  <w:r w:rsidRPr="00505285">
                    <w:rPr>
                      <w:rFonts w:eastAsia="Times New Roman" w:cs="Times New Roman"/>
                      <w:szCs w:val="20"/>
                    </w:rPr>
                    <w:t>5 to &lt;12y</w:t>
                  </w:r>
                </w:p>
              </w:tc>
              <w:tc>
                <w:tcPr>
                  <w:tcW w:w="992" w:type="dxa"/>
                </w:tcPr>
                <w:p w14:paraId="0A485213"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28.6</w:t>
                  </w:r>
                </w:p>
              </w:tc>
              <w:tc>
                <w:tcPr>
                  <w:tcW w:w="709" w:type="dxa"/>
                </w:tcPr>
                <w:p w14:paraId="1381649E"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0.12</w:t>
                  </w:r>
                </w:p>
              </w:tc>
              <w:tc>
                <w:tcPr>
                  <w:tcW w:w="1276" w:type="dxa"/>
                </w:tcPr>
                <w:p w14:paraId="65FDC056"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62.0</w:t>
                  </w:r>
                </w:p>
              </w:tc>
              <w:tc>
                <w:tcPr>
                  <w:tcW w:w="1134" w:type="dxa"/>
                </w:tcPr>
                <w:p w14:paraId="52C89342"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70</w:t>
                  </w:r>
                </w:p>
              </w:tc>
            </w:tr>
            <w:tr w:rsidR="00036214" w:rsidRPr="00505285" w14:paraId="3B3CB3BD" w14:textId="77777777">
              <w:tc>
                <w:tcPr>
                  <w:tcW w:w="1529" w:type="dxa"/>
                </w:tcPr>
                <w:p w14:paraId="16ACB300" w14:textId="77777777" w:rsidR="00036214" w:rsidRPr="00505285" w:rsidRDefault="00036214">
                  <w:pPr>
                    <w:spacing w:after="0"/>
                    <w:rPr>
                      <w:rFonts w:eastAsia="Times New Roman" w:cs="Times New Roman"/>
                      <w:szCs w:val="20"/>
                    </w:rPr>
                  </w:pPr>
                  <w:r w:rsidRPr="00505285">
                    <w:rPr>
                      <w:rFonts w:eastAsia="Times New Roman" w:cs="Times New Roman"/>
                      <w:szCs w:val="20"/>
                    </w:rPr>
                    <w:t>12 to &lt;18y</w:t>
                  </w:r>
                </w:p>
              </w:tc>
              <w:tc>
                <w:tcPr>
                  <w:tcW w:w="992" w:type="dxa"/>
                </w:tcPr>
                <w:p w14:paraId="7A5BD11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54.5</w:t>
                  </w:r>
                </w:p>
              </w:tc>
              <w:tc>
                <w:tcPr>
                  <w:tcW w:w="709" w:type="dxa"/>
                </w:tcPr>
                <w:p w14:paraId="2F71C4F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0.07</w:t>
                  </w:r>
                </w:p>
              </w:tc>
              <w:tc>
                <w:tcPr>
                  <w:tcW w:w="1276" w:type="dxa"/>
                </w:tcPr>
                <w:p w14:paraId="3A9CF3A5"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96.1</w:t>
                  </w:r>
                </w:p>
              </w:tc>
              <w:tc>
                <w:tcPr>
                  <w:tcW w:w="1134" w:type="dxa"/>
                </w:tcPr>
                <w:p w14:paraId="323BCD38"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r>
          </w:tbl>
          <w:p w14:paraId="22C81DB2"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Cs/>
                <w:szCs w:val="20"/>
                <w:lang w:eastAsia="en-AU"/>
              </w:rPr>
            </w:pPr>
            <w:r w:rsidRPr="00505285">
              <w:rPr>
                <w:rFonts w:eastAsia="Times New Roman" w:cs="Arial"/>
                <w:iCs/>
                <w:szCs w:val="20"/>
                <w:lang w:eastAsia="en-AU"/>
              </w:rPr>
              <w:t>The RDI was then calculated applying a CV of 20%, and rounded as follows:</w:t>
            </w:r>
          </w:p>
          <w:tbl>
            <w:tblPr>
              <w:tblStyle w:val="TableGrid2"/>
              <w:tblW w:w="5605" w:type="dxa"/>
              <w:tblInd w:w="0" w:type="dxa"/>
              <w:tblLook w:val="04A0" w:firstRow="1" w:lastRow="0" w:firstColumn="1" w:lastColumn="0" w:noHBand="0" w:noVBand="1"/>
            </w:tblPr>
            <w:tblGrid>
              <w:gridCol w:w="1211"/>
              <w:gridCol w:w="992"/>
              <w:gridCol w:w="709"/>
              <w:gridCol w:w="1417"/>
              <w:gridCol w:w="1276"/>
            </w:tblGrid>
            <w:tr w:rsidR="00036214" w:rsidRPr="00505285" w14:paraId="4469D723" w14:textId="77777777">
              <w:tc>
                <w:tcPr>
                  <w:tcW w:w="1211" w:type="dxa"/>
                  <w:shd w:val="clear" w:color="auto" w:fill="005F85"/>
                </w:tcPr>
                <w:p w14:paraId="72280CCE" w14:textId="77777777" w:rsidR="00036214" w:rsidRPr="00505285" w:rsidRDefault="00036214">
                  <w:pPr>
                    <w:spacing w:after="0"/>
                    <w:rPr>
                      <w:rFonts w:eastAsia="Times New Roman" w:cs="Times New Roman"/>
                      <w:b/>
                      <w:bCs/>
                      <w:color w:val="FFFFFF"/>
                      <w:szCs w:val="20"/>
                    </w:rPr>
                  </w:pPr>
                  <w:r w:rsidRPr="00505285">
                    <w:rPr>
                      <w:rFonts w:eastAsia="Times New Roman" w:cs="Times New Roman"/>
                      <w:b/>
                      <w:bCs/>
                      <w:color w:val="FFFFFF"/>
                      <w:szCs w:val="20"/>
                    </w:rPr>
                    <w:lastRenderedPageBreak/>
                    <w:t>Age group</w:t>
                  </w:r>
                </w:p>
              </w:tc>
              <w:tc>
                <w:tcPr>
                  <w:tcW w:w="992" w:type="dxa"/>
                  <w:shd w:val="clear" w:color="auto" w:fill="005F85"/>
                </w:tcPr>
                <w:p w14:paraId="05801E32" w14:textId="77777777" w:rsidR="00036214" w:rsidRPr="00505285" w:rsidRDefault="00036214">
                  <w:pPr>
                    <w:spacing w:after="0"/>
                    <w:jc w:val="center"/>
                    <w:rPr>
                      <w:rFonts w:eastAsia="Times New Roman" w:cs="Times New Roman"/>
                      <w:b/>
                      <w:bCs/>
                      <w:color w:val="FFFFFF"/>
                      <w:szCs w:val="20"/>
                    </w:rPr>
                  </w:pPr>
                  <w:r w:rsidRPr="00505285">
                    <w:rPr>
                      <w:rFonts w:eastAsia="Times New Roman" w:cs="Times New Roman"/>
                      <w:b/>
                      <w:bCs/>
                      <w:color w:val="FFFFFF"/>
                      <w:szCs w:val="20"/>
                    </w:rPr>
                    <w:t>EAR</w:t>
                  </w:r>
                </w:p>
                <w:p w14:paraId="1F13123F" w14:textId="77777777" w:rsidR="00036214" w:rsidRPr="00505285" w:rsidRDefault="00036214">
                  <w:pPr>
                    <w:spacing w:after="0"/>
                    <w:jc w:val="center"/>
                    <w:rPr>
                      <w:rFonts w:eastAsia="Times New Roman" w:cs="Times New Roman"/>
                      <w:b/>
                      <w:bCs/>
                      <w:color w:val="FFFFFF"/>
                      <w:szCs w:val="20"/>
                      <w:vertAlign w:val="subscript"/>
                    </w:rPr>
                  </w:pPr>
                  <w:r w:rsidRPr="00505285">
                    <w:rPr>
                      <w:rFonts w:eastAsia="Times New Roman" w:cs="Times New Roman"/>
                      <w:b/>
                      <w:bCs/>
                      <w:color w:val="FFFFFF"/>
                      <w:szCs w:val="20"/>
                      <w:vertAlign w:val="subscript"/>
                    </w:rPr>
                    <w:t>child</w:t>
                  </w:r>
                </w:p>
                <w:p w14:paraId="39AFC990" w14:textId="77777777" w:rsidR="00036214" w:rsidRPr="00505285" w:rsidRDefault="00036214">
                  <w:pPr>
                    <w:spacing w:after="0"/>
                    <w:jc w:val="center"/>
                    <w:rPr>
                      <w:rFonts w:eastAsia="Times New Roman" w:cs="Times New Roman"/>
                      <w:b/>
                      <w:bCs/>
                      <w:color w:val="FFFFFF"/>
                      <w:szCs w:val="20"/>
                    </w:rPr>
                  </w:pPr>
                  <w:r w:rsidRPr="00505285">
                    <w:rPr>
                      <w:rFonts w:eastAsia="Times New Roman" w:cs="Times New Roman"/>
                      <w:b/>
                      <w:bCs/>
                      <w:i/>
                      <w:iCs/>
                      <w:color w:val="FFFFFF"/>
                      <w:szCs w:val="20"/>
                    </w:rPr>
                    <w:t>µg/</w:t>
                  </w:r>
                  <w:r w:rsidRPr="00505285">
                    <w:rPr>
                      <w:rFonts w:eastAsia="Arial" w:cs="Times New Roman"/>
                      <w:b/>
                      <w:bCs/>
                      <w:color w:val="FFFFFF"/>
                      <w:szCs w:val="20"/>
                    </w:rPr>
                    <w:t>day</w:t>
                  </w:r>
                </w:p>
              </w:tc>
              <w:tc>
                <w:tcPr>
                  <w:tcW w:w="709" w:type="dxa"/>
                  <w:shd w:val="clear" w:color="auto" w:fill="005F85"/>
                </w:tcPr>
                <w:p w14:paraId="27D46883" w14:textId="77777777" w:rsidR="00036214" w:rsidRPr="00505285" w:rsidRDefault="00036214">
                  <w:pPr>
                    <w:spacing w:after="0"/>
                    <w:jc w:val="center"/>
                    <w:rPr>
                      <w:rFonts w:eastAsia="Times New Roman" w:cs="Times New Roman"/>
                      <w:b/>
                      <w:bCs/>
                      <w:color w:val="FFFFFF"/>
                      <w:szCs w:val="20"/>
                    </w:rPr>
                  </w:pPr>
                  <w:r w:rsidRPr="00505285">
                    <w:rPr>
                      <w:rFonts w:eastAsia="Times New Roman" w:cs="Times New Roman"/>
                      <w:b/>
                      <w:bCs/>
                      <w:color w:val="FFFFFF"/>
                      <w:szCs w:val="20"/>
                    </w:rPr>
                    <w:t>CV</w:t>
                  </w:r>
                </w:p>
              </w:tc>
              <w:tc>
                <w:tcPr>
                  <w:tcW w:w="1417" w:type="dxa"/>
                  <w:shd w:val="clear" w:color="auto" w:fill="005F85"/>
                </w:tcPr>
                <w:p w14:paraId="1ABA4335" w14:textId="77777777" w:rsidR="00036214" w:rsidRPr="00505285" w:rsidRDefault="00036214">
                  <w:pPr>
                    <w:spacing w:after="0"/>
                    <w:ind w:right="-118"/>
                    <w:jc w:val="center"/>
                    <w:rPr>
                      <w:rFonts w:eastAsia="Times New Roman" w:cs="Times New Roman"/>
                      <w:b/>
                      <w:bCs/>
                      <w:color w:val="FFFFFF"/>
                      <w:szCs w:val="20"/>
                    </w:rPr>
                  </w:pPr>
                  <w:r w:rsidRPr="00505285">
                    <w:rPr>
                      <w:rFonts w:eastAsia="Times New Roman" w:cs="Times New Roman"/>
                      <w:b/>
                      <w:bCs/>
                      <w:color w:val="FFFFFF"/>
                      <w:szCs w:val="20"/>
                    </w:rPr>
                    <w:t>RDI (calculated)</w:t>
                  </w:r>
                </w:p>
                <w:p w14:paraId="76B10505" w14:textId="77777777" w:rsidR="00036214" w:rsidRPr="00505285" w:rsidRDefault="00036214">
                  <w:pPr>
                    <w:spacing w:after="0"/>
                    <w:ind w:right="-118"/>
                    <w:jc w:val="center"/>
                    <w:rPr>
                      <w:rFonts w:eastAsia="Times New Roman" w:cs="Times New Roman"/>
                      <w:b/>
                      <w:bCs/>
                      <w:color w:val="FFFFFF"/>
                      <w:szCs w:val="20"/>
                    </w:rPr>
                  </w:pPr>
                  <w:r w:rsidRPr="00505285">
                    <w:rPr>
                      <w:rFonts w:eastAsia="Times New Roman" w:cs="Times New Roman"/>
                      <w:b/>
                      <w:bCs/>
                      <w:i/>
                      <w:iCs/>
                      <w:color w:val="FFFFFF"/>
                      <w:szCs w:val="20"/>
                    </w:rPr>
                    <w:t>µg/</w:t>
                  </w:r>
                  <w:r w:rsidRPr="00505285">
                    <w:rPr>
                      <w:rFonts w:eastAsia="Arial" w:cs="Times New Roman"/>
                      <w:b/>
                      <w:bCs/>
                      <w:color w:val="FFFFFF"/>
                      <w:szCs w:val="20"/>
                    </w:rPr>
                    <w:t>day</w:t>
                  </w:r>
                </w:p>
              </w:tc>
              <w:tc>
                <w:tcPr>
                  <w:tcW w:w="1276" w:type="dxa"/>
                  <w:shd w:val="clear" w:color="auto" w:fill="005F85"/>
                </w:tcPr>
                <w:p w14:paraId="001A7693" w14:textId="77777777" w:rsidR="00036214" w:rsidRPr="00505285" w:rsidRDefault="00036214">
                  <w:pPr>
                    <w:spacing w:after="0"/>
                    <w:ind w:right="-81"/>
                    <w:jc w:val="center"/>
                    <w:rPr>
                      <w:rFonts w:eastAsia="Times New Roman" w:cs="Times New Roman"/>
                      <w:b/>
                      <w:bCs/>
                      <w:color w:val="FFFFFF"/>
                      <w:szCs w:val="20"/>
                    </w:rPr>
                  </w:pPr>
                  <w:r w:rsidRPr="00505285">
                    <w:rPr>
                      <w:rFonts w:eastAsia="Times New Roman" w:cs="Times New Roman"/>
                      <w:b/>
                      <w:bCs/>
                      <w:color w:val="FFFFFF"/>
                      <w:szCs w:val="20"/>
                    </w:rPr>
                    <w:t>Proposed RDI (rounded)</w:t>
                  </w:r>
                </w:p>
                <w:p w14:paraId="12438C4B" w14:textId="77777777" w:rsidR="00036214" w:rsidRPr="00505285" w:rsidRDefault="00036214">
                  <w:pPr>
                    <w:spacing w:after="0"/>
                    <w:jc w:val="center"/>
                    <w:rPr>
                      <w:rFonts w:eastAsia="Times New Roman" w:cs="Times New Roman"/>
                      <w:b/>
                      <w:bCs/>
                      <w:color w:val="FFFFFF"/>
                      <w:szCs w:val="20"/>
                    </w:rPr>
                  </w:pPr>
                  <w:r w:rsidRPr="00505285">
                    <w:rPr>
                      <w:rFonts w:eastAsia="Times New Roman" w:cs="Times New Roman"/>
                      <w:b/>
                      <w:bCs/>
                      <w:i/>
                      <w:iCs/>
                      <w:color w:val="FFFFFF"/>
                      <w:szCs w:val="20"/>
                    </w:rPr>
                    <w:t>µg/</w:t>
                  </w:r>
                  <w:r w:rsidRPr="00505285">
                    <w:rPr>
                      <w:rFonts w:eastAsia="Arial" w:cs="Times New Roman"/>
                      <w:b/>
                      <w:bCs/>
                      <w:color w:val="FFFFFF"/>
                      <w:szCs w:val="20"/>
                    </w:rPr>
                    <w:t>day</w:t>
                  </w:r>
                </w:p>
              </w:tc>
            </w:tr>
            <w:tr w:rsidR="00036214" w:rsidRPr="00505285" w14:paraId="66748D26" w14:textId="77777777">
              <w:tc>
                <w:tcPr>
                  <w:tcW w:w="5605" w:type="dxa"/>
                  <w:gridSpan w:val="5"/>
                  <w:shd w:val="clear" w:color="auto" w:fill="005F85"/>
                </w:tcPr>
                <w:p w14:paraId="2B6F4346" w14:textId="77777777" w:rsidR="00036214" w:rsidRPr="00505285" w:rsidRDefault="00036214">
                  <w:pPr>
                    <w:spacing w:after="0"/>
                    <w:ind w:right="-79"/>
                    <w:rPr>
                      <w:rFonts w:eastAsia="Times New Roman" w:cs="Times New Roman"/>
                      <w:b/>
                      <w:bCs/>
                      <w:color w:val="FFFFFF"/>
                      <w:szCs w:val="20"/>
                    </w:rPr>
                  </w:pPr>
                  <w:r w:rsidRPr="00505285">
                    <w:rPr>
                      <w:rFonts w:eastAsia="Times New Roman" w:cs="Times New Roman"/>
                      <w:b/>
                      <w:bCs/>
                      <w:color w:val="FFFFFF"/>
                      <w:szCs w:val="20"/>
                    </w:rPr>
                    <w:t>NRVs age groupings:</w:t>
                  </w:r>
                </w:p>
              </w:tc>
            </w:tr>
            <w:tr w:rsidR="00036214" w:rsidRPr="00505285" w14:paraId="7ED558B6" w14:textId="77777777">
              <w:tc>
                <w:tcPr>
                  <w:tcW w:w="1211" w:type="dxa"/>
                  <w:vAlign w:val="bottom"/>
                </w:tcPr>
                <w:p w14:paraId="2057D7E7" w14:textId="77777777" w:rsidR="00036214" w:rsidRPr="00505285" w:rsidRDefault="00036214">
                  <w:pPr>
                    <w:spacing w:after="0"/>
                    <w:rPr>
                      <w:rFonts w:eastAsia="Times New Roman" w:cs="Times New Roman"/>
                      <w:szCs w:val="20"/>
                    </w:rPr>
                  </w:pPr>
                  <w:r w:rsidRPr="00505285">
                    <w:rPr>
                      <w:rFonts w:eastAsia="Times New Roman" w:cs="Times New Roman"/>
                      <w:szCs w:val="20"/>
                    </w:rPr>
                    <w:t>1 to &lt;4y</w:t>
                  </w:r>
                </w:p>
              </w:tc>
              <w:tc>
                <w:tcPr>
                  <w:tcW w:w="992" w:type="dxa"/>
                </w:tcPr>
                <w:p w14:paraId="65027E6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65</w:t>
                  </w:r>
                </w:p>
              </w:tc>
              <w:tc>
                <w:tcPr>
                  <w:tcW w:w="709" w:type="dxa"/>
                </w:tcPr>
                <w:p w14:paraId="2BB71154"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20%</w:t>
                  </w:r>
                </w:p>
              </w:tc>
              <w:tc>
                <w:tcPr>
                  <w:tcW w:w="1417" w:type="dxa"/>
                </w:tcPr>
                <w:p w14:paraId="29207EE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91</w:t>
                  </w:r>
                </w:p>
              </w:tc>
              <w:tc>
                <w:tcPr>
                  <w:tcW w:w="1276" w:type="dxa"/>
                </w:tcPr>
                <w:p w14:paraId="5EB2723C"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r>
            <w:tr w:rsidR="00036214" w:rsidRPr="00505285" w14:paraId="73E2BF79" w14:textId="77777777">
              <w:tc>
                <w:tcPr>
                  <w:tcW w:w="1211" w:type="dxa"/>
                  <w:vAlign w:val="bottom"/>
                </w:tcPr>
                <w:p w14:paraId="59B9340E" w14:textId="77777777" w:rsidR="00036214" w:rsidRPr="00505285" w:rsidRDefault="00036214">
                  <w:pPr>
                    <w:spacing w:after="0"/>
                    <w:rPr>
                      <w:rFonts w:eastAsia="Times New Roman" w:cs="Times New Roman"/>
                      <w:szCs w:val="20"/>
                    </w:rPr>
                  </w:pPr>
                  <w:r w:rsidRPr="00505285">
                    <w:rPr>
                      <w:rFonts w:eastAsia="Times New Roman" w:cs="Times New Roman"/>
                      <w:szCs w:val="20"/>
                    </w:rPr>
                    <w:t xml:space="preserve">4 to &lt;9y </w:t>
                  </w:r>
                </w:p>
              </w:tc>
              <w:tc>
                <w:tcPr>
                  <w:tcW w:w="992" w:type="dxa"/>
                </w:tcPr>
                <w:p w14:paraId="310ED354"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65</w:t>
                  </w:r>
                </w:p>
              </w:tc>
              <w:tc>
                <w:tcPr>
                  <w:tcW w:w="709" w:type="dxa"/>
                </w:tcPr>
                <w:p w14:paraId="20CE19FB"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20%</w:t>
                  </w:r>
                </w:p>
              </w:tc>
              <w:tc>
                <w:tcPr>
                  <w:tcW w:w="1417" w:type="dxa"/>
                </w:tcPr>
                <w:p w14:paraId="1DC76B35"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91</w:t>
                  </w:r>
                </w:p>
              </w:tc>
              <w:tc>
                <w:tcPr>
                  <w:tcW w:w="1276" w:type="dxa"/>
                </w:tcPr>
                <w:p w14:paraId="06688C8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r>
            <w:tr w:rsidR="00036214" w:rsidRPr="00505285" w14:paraId="29A23B45" w14:textId="77777777">
              <w:tc>
                <w:tcPr>
                  <w:tcW w:w="1211" w:type="dxa"/>
                  <w:vAlign w:val="bottom"/>
                </w:tcPr>
                <w:p w14:paraId="5CD86EE7" w14:textId="77777777" w:rsidR="00036214" w:rsidRPr="00505285" w:rsidRDefault="00036214">
                  <w:pPr>
                    <w:spacing w:after="0"/>
                    <w:rPr>
                      <w:rFonts w:eastAsia="Times New Roman" w:cs="Times New Roman"/>
                      <w:szCs w:val="20"/>
                    </w:rPr>
                  </w:pPr>
                  <w:r w:rsidRPr="00505285">
                    <w:rPr>
                      <w:rFonts w:eastAsia="Times New Roman" w:cs="Times New Roman"/>
                      <w:szCs w:val="20"/>
                    </w:rPr>
                    <w:t>9 to &lt;14y</w:t>
                  </w:r>
                </w:p>
              </w:tc>
              <w:tc>
                <w:tcPr>
                  <w:tcW w:w="992" w:type="dxa"/>
                </w:tcPr>
                <w:p w14:paraId="76238E1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75</w:t>
                  </w:r>
                </w:p>
              </w:tc>
              <w:tc>
                <w:tcPr>
                  <w:tcW w:w="709" w:type="dxa"/>
                </w:tcPr>
                <w:p w14:paraId="4D104547"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20%</w:t>
                  </w:r>
                </w:p>
              </w:tc>
              <w:tc>
                <w:tcPr>
                  <w:tcW w:w="1417" w:type="dxa"/>
                </w:tcPr>
                <w:p w14:paraId="043EA51D"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105</w:t>
                  </w:r>
                </w:p>
              </w:tc>
              <w:tc>
                <w:tcPr>
                  <w:tcW w:w="1276" w:type="dxa"/>
                </w:tcPr>
                <w:p w14:paraId="725107B9"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120</w:t>
                  </w:r>
                </w:p>
              </w:tc>
            </w:tr>
            <w:tr w:rsidR="00036214" w:rsidRPr="00505285" w14:paraId="6B50B68F" w14:textId="77777777">
              <w:tc>
                <w:tcPr>
                  <w:tcW w:w="1211" w:type="dxa"/>
                  <w:vAlign w:val="bottom"/>
                </w:tcPr>
                <w:p w14:paraId="4FC891AB" w14:textId="77777777" w:rsidR="00036214" w:rsidRPr="00505285" w:rsidRDefault="00036214">
                  <w:pPr>
                    <w:spacing w:after="0"/>
                    <w:rPr>
                      <w:rFonts w:eastAsia="Times New Roman" w:cs="Times New Roman"/>
                      <w:szCs w:val="20"/>
                    </w:rPr>
                  </w:pPr>
                  <w:r w:rsidRPr="00505285">
                    <w:rPr>
                      <w:rFonts w:eastAsia="Times New Roman" w:cs="Times New Roman"/>
                      <w:szCs w:val="20"/>
                    </w:rPr>
                    <w:t>14 to &lt;18y</w:t>
                  </w:r>
                </w:p>
              </w:tc>
              <w:tc>
                <w:tcPr>
                  <w:tcW w:w="992" w:type="dxa"/>
                </w:tcPr>
                <w:p w14:paraId="5C893186"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95</w:t>
                  </w:r>
                </w:p>
              </w:tc>
              <w:tc>
                <w:tcPr>
                  <w:tcW w:w="709" w:type="dxa"/>
                </w:tcPr>
                <w:p w14:paraId="163DCAC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20%</w:t>
                  </w:r>
                </w:p>
              </w:tc>
              <w:tc>
                <w:tcPr>
                  <w:tcW w:w="1417" w:type="dxa"/>
                </w:tcPr>
                <w:p w14:paraId="5B9A149B"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133</w:t>
                  </w:r>
                </w:p>
              </w:tc>
              <w:tc>
                <w:tcPr>
                  <w:tcW w:w="1276" w:type="dxa"/>
                </w:tcPr>
                <w:p w14:paraId="41155AF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150</w:t>
                  </w:r>
                </w:p>
              </w:tc>
            </w:tr>
            <w:tr w:rsidR="00036214" w:rsidRPr="00505285" w14:paraId="351B8C20" w14:textId="77777777">
              <w:tc>
                <w:tcPr>
                  <w:tcW w:w="5605" w:type="dxa"/>
                  <w:gridSpan w:val="5"/>
                  <w:shd w:val="clear" w:color="auto" w:fill="005F85"/>
                </w:tcPr>
                <w:p w14:paraId="1278888F" w14:textId="77777777" w:rsidR="00036214" w:rsidRPr="00505285" w:rsidRDefault="00036214">
                  <w:pPr>
                    <w:spacing w:after="0"/>
                    <w:rPr>
                      <w:rFonts w:eastAsia="Times New Roman" w:cs="Times New Roman"/>
                      <w:szCs w:val="20"/>
                    </w:rPr>
                  </w:pPr>
                  <w:r w:rsidRPr="00505285">
                    <w:rPr>
                      <w:rFonts w:eastAsia="Times New Roman" w:cs="Times New Roman"/>
                      <w:b/>
                      <w:bCs/>
                      <w:color w:val="FFFFFF"/>
                      <w:szCs w:val="20"/>
                    </w:rPr>
                    <w:t>Age (grouped by school-age):</w:t>
                  </w:r>
                </w:p>
              </w:tc>
            </w:tr>
            <w:tr w:rsidR="00036214" w:rsidRPr="00505285" w14:paraId="4F0459A7" w14:textId="77777777">
              <w:tc>
                <w:tcPr>
                  <w:tcW w:w="1211" w:type="dxa"/>
                </w:tcPr>
                <w:p w14:paraId="7CDB679C" w14:textId="77777777" w:rsidR="00036214" w:rsidRPr="00505285" w:rsidRDefault="00036214">
                  <w:pPr>
                    <w:spacing w:after="0"/>
                    <w:rPr>
                      <w:rFonts w:eastAsia="Times New Roman" w:cs="Times New Roman"/>
                      <w:szCs w:val="20"/>
                    </w:rPr>
                  </w:pPr>
                  <w:r w:rsidRPr="00505285">
                    <w:rPr>
                      <w:rFonts w:eastAsia="Times New Roman" w:cs="Times New Roman"/>
                      <w:szCs w:val="20"/>
                    </w:rPr>
                    <w:t>12 to &lt;24mo</w:t>
                  </w:r>
                  <w:r w:rsidRPr="00505285">
                    <w:rPr>
                      <w:rFonts w:eastAsia="Times New Roman" w:cs="Arial"/>
                      <w:b/>
                      <w:bCs/>
                      <w:i/>
                      <w:iCs/>
                      <w:szCs w:val="20"/>
                    </w:rPr>
                    <w:t xml:space="preserve"> </w:t>
                  </w:r>
                </w:p>
              </w:tc>
              <w:tc>
                <w:tcPr>
                  <w:tcW w:w="992" w:type="dxa"/>
                </w:tcPr>
                <w:p w14:paraId="0822D086"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65</w:t>
                  </w:r>
                </w:p>
              </w:tc>
              <w:tc>
                <w:tcPr>
                  <w:tcW w:w="709" w:type="dxa"/>
                </w:tcPr>
                <w:p w14:paraId="3AA65A1B"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20%</w:t>
                  </w:r>
                </w:p>
              </w:tc>
              <w:tc>
                <w:tcPr>
                  <w:tcW w:w="1417" w:type="dxa"/>
                </w:tcPr>
                <w:p w14:paraId="1ADB84D8"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91</w:t>
                  </w:r>
                </w:p>
              </w:tc>
              <w:tc>
                <w:tcPr>
                  <w:tcW w:w="1276" w:type="dxa"/>
                </w:tcPr>
                <w:p w14:paraId="72840D6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r>
            <w:tr w:rsidR="00036214" w:rsidRPr="00505285" w14:paraId="211F0ACA" w14:textId="77777777">
              <w:tc>
                <w:tcPr>
                  <w:tcW w:w="1211" w:type="dxa"/>
                </w:tcPr>
                <w:p w14:paraId="74F03F18" w14:textId="77777777" w:rsidR="00036214" w:rsidRPr="00505285" w:rsidRDefault="00036214">
                  <w:pPr>
                    <w:spacing w:after="0"/>
                    <w:rPr>
                      <w:rFonts w:eastAsia="Times New Roman" w:cs="Times New Roman"/>
                      <w:szCs w:val="20"/>
                    </w:rPr>
                  </w:pPr>
                  <w:r w:rsidRPr="00505285">
                    <w:rPr>
                      <w:rFonts w:eastAsia="Times New Roman" w:cs="Times New Roman"/>
                      <w:szCs w:val="20"/>
                    </w:rPr>
                    <w:t>2 to &lt;5y</w:t>
                  </w:r>
                </w:p>
              </w:tc>
              <w:tc>
                <w:tcPr>
                  <w:tcW w:w="992" w:type="dxa"/>
                </w:tcPr>
                <w:p w14:paraId="3FB17D58"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65</w:t>
                  </w:r>
                </w:p>
              </w:tc>
              <w:tc>
                <w:tcPr>
                  <w:tcW w:w="709" w:type="dxa"/>
                </w:tcPr>
                <w:p w14:paraId="17227C1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20%</w:t>
                  </w:r>
                </w:p>
              </w:tc>
              <w:tc>
                <w:tcPr>
                  <w:tcW w:w="1417" w:type="dxa"/>
                </w:tcPr>
                <w:p w14:paraId="20FFB0D6"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91</w:t>
                  </w:r>
                </w:p>
              </w:tc>
              <w:tc>
                <w:tcPr>
                  <w:tcW w:w="1276" w:type="dxa"/>
                </w:tcPr>
                <w:p w14:paraId="0C2FCED9"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r>
            <w:tr w:rsidR="00036214" w:rsidRPr="00505285" w14:paraId="6DB756B3" w14:textId="77777777">
              <w:tc>
                <w:tcPr>
                  <w:tcW w:w="1211" w:type="dxa"/>
                </w:tcPr>
                <w:p w14:paraId="3EEDA473" w14:textId="77777777" w:rsidR="00036214" w:rsidRPr="00505285" w:rsidRDefault="00036214">
                  <w:pPr>
                    <w:spacing w:after="0"/>
                    <w:rPr>
                      <w:rFonts w:eastAsia="Times New Roman" w:cs="Times New Roman"/>
                      <w:szCs w:val="20"/>
                    </w:rPr>
                  </w:pPr>
                  <w:r w:rsidRPr="00505285">
                    <w:rPr>
                      <w:rFonts w:eastAsia="Times New Roman" w:cs="Times New Roman"/>
                      <w:szCs w:val="20"/>
                    </w:rPr>
                    <w:t>5 to &lt;12y</w:t>
                  </w:r>
                </w:p>
              </w:tc>
              <w:tc>
                <w:tcPr>
                  <w:tcW w:w="992" w:type="dxa"/>
                </w:tcPr>
                <w:p w14:paraId="3DCAAB0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70</w:t>
                  </w:r>
                </w:p>
              </w:tc>
              <w:tc>
                <w:tcPr>
                  <w:tcW w:w="709" w:type="dxa"/>
                </w:tcPr>
                <w:p w14:paraId="2310819D"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20%</w:t>
                  </w:r>
                </w:p>
              </w:tc>
              <w:tc>
                <w:tcPr>
                  <w:tcW w:w="1417" w:type="dxa"/>
                </w:tcPr>
                <w:p w14:paraId="4B493BD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98</w:t>
                  </w:r>
                </w:p>
              </w:tc>
              <w:tc>
                <w:tcPr>
                  <w:tcW w:w="1276" w:type="dxa"/>
                </w:tcPr>
                <w:p w14:paraId="5389EF8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110</w:t>
                  </w:r>
                </w:p>
              </w:tc>
            </w:tr>
            <w:tr w:rsidR="00036214" w:rsidRPr="00505285" w14:paraId="2B044921" w14:textId="77777777">
              <w:tc>
                <w:tcPr>
                  <w:tcW w:w="1211" w:type="dxa"/>
                </w:tcPr>
                <w:p w14:paraId="2D85FB80" w14:textId="77777777" w:rsidR="00036214" w:rsidRPr="00505285" w:rsidRDefault="00036214">
                  <w:pPr>
                    <w:spacing w:after="0"/>
                    <w:rPr>
                      <w:rFonts w:eastAsia="Times New Roman" w:cs="Times New Roman"/>
                      <w:szCs w:val="20"/>
                    </w:rPr>
                  </w:pPr>
                  <w:r w:rsidRPr="00505285">
                    <w:rPr>
                      <w:rFonts w:eastAsia="Times New Roman" w:cs="Times New Roman"/>
                      <w:szCs w:val="20"/>
                    </w:rPr>
                    <w:t>12 to &lt;18y</w:t>
                  </w:r>
                </w:p>
              </w:tc>
              <w:tc>
                <w:tcPr>
                  <w:tcW w:w="992" w:type="dxa"/>
                </w:tcPr>
                <w:p w14:paraId="080E3BB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c>
                <w:tcPr>
                  <w:tcW w:w="709" w:type="dxa"/>
                </w:tcPr>
                <w:p w14:paraId="25148EC7"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20%</w:t>
                  </w:r>
                </w:p>
              </w:tc>
              <w:tc>
                <w:tcPr>
                  <w:tcW w:w="1417" w:type="dxa"/>
                </w:tcPr>
                <w:p w14:paraId="20B638D8"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126</w:t>
                  </w:r>
                </w:p>
              </w:tc>
              <w:tc>
                <w:tcPr>
                  <w:tcW w:w="1276" w:type="dxa"/>
                </w:tcPr>
                <w:p w14:paraId="09AF741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140</w:t>
                  </w:r>
                </w:p>
              </w:tc>
            </w:tr>
          </w:tbl>
          <w:p w14:paraId="5E763D1F"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Arial"/>
                <w:iCs/>
                <w:szCs w:val="20"/>
                <w:highlight w:val="lightGray"/>
                <w:lang w:eastAsia="en-AU"/>
              </w:rPr>
            </w:pPr>
            <w:r w:rsidRPr="00505285">
              <w:rPr>
                <w:rFonts w:eastAsia="Times New Roman" w:cs="Arial"/>
                <w:iCs/>
                <w:szCs w:val="20"/>
                <w:lang w:eastAsia="en-AU"/>
              </w:rPr>
              <w:t xml:space="preserve">This represents a change to methods for calculating the EAR and RDI for children and adolescents. However, the EAR and RDI recommendations are not changed, except for the additional presentation of NRVs for school age groupings. </w:t>
            </w:r>
          </w:p>
        </w:tc>
        <w:tc>
          <w:tcPr>
            <w:tcW w:w="0" w:type="dxa"/>
          </w:tcPr>
          <w:p w14:paraId="7913A8B2"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505285">
              <w:rPr>
                <w:rFonts w:eastAsia="Times New Roman" w:cs="Times New Roman"/>
                <w:szCs w:val="20"/>
              </w:rPr>
              <w:lastRenderedPageBreak/>
              <w:t xml:space="preserve">There is a lack of data on iodine requirements in childhood and adolescents, and current recommendations are based on data from select individuals within balance studies of short duration and small sample sizes. These studies may be unreliable for estimating individual requirements. </w:t>
            </w:r>
          </w:p>
          <w:p w14:paraId="023BBE16"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505285">
              <w:rPr>
                <w:rFonts w:eastAsia="Times New Roman" w:cs="Times New Roman"/>
                <w:szCs w:val="20"/>
              </w:rPr>
              <w:t>Goitre prevalence in children aged 6 to 12 years is an established measure of long-term population iodine status, with prevalence &gt;5% indicative of population-level deficiency (WHO 2007).  However, it should be noted that thyroid volume can take months or even years to return to normal after deficiency is corrected. Consequently, goitre prevalence may be an unreliable</w:t>
            </w:r>
            <w:r w:rsidRPr="00505285">
              <w:rPr>
                <w:rFonts w:eastAsia="Arial" w:cs="Times New Roman"/>
                <w:szCs w:val="20"/>
              </w:rPr>
              <w:t xml:space="preserve"> measure, in populations where deficiency has been recently corrected, and thyroid volumes have not yet returned to normal. Thyroid assessment methods also vary considerably, and the method selected can have substantial implications for case finding. Consequently, consideration was limited to studies conducted in regions comparable to the Australian or New Zealand context, for which robust measurement methods were reported, and without recent history of deficiency. </w:t>
            </w:r>
          </w:p>
          <w:p w14:paraId="48F80A90"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highlight w:val="yellow"/>
              </w:rPr>
            </w:pPr>
            <w:r w:rsidRPr="00505285">
              <w:rPr>
                <w:rFonts w:eastAsia="Arial" w:cs="Times New Roman"/>
                <w:szCs w:val="20"/>
              </w:rPr>
              <w:t xml:space="preserve">A study of 7,599 European school children aged 6-12 years found that a median UIC of 100 </w:t>
            </w:r>
            <w:proofErr w:type="spellStart"/>
            <w:r w:rsidRPr="00505285">
              <w:rPr>
                <w:rFonts w:eastAsia="Arial" w:cs="Times New Roman"/>
                <w:szCs w:val="20"/>
              </w:rPr>
              <w:t>μg</w:t>
            </w:r>
            <w:proofErr w:type="spellEnd"/>
            <w:r w:rsidRPr="00505285">
              <w:rPr>
                <w:rFonts w:eastAsia="Arial" w:cs="Times New Roman"/>
                <w:szCs w:val="20"/>
              </w:rPr>
              <w:t xml:space="preserve">/L was associated with total goitre prevalence of 2-3%, once values were adjusted for age and body-surface area (Delange et al 1997). This study forms the basis for the proposed adult AI recommendation of 150 </w:t>
            </w:r>
            <w:proofErr w:type="spellStart"/>
            <w:r w:rsidRPr="00505285">
              <w:rPr>
                <w:rFonts w:eastAsia="Arial" w:cs="Times New Roman"/>
                <w:szCs w:val="20"/>
              </w:rPr>
              <w:t>μg</w:t>
            </w:r>
            <w:proofErr w:type="spellEnd"/>
            <w:r w:rsidRPr="00505285">
              <w:rPr>
                <w:rFonts w:eastAsia="Arial" w:cs="Times New Roman"/>
                <w:szCs w:val="20"/>
              </w:rPr>
              <w:t>/day.</w:t>
            </w:r>
          </w:p>
          <w:p w14:paraId="6EBA1579"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505285">
              <w:rPr>
                <w:rFonts w:eastAsia="Arial" w:cs="Times New Roman"/>
                <w:szCs w:val="20"/>
              </w:rPr>
              <w:t xml:space="preserve">In the Australian and New Zealand context, studies measuring median UIC and total goitre prevalence in children have reported mixed results. One study in 324 Australian children aged 5 to 13 years residing on the Central Coast of NSW reported a goitre prevalence of 0% with median UIC of 82µg/L (Guttikonda et </w:t>
            </w:r>
            <w:proofErr w:type="gramStart"/>
            <w:r w:rsidRPr="00505285">
              <w:rPr>
                <w:rFonts w:eastAsia="Arial" w:cs="Times New Roman"/>
                <w:szCs w:val="20"/>
              </w:rPr>
              <w:t>al .</w:t>
            </w:r>
            <w:proofErr w:type="gramEnd"/>
            <w:r w:rsidRPr="00505285">
              <w:rPr>
                <w:rFonts w:eastAsia="Arial" w:cs="Times New Roman"/>
                <w:szCs w:val="20"/>
              </w:rPr>
              <w:t xml:space="preserve"> 2003). During a similar </w:t>
            </w:r>
            <w:proofErr w:type="gramStart"/>
            <w:r w:rsidRPr="00505285">
              <w:rPr>
                <w:rFonts w:eastAsia="Arial" w:cs="Times New Roman"/>
                <w:szCs w:val="20"/>
              </w:rPr>
              <w:t>time period</w:t>
            </w:r>
            <w:proofErr w:type="gramEnd"/>
            <w:r w:rsidRPr="00505285">
              <w:rPr>
                <w:rFonts w:eastAsia="Arial" w:cs="Times New Roman"/>
                <w:szCs w:val="20"/>
              </w:rPr>
              <w:t xml:space="preserve">, but in Melbourne, a study in 577 older school children aged 11 to 18 years reported a goitre prevalence of 19% with median UIC of 70 </w:t>
            </w:r>
            <w:proofErr w:type="spellStart"/>
            <w:r w:rsidRPr="00505285">
              <w:rPr>
                <w:rFonts w:eastAsia="Arial" w:cs="Times New Roman"/>
                <w:szCs w:val="20"/>
              </w:rPr>
              <w:t>μg</w:t>
            </w:r>
            <w:proofErr w:type="spellEnd"/>
            <w:r w:rsidRPr="00505285">
              <w:rPr>
                <w:rFonts w:eastAsia="Arial" w:cs="Times New Roman"/>
                <w:szCs w:val="20"/>
              </w:rPr>
              <w:t>/L (McDonnell et al 2003).</w:t>
            </w:r>
          </w:p>
          <w:p w14:paraId="73D6A7A8"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Arial" w:cs="Times New Roman"/>
                <w:szCs w:val="20"/>
              </w:rPr>
            </w:pPr>
            <w:r w:rsidRPr="00505285">
              <w:rPr>
                <w:rFonts w:eastAsia="Times New Roman" w:cs="Times New Roman"/>
                <w:szCs w:val="20"/>
              </w:rPr>
              <w:lastRenderedPageBreak/>
              <w:t>AIs for children and adolescents were extrapolated from the adult AI (150</w:t>
            </w:r>
            <w:r w:rsidRPr="00505285">
              <w:rPr>
                <w:rFonts w:eastAsia="Arial" w:cs="Times New Roman"/>
                <w:szCs w:val="20"/>
              </w:rPr>
              <w:t xml:space="preserve"> </w:t>
            </w:r>
            <w:proofErr w:type="spellStart"/>
            <w:r w:rsidRPr="00505285">
              <w:rPr>
                <w:rFonts w:eastAsia="Arial" w:cs="Times New Roman"/>
                <w:szCs w:val="20"/>
              </w:rPr>
              <w:t>μg</w:t>
            </w:r>
            <w:proofErr w:type="spellEnd"/>
            <w:r w:rsidRPr="00505285">
              <w:rPr>
                <w:rFonts w:eastAsia="Arial" w:cs="Times New Roman"/>
                <w:szCs w:val="20"/>
              </w:rPr>
              <w:t xml:space="preserve">/day) based on metabolic body weight, using the formula: </w:t>
            </w:r>
          </w:p>
          <w:p w14:paraId="0CEADD08" w14:textId="77777777" w:rsidR="00036214" w:rsidRPr="00505285" w:rsidRDefault="00036214">
            <w:pPr>
              <w:spacing w:after="0"/>
              <w:cnfStyle w:val="000000010000" w:firstRow="0" w:lastRow="0" w:firstColumn="0" w:lastColumn="0" w:oddVBand="0" w:evenVBand="0" w:oddHBand="0" w:evenHBand="1" w:firstRowFirstColumn="0" w:firstRowLastColumn="0" w:lastRowFirstColumn="0" w:lastRowLastColumn="0"/>
              <w:rPr>
                <w:rFonts w:eastAsia="Arial" w:cs="Times New Roman"/>
                <w:bCs/>
                <w:szCs w:val="20"/>
                <w:lang w:eastAsia="en-AU"/>
              </w:rPr>
            </w:pPr>
            <w:r w:rsidRPr="00505285">
              <w:rPr>
                <w:rFonts w:eastAsia="Arial" w:cs="Times New Roman"/>
                <w:bCs/>
                <w:szCs w:val="20"/>
                <w:lang w:eastAsia="en-AU"/>
              </w:rPr>
              <w:t xml:space="preserve">Estimated </w:t>
            </w:r>
            <w:proofErr w:type="spellStart"/>
            <w:r w:rsidRPr="00505285">
              <w:rPr>
                <w:rFonts w:eastAsia="Arial" w:cs="Times New Roman"/>
                <w:bCs/>
                <w:szCs w:val="20"/>
                <w:lang w:eastAsia="en-AU"/>
              </w:rPr>
              <w:t>AI</w:t>
            </w:r>
            <w:r w:rsidRPr="00505285">
              <w:rPr>
                <w:rFonts w:eastAsia="Arial" w:cs="Times New Roman"/>
                <w:bCs/>
                <w:szCs w:val="20"/>
                <w:vertAlign w:val="subscript"/>
                <w:lang w:eastAsia="en-AU"/>
              </w:rPr>
              <w:t>child</w:t>
            </w:r>
            <w:proofErr w:type="spellEnd"/>
            <w:r w:rsidRPr="00505285">
              <w:rPr>
                <w:rFonts w:eastAsia="Arial" w:cs="Times New Roman"/>
                <w:bCs/>
                <w:szCs w:val="20"/>
                <w:lang w:eastAsia="en-AU"/>
              </w:rPr>
              <w:t xml:space="preserve"> = Estimated </w:t>
            </w:r>
            <w:proofErr w:type="spellStart"/>
            <w:r w:rsidRPr="00505285">
              <w:rPr>
                <w:rFonts w:eastAsia="Arial" w:cs="Times New Roman"/>
                <w:bCs/>
                <w:szCs w:val="20"/>
                <w:lang w:eastAsia="en-AU"/>
              </w:rPr>
              <w:t>AI</w:t>
            </w:r>
            <w:r w:rsidRPr="00505285">
              <w:rPr>
                <w:rFonts w:eastAsia="Arial" w:cs="Times New Roman"/>
                <w:bCs/>
                <w:szCs w:val="20"/>
                <w:vertAlign w:val="subscript"/>
                <w:lang w:eastAsia="en-AU"/>
              </w:rPr>
              <w:t>adult</w:t>
            </w:r>
            <w:proofErr w:type="spellEnd"/>
            <w:r w:rsidRPr="00505285">
              <w:rPr>
                <w:rFonts w:eastAsia="Arial" w:cs="Times New Roman"/>
                <w:bCs/>
                <w:szCs w:val="20"/>
                <w:lang w:eastAsia="en-AU"/>
              </w:rPr>
              <w:t xml:space="preserve"> x </w:t>
            </w:r>
          </w:p>
          <w:p w14:paraId="292E3F45"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i/>
                <w:iCs/>
                <w:szCs w:val="20"/>
              </w:rPr>
            </w:pPr>
            <w:r w:rsidRPr="00505285">
              <w:rPr>
                <w:rFonts w:eastAsia="Arial" w:cs="Times New Roman"/>
                <w:bCs/>
                <w:szCs w:val="20"/>
                <w:lang w:eastAsia="en-AU"/>
              </w:rPr>
              <w:t>[</w:t>
            </w:r>
            <w:proofErr w:type="spellStart"/>
            <w:r w:rsidRPr="00505285">
              <w:rPr>
                <w:rFonts w:eastAsia="Arial" w:cs="Times New Roman"/>
                <w:bCs/>
                <w:szCs w:val="20"/>
                <w:lang w:eastAsia="en-AU"/>
              </w:rPr>
              <w:t>Weight</w:t>
            </w:r>
            <w:r w:rsidRPr="00505285">
              <w:rPr>
                <w:rFonts w:eastAsia="Arial" w:cs="Times New Roman"/>
                <w:bCs/>
                <w:szCs w:val="20"/>
                <w:vertAlign w:val="subscript"/>
                <w:lang w:eastAsia="en-AU"/>
              </w:rPr>
              <w:t>child</w:t>
            </w:r>
            <w:proofErr w:type="spellEnd"/>
            <w:r w:rsidRPr="00505285">
              <w:rPr>
                <w:rFonts w:eastAsia="Arial" w:cs="Times New Roman"/>
                <w:bCs/>
                <w:szCs w:val="20"/>
                <w:lang w:eastAsia="en-AU"/>
              </w:rPr>
              <w:t xml:space="preserve"> / </w:t>
            </w:r>
            <w:proofErr w:type="spellStart"/>
            <w:r w:rsidRPr="00505285">
              <w:rPr>
                <w:rFonts w:eastAsia="Arial" w:cs="Times New Roman"/>
                <w:bCs/>
                <w:szCs w:val="20"/>
                <w:lang w:eastAsia="en-AU"/>
              </w:rPr>
              <w:t>Weight</w:t>
            </w:r>
            <w:r w:rsidRPr="00505285">
              <w:rPr>
                <w:rFonts w:eastAsia="Arial" w:cs="Times New Roman"/>
                <w:bCs/>
                <w:szCs w:val="20"/>
                <w:vertAlign w:val="subscript"/>
                <w:lang w:eastAsia="en-AU"/>
              </w:rPr>
              <w:t>adult</w:t>
            </w:r>
            <w:proofErr w:type="spellEnd"/>
            <w:r w:rsidRPr="00505285">
              <w:rPr>
                <w:rFonts w:eastAsia="Arial" w:cs="Times New Roman"/>
                <w:bCs/>
                <w:szCs w:val="20"/>
                <w:lang w:eastAsia="en-AU"/>
              </w:rPr>
              <w:t>]</w:t>
            </w:r>
            <w:r w:rsidRPr="00505285">
              <w:rPr>
                <w:rFonts w:eastAsia="Arial" w:cs="Times New Roman"/>
                <w:bCs/>
                <w:szCs w:val="20"/>
                <w:vertAlign w:val="superscript"/>
                <w:lang w:eastAsia="en-AU"/>
              </w:rPr>
              <w:t>0.75</w:t>
            </w:r>
            <w:r w:rsidRPr="00505285">
              <w:rPr>
                <w:rFonts w:eastAsia="Arial" w:cs="Times New Roman"/>
                <w:bCs/>
                <w:szCs w:val="20"/>
                <w:lang w:eastAsia="en-AU"/>
              </w:rPr>
              <w:t xml:space="preserve"> x [1 + growth factor]</w:t>
            </w:r>
          </w:p>
          <w:p w14:paraId="6E3DF8DB"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i/>
                <w:iCs/>
                <w:szCs w:val="20"/>
              </w:rPr>
            </w:pPr>
            <w:r w:rsidRPr="00505285">
              <w:rPr>
                <w:rFonts w:eastAsia="Times New Roman" w:cs="Times New Roman"/>
                <w:szCs w:val="20"/>
              </w:rPr>
              <w:t xml:space="preserve">Inputs were as follows: </w:t>
            </w:r>
          </w:p>
          <w:p w14:paraId="5A80CBA3" w14:textId="77777777" w:rsidR="00036214" w:rsidRPr="00505285" w:rsidRDefault="00036214">
            <w:pPr>
              <w:spacing w:after="8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proofErr w:type="spellStart"/>
            <w:r w:rsidRPr="00505285">
              <w:rPr>
                <w:rFonts w:eastAsia="Times New Roman" w:cs="Times New Roman"/>
                <w:szCs w:val="20"/>
              </w:rPr>
              <w:t>AI</w:t>
            </w:r>
            <w:r w:rsidRPr="00505285">
              <w:rPr>
                <w:rFonts w:eastAsia="Times New Roman" w:cs="Times New Roman"/>
                <w:szCs w:val="20"/>
                <w:vertAlign w:val="subscript"/>
              </w:rPr>
              <w:t>adult</w:t>
            </w:r>
            <w:proofErr w:type="spellEnd"/>
            <w:r w:rsidRPr="00505285">
              <w:rPr>
                <w:rFonts w:eastAsia="Times New Roman" w:cs="Times New Roman"/>
                <w:szCs w:val="20"/>
                <w:vertAlign w:val="subscript"/>
              </w:rPr>
              <w:t xml:space="preserve">   </w:t>
            </w:r>
            <w:r w:rsidRPr="00505285">
              <w:rPr>
                <w:rFonts w:eastAsia="Times New Roman" w:cs="Times New Roman"/>
                <w:szCs w:val="20"/>
              </w:rPr>
              <w:t>= 150 µg/day</w:t>
            </w:r>
            <w:r w:rsidRPr="00505285">
              <w:rPr>
                <w:rFonts w:eastAsia="Arial" w:cs="Times New Roman"/>
                <w:szCs w:val="20"/>
              </w:rPr>
              <w:t xml:space="preserve"> </w:t>
            </w:r>
          </w:p>
          <w:p w14:paraId="1A112394" w14:textId="77777777" w:rsidR="00036214" w:rsidRPr="00505285" w:rsidRDefault="00036214">
            <w:pPr>
              <w:spacing w:after="8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505285">
              <w:rPr>
                <w:rFonts w:eastAsia="Times New Roman" w:cs="Times New Roman"/>
                <w:szCs w:val="20"/>
              </w:rPr>
              <w:t xml:space="preserve">Weight </w:t>
            </w:r>
            <w:r w:rsidRPr="00505285">
              <w:rPr>
                <w:rFonts w:eastAsia="Times New Roman" w:cs="Times New Roman"/>
                <w:szCs w:val="20"/>
                <w:vertAlign w:val="subscript"/>
              </w:rPr>
              <w:t>adult</w:t>
            </w:r>
            <w:r w:rsidRPr="00505285">
              <w:rPr>
                <w:rFonts w:eastAsia="Times New Roman" w:cs="Times New Roman"/>
                <w:szCs w:val="20"/>
              </w:rPr>
              <w:t xml:space="preserve"> = 62.9 kg</w:t>
            </w:r>
          </w:p>
          <w:p w14:paraId="1E8EA5CE"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505285">
              <w:rPr>
                <w:rFonts w:eastAsia="Times New Roman" w:cs="Times New Roman"/>
                <w:szCs w:val="20"/>
              </w:rPr>
              <w:t>Growth factors (GF) and reference weights were as per the current NRVs Methodological Framework (NHMRC, 2025), using contemporary ‘ideal body weight’ data from the Australian Bureau of Statistics.</w:t>
            </w:r>
          </w:p>
          <w:p w14:paraId="617B9CC9"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505285">
              <w:rPr>
                <w:rFonts w:eastAsia="Times New Roman" w:cs="Times New Roman"/>
                <w:szCs w:val="20"/>
              </w:rPr>
              <w:t>Calculated values were rounded up to ensure the requirements of older children within each age bracket were met, and to align proposed AIs with current intakes and existing RDI recommendations. AI calculations are shown in Table 8.</w:t>
            </w:r>
          </w:p>
          <w:p w14:paraId="5E3AB9C3" w14:textId="77777777" w:rsidR="00036214" w:rsidRPr="00505285" w:rsidRDefault="00036214">
            <w:pPr>
              <w:keepNext/>
              <w:spacing w:after="200"/>
              <w:cnfStyle w:val="000000010000" w:firstRow="0" w:lastRow="0" w:firstColumn="0" w:lastColumn="0" w:oddVBand="0" w:evenVBand="0" w:oddHBand="0" w:evenHBand="1" w:firstRowFirstColumn="0" w:firstRowLastColumn="0" w:lastRowFirstColumn="0" w:lastRowLastColumn="0"/>
              <w:rPr>
                <w:rFonts w:eastAsia="Arial" w:cs="Times New Roman"/>
                <w:iCs/>
                <w:caps/>
                <w:szCs w:val="20"/>
              </w:rPr>
            </w:pPr>
            <w:r w:rsidRPr="00505285">
              <w:rPr>
                <w:rFonts w:eastAsia="Arial" w:cs="Times New Roman"/>
                <w:iCs/>
                <w:caps/>
                <w:szCs w:val="20"/>
              </w:rPr>
              <w:t>Table 8 - CALCULATIONS AND ROUNDING FOR EXTRAPOLATING ADULT AI TO CHILDREN AND ADOLESCENTS</w:t>
            </w:r>
          </w:p>
          <w:tbl>
            <w:tblPr>
              <w:tblStyle w:val="TableGrid2"/>
              <w:tblW w:w="6442" w:type="dxa"/>
              <w:tblInd w:w="0" w:type="dxa"/>
              <w:tblLook w:val="04A0" w:firstRow="1" w:lastRow="0" w:firstColumn="1" w:lastColumn="0" w:noHBand="0" w:noVBand="1"/>
            </w:tblPr>
            <w:tblGrid>
              <w:gridCol w:w="1446"/>
              <w:gridCol w:w="1134"/>
              <w:gridCol w:w="709"/>
              <w:gridCol w:w="1134"/>
              <w:gridCol w:w="850"/>
              <w:gridCol w:w="1163"/>
              <w:gridCol w:w="6"/>
            </w:tblGrid>
            <w:tr w:rsidR="00036214" w:rsidRPr="00505285" w14:paraId="4C549AAA" w14:textId="77777777">
              <w:trPr>
                <w:gridAfter w:val="1"/>
                <w:wAfter w:w="6" w:type="dxa"/>
              </w:trPr>
              <w:tc>
                <w:tcPr>
                  <w:tcW w:w="1446" w:type="dxa"/>
                  <w:shd w:val="clear" w:color="auto" w:fill="005F85"/>
                </w:tcPr>
                <w:p w14:paraId="0DF55984" w14:textId="77777777" w:rsidR="00036214" w:rsidRPr="00505285" w:rsidRDefault="00036214">
                  <w:pPr>
                    <w:spacing w:after="0"/>
                    <w:rPr>
                      <w:rFonts w:eastAsia="Times New Roman" w:cs="Times New Roman"/>
                      <w:b/>
                      <w:bCs/>
                      <w:color w:val="FFFFFF"/>
                      <w:szCs w:val="20"/>
                    </w:rPr>
                  </w:pPr>
                  <w:r w:rsidRPr="00505285">
                    <w:rPr>
                      <w:rFonts w:eastAsia="Times New Roman" w:cs="Times New Roman"/>
                      <w:b/>
                      <w:bCs/>
                      <w:color w:val="FFFFFF"/>
                      <w:szCs w:val="20"/>
                    </w:rPr>
                    <w:t>Age group</w:t>
                  </w:r>
                </w:p>
              </w:tc>
              <w:tc>
                <w:tcPr>
                  <w:tcW w:w="1134" w:type="dxa"/>
                  <w:shd w:val="clear" w:color="auto" w:fill="005F85"/>
                </w:tcPr>
                <w:p w14:paraId="1877D11B" w14:textId="77777777" w:rsidR="00036214" w:rsidRPr="00505285" w:rsidRDefault="00036214">
                  <w:pPr>
                    <w:spacing w:after="0"/>
                    <w:jc w:val="center"/>
                    <w:rPr>
                      <w:rFonts w:eastAsia="Times New Roman" w:cs="Times New Roman"/>
                      <w:b/>
                      <w:bCs/>
                      <w:color w:val="FFFFFF"/>
                      <w:szCs w:val="20"/>
                    </w:rPr>
                  </w:pPr>
                  <w:r w:rsidRPr="00505285">
                    <w:rPr>
                      <w:rFonts w:eastAsia="Times New Roman" w:cs="Times New Roman"/>
                      <w:b/>
                      <w:bCs/>
                      <w:color w:val="FFFFFF"/>
                      <w:szCs w:val="20"/>
                    </w:rPr>
                    <w:t>Weight</w:t>
                  </w:r>
                </w:p>
                <w:p w14:paraId="479DBC78" w14:textId="77777777" w:rsidR="00036214" w:rsidRPr="00505285" w:rsidRDefault="00036214">
                  <w:pPr>
                    <w:spacing w:after="0"/>
                    <w:jc w:val="center"/>
                    <w:rPr>
                      <w:rFonts w:eastAsia="Times New Roman" w:cs="Times New Roman"/>
                      <w:b/>
                      <w:bCs/>
                      <w:color w:val="FFFFFF"/>
                      <w:szCs w:val="20"/>
                      <w:vertAlign w:val="subscript"/>
                    </w:rPr>
                  </w:pPr>
                  <w:r w:rsidRPr="00505285">
                    <w:rPr>
                      <w:rFonts w:eastAsia="Times New Roman" w:cs="Times New Roman"/>
                      <w:b/>
                      <w:bCs/>
                      <w:color w:val="FFFFFF"/>
                      <w:szCs w:val="20"/>
                      <w:vertAlign w:val="subscript"/>
                    </w:rPr>
                    <w:t>child</w:t>
                  </w:r>
                </w:p>
                <w:p w14:paraId="09542243" w14:textId="77777777" w:rsidR="00036214" w:rsidRPr="00505285" w:rsidRDefault="00036214">
                  <w:pPr>
                    <w:spacing w:after="0"/>
                    <w:jc w:val="center"/>
                    <w:rPr>
                      <w:rFonts w:eastAsia="Times New Roman" w:cs="Times New Roman"/>
                      <w:b/>
                      <w:bCs/>
                      <w:color w:val="FFFFFF"/>
                      <w:szCs w:val="20"/>
                    </w:rPr>
                  </w:pPr>
                  <w:r w:rsidRPr="00505285">
                    <w:rPr>
                      <w:rFonts w:eastAsia="Times New Roman" w:cs="Times New Roman"/>
                      <w:b/>
                      <w:bCs/>
                      <w:color w:val="FFFFFF"/>
                      <w:szCs w:val="20"/>
                    </w:rPr>
                    <w:t>(kg)</w:t>
                  </w:r>
                </w:p>
              </w:tc>
              <w:tc>
                <w:tcPr>
                  <w:tcW w:w="709" w:type="dxa"/>
                  <w:shd w:val="clear" w:color="auto" w:fill="005F85"/>
                </w:tcPr>
                <w:p w14:paraId="7BB30F92" w14:textId="77777777" w:rsidR="00036214" w:rsidRPr="00505285" w:rsidRDefault="00036214">
                  <w:pPr>
                    <w:spacing w:after="0"/>
                    <w:jc w:val="center"/>
                    <w:rPr>
                      <w:rFonts w:eastAsia="Times New Roman" w:cs="Times New Roman"/>
                      <w:b/>
                      <w:bCs/>
                      <w:color w:val="FFFFFF"/>
                      <w:szCs w:val="20"/>
                    </w:rPr>
                  </w:pPr>
                  <w:r w:rsidRPr="00505285">
                    <w:rPr>
                      <w:rFonts w:eastAsia="Times New Roman" w:cs="Times New Roman"/>
                      <w:b/>
                      <w:bCs/>
                      <w:color w:val="FFFFFF"/>
                      <w:szCs w:val="20"/>
                    </w:rPr>
                    <w:t>GF</w:t>
                  </w:r>
                </w:p>
              </w:tc>
              <w:tc>
                <w:tcPr>
                  <w:tcW w:w="1134" w:type="dxa"/>
                  <w:shd w:val="clear" w:color="auto" w:fill="005F85"/>
                </w:tcPr>
                <w:p w14:paraId="1F694CD3" w14:textId="77777777" w:rsidR="00036214" w:rsidRPr="00505285" w:rsidRDefault="00036214">
                  <w:pPr>
                    <w:spacing w:after="0"/>
                    <w:ind w:right="-107"/>
                    <w:jc w:val="center"/>
                    <w:rPr>
                      <w:rFonts w:eastAsia="Times New Roman" w:cs="Times New Roman"/>
                      <w:b/>
                      <w:bCs/>
                      <w:color w:val="FFFFFF"/>
                      <w:szCs w:val="20"/>
                    </w:rPr>
                  </w:pPr>
                  <w:proofErr w:type="spellStart"/>
                  <w:r w:rsidRPr="00505285">
                    <w:rPr>
                      <w:rFonts w:eastAsia="Times New Roman" w:cs="Times New Roman"/>
                      <w:b/>
                      <w:bCs/>
                      <w:color w:val="FFFFFF"/>
                      <w:szCs w:val="20"/>
                    </w:rPr>
                    <w:t>CalculatedAI</w:t>
                  </w:r>
                  <w:proofErr w:type="spellEnd"/>
                  <w:r w:rsidRPr="00505285">
                    <w:rPr>
                      <w:rFonts w:eastAsia="Times New Roman" w:cs="Times New Roman"/>
                      <w:b/>
                      <w:bCs/>
                      <w:color w:val="FFFFFF"/>
                      <w:szCs w:val="20"/>
                    </w:rPr>
                    <w:t xml:space="preserve"> </w:t>
                  </w:r>
                </w:p>
                <w:p w14:paraId="25B50D00" w14:textId="77777777" w:rsidR="00036214" w:rsidRPr="00505285" w:rsidRDefault="00036214">
                  <w:pPr>
                    <w:spacing w:after="0"/>
                    <w:ind w:right="-107"/>
                    <w:jc w:val="center"/>
                    <w:rPr>
                      <w:rFonts w:eastAsia="Times New Roman" w:cs="Times New Roman"/>
                      <w:b/>
                      <w:bCs/>
                      <w:color w:val="FFFFFF"/>
                      <w:szCs w:val="20"/>
                    </w:rPr>
                  </w:pPr>
                  <w:r w:rsidRPr="00505285">
                    <w:rPr>
                      <w:rFonts w:eastAsia="Times New Roman" w:cs="Times New Roman"/>
                      <w:b/>
                      <w:bCs/>
                      <w:i/>
                      <w:iCs/>
                      <w:color w:val="FFFFFF"/>
                      <w:szCs w:val="20"/>
                    </w:rPr>
                    <w:t>µg/</w:t>
                  </w:r>
                  <w:r w:rsidRPr="00505285">
                    <w:rPr>
                      <w:rFonts w:eastAsia="Arial" w:cs="Times New Roman"/>
                      <w:b/>
                      <w:bCs/>
                      <w:color w:val="FFFFFF"/>
                      <w:szCs w:val="20"/>
                    </w:rPr>
                    <w:t>day</w:t>
                  </w:r>
                </w:p>
              </w:tc>
              <w:tc>
                <w:tcPr>
                  <w:tcW w:w="850" w:type="dxa"/>
                  <w:shd w:val="clear" w:color="auto" w:fill="005F85"/>
                </w:tcPr>
                <w:p w14:paraId="2DC08461" w14:textId="77777777" w:rsidR="00036214" w:rsidRPr="00505285" w:rsidRDefault="00036214">
                  <w:pPr>
                    <w:spacing w:after="0"/>
                    <w:jc w:val="center"/>
                    <w:rPr>
                      <w:rFonts w:eastAsia="Times New Roman" w:cs="Times New Roman"/>
                      <w:b/>
                      <w:bCs/>
                      <w:color w:val="FFFFFF"/>
                      <w:szCs w:val="20"/>
                    </w:rPr>
                  </w:pPr>
                  <w:r w:rsidRPr="00505285">
                    <w:rPr>
                      <w:rFonts w:eastAsia="Times New Roman" w:cs="Times New Roman"/>
                      <w:b/>
                      <w:bCs/>
                      <w:color w:val="FFFFFF"/>
                      <w:szCs w:val="20"/>
                    </w:rPr>
                    <w:t>Round-</w:t>
                  </w:r>
                  <w:proofErr w:type="spellStart"/>
                  <w:r w:rsidRPr="00505285">
                    <w:rPr>
                      <w:rFonts w:eastAsia="Times New Roman" w:cs="Times New Roman"/>
                      <w:b/>
                      <w:bCs/>
                      <w:color w:val="FFFFFF"/>
                      <w:szCs w:val="20"/>
                    </w:rPr>
                    <w:t>ing</w:t>
                  </w:r>
                  <w:proofErr w:type="spellEnd"/>
                </w:p>
              </w:tc>
              <w:tc>
                <w:tcPr>
                  <w:tcW w:w="1163" w:type="dxa"/>
                  <w:shd w:val="clear" w:color="auto" w:fill="005F85"/>
                </w:tcPr>
                <w:p w14:paraId="4DA34CBD" w14:textId="77777777" w:rsidR="00036214" w:rsidRPr="00505285" w:rsidRDefault="00036214">
                  <w:pPr>
                    <w:spacing w:after="0"/>
                    <w:ind w:right="-81"/>
                    <w:jc w:val="center"/>
                    <w:rPr>
                      <w:rFonts w:eastAsia="Times New Roman" w:cs="Times New Roman"/>
                      <w:b/>
                      <w:bCs/>
                      <w:color w:val="FFFFFF"/>
                      <w:szCs w:val="20"/>
                    </w:rPr>
                  </w:pPr>
                  <w:r w:rsidRPr="00505285">
                    <w:rPr>
                      <w:rFonts w:eastAsia="Times New Roman" w:cs="Times New Roman"/>
                      <w:b/>
                      <w:bCs/>
                      <w:color w:val="FFFFFF"/>
                      <w:szCs w:val="20"/>
                    </w:rPr>
                    <w:t>Rounded /Proposed AI</w:t>
                  </w:r>
                </w:p>
                <w:p w14:paraId="0CC3BDCA" w14:textId="77777777" w:rsidR="00036214" w:rsidRPr="00505285" w:rsidRDefault="00036214">
                  <w:pPr>
                    <w:spacing w:after="0"/>
                    <w:ind w:right="-81"/>
                    <w:jc w:val="center"/>
                    <w:rPr>
                      <w:rFonts w:eastAsia="Times New Roman" w:cs="Times New Roman"/>
                      <w:b/>
                      <w:bCs/>
                      <w:color w:val="FFFFFF"/>
                      <w:szCs w:val="20"/>
                    </w:rPr>
                  </w:pPr>
                  <w:r w:rsidRPr="00505285">
                    <w:rPr>
                      <w:rFonts w:eastAsia="Times New Roman" w:cs="Times New Roman"/>
                      <w:b/>
                      <w:bCs/>
                      <w:i/>
                      <w:iCs/>
                      <w:color w:val="FFFFFF"/>
                      <w:szCs w:val="20"/>
                    </w:rPr>
                    <w:t>µg/</w:t>
                  </w:r>
                  <w:r w:rsidRPr="00505285">
                    <w:rPr>
                      <w:rFonts w:eastAsia="Arial" w:cs="Times New Roman"/>
                      <w:b/>
                      <w:bCs/>
                      <w:color w:val="FFFFFF"/>
                      <w:szCs w:val="20"/>
                    </w:rPr>
                    <w:t>day</w:t>
                  </w:r>
                </w:p>
              </w:tc>
            </w:tr>
            <w:tr w:rsidR="00036214" w:rsidRPr="00505285" w14:paraId="7483591A" w14:textId="77777777">
              <w:tc>
                <w:tcPr>
                  <w:tcW w:w="6442" w:type="dxa"/>
                  <w:gridSpan w:val="7"/>
                  <w:shd w:val="clear" w:color="auto" w:fill="005F85"/>
                </w:tcPr>
                <w:p w14:paraId="64BE5302" w14:textId="77777777" w:rsidR="00036214" w:rsidRPr="00505285" w:rsidRDefault="00036214">
                  <w:pPr>
                    <w:spacing w:after="0"/>
                    <w:rPr>
                      <w:rFonts w:eastAsia="Times New Roman" w:cs="Times New Roman"/>
                      <w:szCs w:val="20"/>
                    </w:rPr>
                  </w:pPr>
                  <w:r w:rsidRPr="00505285">
                    <w:rPr>
                      <w:rFonts w:eastAsia="Times New Roman" w:cs="Times New Roman"/>
                      <w:b/>
                      <w:bCs/>
                      <w:color w:val="FFFFFF"/>
                      <w:szCs w:val="20"/>
                    </w:rPr>
                    <w:t>NRVs age groupings:</w:t>
                  </w:r>
                </w:p>
              </w:tc>
            </w:tr>
            <w:tr w:rsidR="00036214" w:rsidRPr="00505285" w14:paraId="1D3426D4" w14:textId="77777777">
              <w:trPr>
                <w:gridAfter w:val="1"/>
                <w:wAfter w:w="6" w:type="dxa"/>
              </w:trPr>
              <w:tc>
                <w:tcPr>
                  <w:tcW w:w="1446" w:type="dxa"/>
                  <w:vAlign w:val="bottom"/>
                </w:tcPr>
                <w:p w14:paraId="6DFE316E" w14:textId="77777777" w:rsidR="00036214" w:rsidRPr="00505285" w:rsidRDefault="00036214">
                  <w:pPr>
                    <w:spacing w:after="0"/>
                    <w:rPr>
                      <w:rFonts w:eastAsia="Times New Roman" w:cs="Times New Roman"/>
                      <w:szCs w:val="20"/>
                    </w:rPr>
                  </w:pPr>
                  <w:r w:rsidRPr="00505285">
                    <w:rPr>
                      <w:rFonts w:eastAsia="Times New Roman" w:cs="Times New Roman"/>
                      <w:szCs w:val="20"/>
                    </w:rPr>
                    <w:t>1 to &lt;4y</w:t>
                  </w:r>
                </w:p>
              </w:tc>
              <w:tc>
                <w:tcPr>
                  <w:tcW w:w="1134" w:type="dxa"/>
                </w:tcPr>
                <w:p w14:paraId="4BBB33E2"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13</w:t>
                  </w:r>
                </w:p>
              </w:tc>
              <w:tc>
                <w:tcPr>
                  <w:tcW w:w="709" w:type="dxa"/>
                </w:tcPr>
                <w:p w14:paraId="67C246BB"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0.25</w:t>
                  </w:r>
                </w:p>
              </w:tc>
              <w:tc>
                <w:tcPr>
                  <w:tcW w:w="1134" w:type="dxa"/>
                </w:tcPr>
                <w:p w14:paraId="232067C6"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57.5</w:t>
                  </w:r>
                </w:p>
              </w:tc>
              <w:tc>
                <w:tcPr>
                  <w:tcW w:w="850" w:type="dxa"/>
                </w:tcPr>
                <w:p w14:paraId="2D39E9B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32.5</w:t>
                  </w:r>
                </w:p>
              </w:tc>
              <w:tc>
                <w:tcPr>
                  <w:tcW w:w="1163" w:type="dxa"/>
                </w:tcPr>
                <w:p w14:paraId="21C85366"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r>
            <w:tr w:rsidR="00036214" w:rsidRPr="00505285" w14:paraId="4F809F8C" w14:textId="77777777">
              <w:trPr>
                <w:gridAfter w:val="1"/>
                <w:wAfter w:w="6" w:type="dxa"/>
              </w:trPr>
              <w:tc>
                <w:tcPr>
                  <w:tcW w:w="1446" w:type="dxa"/>
                  <w:vAlign w:val="bottom"/>
                </w:tcPr>
                <w:p w14:paraId="74C26463" w14:textId="77777777" w:rsidR="00036214" w:rsidRPr="00505285" w:rsidRDefault="00036214">
                  <w:pPr>
                    <w:spacing w:after="0"/>
                    <w:rPr>
                      <w:rFonts w:eastAsia="Times New Roman" w:cs="Times New Roman"/>
                      <w:szCs w:val="20"/>
                    </w:rPr>
                  </w:pPr>
                  <w:r w:rsidRPr="00505285">
                    <w:rPr>
                      <w:rFonts w:eastAsia="Times New Roman" w:cs="Times New Roman"/>
                      <w:szCs w:val="20"/>
                    </w:rPr>
                    <w:t xml:space="preserve">4 to &lt;9y </w:t>
                  </w:r>
                </w:p>
              </w:tc>
              <w:tc>
                <w:tcPr>
                  <w:tcW w:w="1134" w:type="dxa"/>
                </w:tcPr>
                <w:p w14:paraId="60920DD8"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22.4</w:t>
                  </w:r>
                </w:p>
              </w:tc>
              <w:tc>
                <w:tcPr>
                  <w:tcW w:w="709" w:type="dxa"/>
                </w:tcPr>
                <w:p w14:paraId="5E29F64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0.09</w:t>
                  </w:r>
                </w:p>
              </w:tc>
              <w:tc>
                <w:tcPr>
                  <w:tcW w:w="1134" w:type="dxa"/>
                </w:tcPr>
                <w:p w14:paraId="0AD8ECD7"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75.4</w:t>
                  </w:r>
                </w:p>
              </w:tc>
              <w:tc>
                <w:tcPr>
                  <w:tcW w:w="850" w:type="dxa"/>
                </w:tcPr>
                <w:p w14:paraId="3F02A3A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14.6</w:t>
                  </w:r>
                </w:p>
              </w:tc>
              <w:tc>
                <w:tcPr>
                  <w:tcW w:w="1163" w:type="dxa"/>
                </w:tcPr>
                <w:p w14:paraId="634E5786"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r>
            <w:tr w:rsidR="00036214" w:rsidRPr="00505285" w14:paraId="5404B81D" w14:textId="77777777">
              <w:trPr>
                <w:gridAfter w:val="1"/>
                <w:wAfter w:w="6" w:type="dxa"/>
              </w:trPr>
              <w:tc>
                <w:tcPr>
                  <w:tcW w:w="1446" w:type="dxa"/>
                  <w:vAlign w:val="bottom"/>
                </w:tcPr>
                <w:p w14:paraId="14759EF8" w14:textId="77777777" w:rsidR="00036214" w:rsidRPr="00505285" w:rsidRDefault="00036214">
                  <w:pPr>
                    <w:spacing w:after="0"/>
                    <w:rPr>
                      <w:rFonts w:eastAsia="Times New Roman" w:cs="Times New Roman"/>
                      <w:szCs w:val="20"/>
                    </w:rPr>
                  </w:pPr>
                  <w:r w:rsidRPr="00505285">
                    <w:rPr>
                      <w:rFonts w:eastAsia="Times New Roman" w:cs="Times New Roman"/>
                      <w:szCs w:val="20"/>
                    </w:rPr>
                    <w:t>9 to &lt;14y</w:t>
                  </w:r>
                </w:p>
              </w:tc>
              <w:tc>
                <w:tcPr>
                  <w:tcW w:w="1134" w:type="dxa"/>
                </w:tcPr>
                <w:p w14:paraId="7F605327"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40.7</w:t>
                  </w:r>
                </w:p>
              </w:tc>
              <w:tc>
                <w:tcPr>
                  <w:tcW w:w="709" w:type="dxa"/>
                </w:tcPr>
                <w:p w14:paraId="2D62EED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0.13</w:t>
                  </w:r>
                </w:p>
              </w:tc>
              <w:tc>
                <w:tcPr>
                  <w:tcW w:w="1134" w:type="dxa"/>
                </w:tcPr>
                <w:p w14:paraId="47706DE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122.3</w:t>
                  </w:r>
                </w:p>
              </w:tc>
              <w:tc>
                <w:tcPr>
                  <w:tcW w:w="850" w:type="dxa"/>
                </w:tcPr>
                <w:p w14:paraId="3F35875E"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-2.3</w:t>
                  </w:r>
                </w:p>
              </w:tc>
              <w:tc>
                <w:tcPr>
                  <w:tcW w:w="1163" w:type="dxa"/>
                </w:tcPr>
                <w:p w14:paraId="0397076E"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120</w:t>
                  </w:r>
                </w:p>
              </w:tc>
            </w:tr>
            <w:tr w:rsidR="00036214" w:rsidRPr="00505285" w14:paraId="44F617FB" w14:textId="77777777">
              <w:trPr>
                <w:gridAfter w:val="1"/>
                <w:wAfter w:w="6" w:type="dxa"/>
              </w:trPr>
              <w:tc>
                <w:tcPr>
                  <w:tcW w:w="1446" w:type="dxa"/>
                  <w:vAlign w:val="bottom"/>
                </w:tcPr>
                <w:p w14:paraId="5418105E" w14:textId="77777777" w:rsidR="00036214" w:rsidRPr="00505285" w:rsidRDefault="00036214">
                  <w:pPr>
                    <w:spacing w:after="0"/>
                    <w:rPr>
                      <w:rFonts w:eastAsia="Times New Roman" w:cs="Times New Roman"/>
                      <w:szCs w:val="20"/>
                    </w:rPr>
                  </w:pPr>
                  <w:r w:rsidRPr="00505285">
                    <w:rPr>
                      <w:rFonts w:eastAsia="Times New Roman" w:cs="Times New Roman"/>
                      <w:szCs w:val="20"/>
                    </w:rPr>
                    <w:t>14 to &lt;18y</w:t>
                  </w:r>
                </w:p>
              </w:tc>
              <w:tc>
                <w:tcPr>
                  <w:tcW w:w="1134" w:type="dxa"/>
                </w:tcPr>
                <w:p w14:paraId="3A38CC34"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57.6</w:t>
                  </w:r>
                </w:p>
              </w:tc>
              <w:tc>
                <w:tcPr>
                  <w:tcW w:w="709" w:type="dxa"/>
                </w:tcPr>
                <w:p w14:paraId="2FFEA981"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0.08</w:t>
                  </w:r>
                </w:p>
              </w:tc>
              <w:tc>
                <w:tcPr>
                  <w:tcW w:w="1134" w:type="dxa"/>
                </w:tcPr>
                <w:p w14:paraId="57B97FB2"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151.6</w:t>
                  </w:r>
                </w:p>
              </w:tc>
              <w:tc>
                <w:tcPr>
                  <w:tcW w:w="850" w:type="dxa"/>
                </w:tcPr>
                <w:p w14:paraId="0264B499"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-1.6</w:t>
                  </w:r>
                </w:p>
              </w:tc>
              <w:tc>
                <w:tcPr>
                  <w:tcW w:w="1163" w:type="dxa"/>
                </w:tcPr>
                <w:p w14:paraId="6C70F864"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150</w:t>
                  </w:r>
                </w:p>
              </w:tc>
            </w:tr>
            <w:tr w:rsidR="00CF1D02" w:rsidRPr="00505285" w14:paraId="7747351F" w14:textId="77777777">
              <w:trPr>
                <w:gridAfter w:val="1"/>
                <w:wAfter w:w="6" w:type="dxa"/>
              </w:trPr>
              <w:tc>
                <w:tcPr>
                  <w:tcW w:w="1446" w:type="dxa"/>
                  <w:vAlign w:val="bottom"/>
                </w:tcPr>
                <w:p w14:paraId="6F201C1E" w14:textId="77777777" w:rsidR="00CF1D02" w:rsidRPr="00505285" w:rsidRDefault="00CF1D02">
                  <w:pPr>
                    <w:spacing w:after="0"/>
                    <w:rPr>
                      <w:rFonts w:eastAsia="Times New Roman"/>
                      <w:szCs w:val="20"/>
                    </w:rPr>
                  </w:pPr>
                </w:p>
              </w:tc>
              <w:tc>
                <w:tcPr>
                  <w:tcW w:w="1134" w:type="dxa"/>
                </w:tcPr>
                <w:p w14:paraId="3DE39021" w14:textId="77777777" w:rsidR="00CF1D02" w:rsidRPr="00505285" w:rsidRDefault="00CF1D02">
                  <w:pPr>
                    <w:spacing w:after="0"/>
                    <w:jc w:val="center"/>
                    <w:rPr>
                      <w:rFonts w:eastAsia="Times New Roman"/>
                      <w:szCs w:val="20"/>
                    </w:rPr>
                  </w:pPr>
                </w:p>
              </w:tc>
              <w:tc>
                <w:tcPr>
                  <w:tcW w:w="709" w:type="dxa"/>
                </w:tcPr>
                <w:p w14:paraId="5E1D04BF" w14:textId="77777777" w:rsidR="00CF1D02" w:rsidRPr="00505285" w:rsidRDefault="00CF1D02">
                  <w:pPr>
                    <w:spacing w:after="0"/>
                    <w:jc w:val="center"/>
                    <w:rPr>
                      <w:rFonts w:eastAsia="Times New Roman"/>
                      <w:szCs w:val="20"/>
                    </w:rPr>
                  </w:pPr>
                </w:p>
              </w:tc>
              <w:tc>
                <w:tcPr>
                  <w:tcW w:w="1134" w:type="dxa"/>
                </w:tcPr>
                <w:p w14:paraId="1A4C0D86" w14:textId="77777777" w:rsidR="00CF1D02" w:rsidRPr="00505285" w:rsidRDefault="00CF1D02">
                  <w:pPr>
                    <w:spacing w:after="0"/>
                    <w:jc w:val="center"/>
                    <w:rPr>
                      <w:rFonts w:eastAsia="Times New Roman"/>
                      <w:szCs w:val="20"/>
                    </w:rPr>
                  </w:pPr>
                </w:p>
              </w:tc>
              <w:tc>
                <w:tcPr>
                  <w:tcW w:w="850" w:type="dxa"/>
                </w:tcPr>
                <w:p w14:paraId="72AF8400" w14:textId="77777777" w:rsidR="00CF1D02" w:rsidRPr="00505285" w:rsidRDefault="00CF1D02">
                  <w:pPr>
                    <w:spacing w:after="0"/>
                    <w:jc w:val="center"/>
                    <w:rPr>
                      <w:rFonts w:eastAsia="Times New Roman"/>
                      <w:szCs w:val="20"/>
                    </w:rPr>
                  </w:pPr>
                </w:p>
              </w:tc>
              <w:tc>
                <w:tcPr>
                  <w:tcW w:w="1163" w:type="dxa"/>
                </w:tcPr>
                <w:p w14:paraId="5267E84A" w14:textId="77777777" w:rsidR="00CF1D02" w:rsidRPr="00505285" w:rsidRDefault="00CF1D02">
                  <w:pPr>
                    <w:spacing w:after="0"/>
                    <w:jc w:val="center"/>
                    <w:rPr>
                      <w:rFonts w:eastAsia="Times New Roman"/>
                      <w:szCs w:val="20"/>
                    </w:rPr>
                  </w:pPr>
                </w:p>
              </w:tc>
            </w:tr>
            <w:tr w:rsidR="00036214" w:rsidRPr="00505285" w14:paraId="75C492EB" w14:textId="77777777">
              <w:tc>
                <w:tcPr>
                  <w:tcW w:w="6442" w:type="dxa"/>
                  <w:gridSpan w:val="7"/>
                  <w:shd w:val="clear" w:color="auto" w:fill="005F85"/>
                </w:tcPr>
                <w:p w14:paraId="3002C822" w14:textId="77777777" w:rsidR="00036214" w:rsidRPr="00505285" w:rsidRDefault="00036214">
                  <w:pPr>
                    <w:spacing w:after="0"/>
                    <w:rPr>
                      <w:rFonts w:eastAsia="Times New Roman" w:cs="Times New Roman"/>
                      <w:szCs w:val="20"/>
                    </w:rPr>
                  </w:pPr>
                  <w:r w:rsidRPr="00505285">
                    <w:rPr>
                      <w:rFonts w:eastAsia="Times New Roman" w:cs="Times New Roman"/>
                      <w:b/>
                      <w:bCs/>
                      <w:color w:val="FFFFFF"/>
                      <w:szCs w:val="20"/>
                    </w:rPr>
                    <w:lastRenderedPageBreak/>
                    <w:t>Age (grouped by school-age):</w:t>
                  </w:r>
                </w:p>
              </w:tc>
            </w:tr>
            <w:tr w:rsidR="00036214" w:rsidRPr="00505285" w14:paraId="779BAFCA" w14:textId="77777777">
              <w:trPr>
                <w:gridAfter w:val="1"/>
                <w:wAfter w:w="6" w:type="dxa"/>
              </w:trPr>
              <w:tc>
                <w:tcPr>
                  <w:tcW w:w="1446" w:type="dxa"/>
                </w:tcPr>
                <w:p w14:paraId="11454805" w14:textId="77777777" w:rsidR="00036214" w:rsidRPr="00505285" w:rsidRDefault="00036214">
                  <w:pPr>
                    <w:spacing w:after="0"/>
                    <w:rPr>
                      <w:rFonts w:eastAsia="Times New Roman" w:cs="Times New Roman"/>
                      <w:szCs w:val="20"/>
                    </w:rPr>
                  </w:pPr>
                  <w:r w:rsidRPr="00505285">
                    <w:rPr>
                      <w:rFonts w:eastAsia="Times New Roman" w:cs="Times New Roman"/>
                      <w:szCs w:val="20"/>
                    </w:rPr>
                    <w:t>12 to &lt;24mo</w:t>
                  </w:r>
                  <w:r w:rsidRPr="00505285">
                    <w:rPr>
                      <w:rFonts w:eastAsia="Times New Roman" w:cs="Arial"/>
                      <w:b/>
                      <w:bCs/>
                      <w:i/>
                      <w:iCs/>
                      <w:szCs w:val="20"/>
                    </w:rPr>
                    <w:t xml:space="preserve"> </w:t>
                  </w:r>
                </w:p>
              </w:tc>
              <w:tc>
                <w:tcPr>
                  <w:tcW w:w="1134" w:type="dxa"/>
                </w:tcPr>
                <w:p w14:paraId="29E8AB07"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10.6</w:t>
                  </w:r>
                </w:p>
              </w:tc>
              <w:tc>
                <w:tcPr>
                  <w:tcW w:w="709" w:type="dxa"/>
                </w:tcPr>
                <w:p w14:paraId="5DF602C2"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0.44</w:t>
                  </w:r>
                </w:p>
              </w:tc>
              <w:tc>
                <w:tcPr>
                  <w:tcW w:w="1134" w:type="dxa"/>
                </w:tcPr>
                <w:p w14:paraId="41D4B6CD"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56.8</w:t>
                  </w:r>
                </w:p>
              </w:tc>
              <w:tc>
                <w:tcPr>
                  <w:tcW w:w="850" w:type="dxa"/>
                </w:tcPr>
                <w:p w14:paraId="1875A6A6"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33.2</w:t>
                  </w:r>
                </w:p>
              </w:tc>
              <w:tc>
                <w:tcPr>
                  <w:tcW w:w="1163" w:type="dxa"/>
                </w:tcPr>
                <w:p w14:paraId="7486EF6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r>
            <w:tr w:rsidR="00036214" w:rsidRPr="00505285" w14:paraId="56592551" w14:textId="77777777">
              <w:trPr>
                <w:gridAfter w:val="1"/>
                <w:wAfter w:w="6" w:type="dxa"/>
              </w:trPr>
              <w:tc>
                <w:tcPr>
                  <w:tcW w:w="1446" w:type="dxa"/>
                </w:tcPr>
                <w:p w14:paraId="2AB3C302" w14:textId="77777777" w:rsidR="00036214" w:rsidRPr="00505285" w:rsidRDefault="00036214">
                  <w:pPr>
                    <w:spacing w:after="0"/>
                    <w:rPr>
                      <w:rFonts w:eastAsia="Times New Roman" w:cs="Times New Roman"/>
                      <w:szCs w:val="20"/>
                    </w:rPr>
                  </w:pPr>
                  <w:r w:rsidRPr="00505285">
                    <w:rPr>
                      <w:rFonts w:eastAsia="Times New Roman" w:cs="Times New Roman"/>
                      <w:szCs w:val="20"/>
                    </w:rPr>
                    <w:t>2 to &lt;5y</w:t>
                  </w:r>
                </w:p>
              </w:tc>
              <w:tc>
                <w:tcPr>
                  <w:tcW w:w="1134" w:type="dxa"/>
                </w:tcPr>
                <w:p w14:paraId="4D4CE97C"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15.9</w:t>
                  </w:r>
                </w:p>
              </w:tc>
              <w:tc>
                <w:tcPr>
                  <w:tcW w:w="709" w:type="dxa"/>
                </w:tcPr>
                <w:p w14:paraId="1AA61802"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0.12</w:t>
                  </w:r>
                </w:p>
              </w:tc>
              <w:tc>
                <w:tcPr>
                  <w:tcW w:w="1134" w:type="dxa"/>
                </w:tcPr>
                <w:p w14:paraId="70F3D605"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59.9</w:t>
                  </w:r>
                </w:p>
              </w:tc>
              <w:tc>
                <w:tcPr>
                  <w:tcW w:w="850" w:type="dxa"/>
                </w:tcPr>
                <w:p w14:paraId="55668117"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30.1</w:t>
                  </w:r>
                </w:p>
              </w:tc>
              <w:tc>
                <w:tcPr>
                  <w:tcW w:w="1163" w:type="dxa"/>
                </w:tcPr>
                <w:p w14:paraId="5873322F"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90</w:t>
                  </w:r>
                </w:p>
              </w:tc>
            </w:tr>
            <w:tr w:rsidR="00036214" w:rsidRPr="00505285" w14:paraId="052A747C" w14:textId="77777777">
              <w:trPr>
                <w:gridAfter w:val="1"/>
                <w:wAfter w:w="6" w:type="dxa"/>
              </w:trPr>
              <w:tc>
                <w:tcPr>
                  <w:tcW w:w="1446" w:type="dxa"/>
                </w:tcPr>
                <w:p w14:paraId="34F97203" w14:textId="77777777" w:rsidR="00036214" w:rsidRPr="00505285" w:rsidRDefault="00036214">
                  <w:pPr>
                    <w:spacing w:after="0"/>
                    <w:rPr>
                      <w:rFonts w:eastAsia="Times New Roman" w:cs="Times New Roman"/>
                      <w:szCs w:val="20"/>
                    </w:rPr>
                  </w:pPr>
                  <w:r w:rsidRPr="00505285">
                    <w:rPr>
                      <w:rFonts w:eastAsia="Times New Roman" w:cs="Times New Roman"/>
                      <w:szCs w:val="20"/>
                    </w:rPr>
                    <w:t>5 to &lt;12y</w:t>
                  </w:r>
                </w:p>
              </w:tc>
              <w:tc>
                <w:tcPr>
                  <w:tcW w:w="1134" w:type="dxa"/>
                </w:tcPr>
                <w:p w14:paraId="6097B1E8"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28.6</w:t>
                  </w:r>
                </w:p>
              </w:tc>
              <w:tc>
                <w:tcPr>
                  <w:tcW w:w="709" w:type="dxa"/>
                </w:tcPr>
                <w:p w14:paraId="369102CC"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0.12</w:t>
                  </w:r>
                </w:p>
              </w:tc>
              <w:tc>
                <w:tcPr>
                  <w:tcW w:w="1134" w:type="dxa"/>
                </w:tcPr>
                <w:p w14:paraId="74252D1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93.0</w:t>
                  </w:r>
                </w:p>
              </w:tc>
              <w:tc>
                <w:tcPr>
                  <w:tcW w:w="850" w:type="dxa"/>
                </w:tcPr>
                <w:p w14:paraId="513EC0A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17.0</w:t>
                  </w:r>
                </w:p>
              </w:tc>
              <w:tc>
                <w:tcPr>
                  <w:tcW w:w="1163" w:type="dxa"/>
                </w:tcPr>
                <w:p w14:paraId="6F720B5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110</w:t>
                  </w:r>
                </w:p>
              </w:tc>
            </w:tr>
            <w:tr w:rsidR="00036214" w:rsidRPr="00505285" w14:paraId="2498720A" w14:textId="77777777">
              <w:trPr>
                <w:gridAfter w:val="1"/>
                <w:wAfter w:w="6" w:type="dxa"/>
              </w:trPr>
              <w:tc>
                <w:tcPr>
                  <w:tcW w:w="1446" w:type="dxa"/>
                </w:tcPr>
                <w:p w14:paraId="48C36508" w14:textId="77777777" w:rsidR="00036214" w:rsidRPr="00505285" w:rsidRDefault="00036214">
                  <w:pPr>
                    <w:spacing w:after="0"/>
                    <w:rPr>
                      <w:rFonts w:eastAsia="Times New Roman" w:cs="Times New Roman"/>
                      <w:szCs w:val="20"/>
                    </w:rPr>
                  </w:pPr>
                  <w:r w:rsidRPr="00505285">
                    <w:rPr>
                      <w:rFonts w:eastAsia="Times New Roman" w:cs="Times New Roman"/>
                      <w:szCs w:val="20"/>
                    </w:rPr>
                    <w:t>12 to &lt;18y</w:t>
                  </w:r>
                </w:p>
              </w:tc>
              <w:tc>
                <w:tcPr>
                  <w:tcW w:w="1134" w:type="dxa"/>
                </w:tcPr>
                <w:p w14:paraId="0B07AF4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54.5</w:t>
                  </w:r>
                </w:p>
              </w:tc>
              <w:tc>
                <w:tcPr>
                  <w:tcW w:w="709" w:type="dxa"/>
                </w:tcPr>
                <w:p w14:paraId="40DC5305"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0.07</w:t>
                  </w:r>
                </w:p>
              </w:tc>
              <w:tc>
                <w:tcPr>
                  <w:tcW w:w="1134" w:type="dxa"/>
                </w:tcPr>
                <w:p w14:paraId="5F69B5F0"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144.1</w:t>
                  </w:r>
                </w:p>
              </w:tc>
              <w:tc>
                <w:tcPr>
                  <w:tcW w:w="850" w:type="dxa"/>
                </w:tcPr>
                <w:p w14:paraId="7575B132"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-4.1</w:t>
                  </w:r>
                </w:p>
              </w:tc>
              <w:tc>
                <w:tcPr>
                  <w:tcW w:w="1163" w:type="dxa"/>
                </w:tcPr>
                <w:p w14:paraId="3F1BB26A" w14:textId="77777777" w:rsidR="00036214" w:rsidRPr="00505285" w:rsidRDefault="00036214">
                  <w:pPr>
                    <w:spacing w:after="0"/>
                    <w:jc w:val="center"/>
                    <w:rPr>
                      <w:rFonts w:eastAsia="Times New Roman" w:cs="Times New Roman"/>
                      <w:szCs w:val="20"/>
                    </w:rPr>
                  </w:pPr>
                  <w:r w:rsidRPr="00505285">
                    <w:rPr>
                      <w:rFonts w:eastAsia="Times New Roman" w:cs="Times New Roman"/>
                      <w:szCs w:val="20"/>
                    </w:rPr>
                    <w:t>140</w:t>
                  </w:r>
                </w:p>
              </w:tc>
            </w:tr>
          </w:tbl>
          <w:p w14:paraId="075BA1D5" w14:textId="77777777" w:rsidR="00036214" w:rsidRPr="00505285" w:rsidRDefault="00036214">
            <w:pPr>
              <w:spacing w:before="120" w:after="0"/>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p>
        </w:tc>
      </w:tr>
      <w:tr w:rsidR="00036214" w:rsidRPr="00505285" w14:paraId="095065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tcPr>
          <w:p w14:paraId="26F8A2F9" w14:textId="77777777" w:rsidR="00036214" w:rsidRPr="00505285" w:rsidRDefault="00036214">
            <w:pPr>
              <w:rPr>
                <w:rFonts w:eastAsia="Times New Roman" w:cs="Arial"/>
                <w:szCs w:val="20"/>
              </w:rPr>
            </w:pPr>
            <w:r w:rsidRPr="00505285">
              <w:rPr>
                <w:rFonts w:eastAsia="Times New Roman" w:cs="Arial"/>
                <w:szCs w:val="20"/>
              </w:rPr>
              <w:lastRenderedPageBreak/>
              <w:t xml:space="preserve">Iodine exposure in Australia and New Zealand </w:t>
            </w:r>
          </w:p>
        </w:tc>
        <w:tc>
          <w:tcPr>
            <w:tcW w:w="12551" w:type="dxa"/>
            <w:gridSpan w:val="2"/>
            <w:tcBorders>
              <w:left w:val="single" w:sz="4" w:space="0" w:color="77BCD9"/>
            </w:tcBorders>
          </w:tcPr>
          <w:p w14:paraId="2B90E9EC" w14:textId="77777777" w:rsidR="00036214" w:rsidRPr="00505285" w:rsidRDefault="00036214">
            <w:pPr>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505285">
              <w:rPr>
                <w:rFonts w:eastAsia="Arial" w:cs="Times New Roman"/>
                <w:szCs w:val="20"/>
              </w:rPr>
              <w:t xml:space="preserve">The 2022-24 NHMS reported that children aged 5 to 17 were iodine-sufficient, with a median UIC of 171 µg/L and only 8% with UIC &lt;50 µg/L (ABS, 2025a). Urinary iodine measures were highest in children aged 5 to 11 years (median UIC 185 µg/L for males; 188 µg/L for females). </w:t>
            </w:r>
          </w:p>
          <w:p w14:paraId="716AD6CD" w14:textId="77777777" w:rsidR="00036214" w:rsidRPr="00505285" w:rsidRDefault="00036214">
            <w:pPr>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505285">
              <w:rPr>
                <w:rFonts w:eastAsia="Times New Roman" w:cs="Times New Roman"/>
                <w:szCs w:val="20"/>
              </w:rPr>
              <w:t xml:space="preserve">National dietary intake data from the 2023 National Nutrition and Physical Activity Survey (NNPAS; ABS 2025c) and 2011-13 Australian Health Survey (AHS; ABS 2015) are presented in Table 9. </w:t>
            </w:r>
          </w:p>
          <w:p w14:paraId="2ABF6F09" w14:textId="4CE75F38" w:rsidR="00036214" w:rsidRPr="00505285" w:rsidRDefault="00036214">
            <w:pPr>
              <w:keepNext/>
              <w:spacing w:after="200"/>
              <w:cnfStyle w:val="000000100000" w:firstRow="0" w:lastRow="0" w:firstColumn="0" w:lastColumn="0" w:oddVBand="0" w:evenVBand="0" w:oddHBand="1" w:evenHBand="0" w:firstRowFirstColumn="0" w:firstRowLastColumn="0" w:lastRowFirstColumn="0" w:lastRowLastColumn="0"/>
              <w:rPr>
                <w:rFonts w:eastAsia="Arial" w:cs="Times New Roman"/>
                <w:iCs/>
                <w:caps/>
                <w:szCs w:val="20"/>
              </w:rPr>
            </w:pPr>
            <w:r w:rsidRPr="00505285">
              <w:rPr>
                <w:rFonts w:eastAsia="Arial" w:cs="Times New Roman"/>
                <w:iCs/>
                <w:caps/>
                <w:szCs w:val="20"/>
              </w:rPr>
              <w:t xml:space="preserve">Table 9 </w:t>
            </w:r>
            <w:r w:rsidR="00667A3D">
              <w:rPr>
                <w:rFonts w:eastAsia="Arial" w:cs="Times New Roman"/>
                <w:iCs/>
                <w:caps/>
                <w:szCs w:val="20"/>
              </w:rPr>
              <w:t>–</w:t>
            </w:r>
            <w:r w:rsidRPr="00505285">
              <w:rPr>
                <w:rFonts w:eastAsia="Arial" w:cs="Times New Roman"/>
                <w:iCs/>
                <w:caps/>
                <w:szCs w:val="20"/>
              </w:rPr>
              <w:t xml:space="preserve"> INTAKE IN CHILDREN AND ADOLESCENTS, NNPAS (ABS, 2025c) and AHS 2011-13 (ABS, 2015)</w:t>
            </w:r>
          </w:p>
          <w:tbl>
            <w:tblPr>
              <w:tblW w:w="11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1356"/>
              <w:gridCol w:w="1418"/>
              <w:gridCol w:w="2268"/>
              <w:gridCol w:w="1134"/>
              <w:gridCol w:w="2268"/>
              <w:gridCol w:w="1134"/>
            </w:tblGrid>
            <w:tr w:rsidR="00036214" w:rsidRPr="00505285" w14:paraId="503C0E13" w14:textId="77777777">
              <w:trPr>
                <w:trHeight w:val="300"/>
              </w:trPr>
              <w:tc>
                <w:tcPr>
                  <w:tcW w:w="2299" w:type="dxa"/>
                  <w:vMerge w:val="restart"/>
                  <w:shd w:val="clear" w:color="auto" w:fill="005F85"/>
                  <w:noWrap/>
                  <w:vAlign w:val="bottom"/>
                </w:tcPr>
                <w:p w14:paraId="0D1369CA" w14:textId="77777777" w:rsidR="00036214" w:rsidRPr="00505285" w:rsidRDefault="00036214">
                  <w:pPr>
                    <w:keepNext/>
                    <w:spacing w:after="0" w:line="240" w:lineRule="auto"/>
                    <w:rPr>
                      <w:rFonts w:eastAsia="Times New Roman" w:cs="Calibri"/>
                      <w:b/>
                      <w:bCs/>
                      <w:color w:val="FFFFFF"/>
                      <w:szCs w:val="20"/>
                    </w:rPr>
                  </w:pPr>
                  <w:r w:rsidRPr="00505285">
                    <w:rPr>
                      <w:rFonts w:eastAsia="Times New Roman" w:cs="Calibri"/>
                      <w:b/>
                      <w:bCs/>
                      <w:color w:val="FFFFFF"/>
                      <w:szCs w:val="20"/>
                    </w:rPr>
                    <w:t xml:space="preserve">Age groups in years </w:t>
                  </w:r>
                </w:p>
                <w:p w14:paraId="3CCE22BB" w14:textId="77777777" w:rsidR="00036214" w:rsidRPr="00505285" w:rsidRDefault="00036214">
                  <w:pPr>
                    <w:keepNext/>
                    <w:spacing w:after="0" w:line="240" w:lineRule="auto"/>
                    <w:rPr>
                      <w:rFonts w:eastAsia="Times New Roman" w:cs="Calibri"/>
                      <w:b/>
                      <w:bCs/>
                      <w:color w:val="FFFFFF"/>
                      <w:szCs w:val="20"/>
                    </w:rPr>
                  </w:pPr>
                  <w:r w:rsidRPr="00505285">
                    <w:rPr>
                      <w:rFonts w:eastAsia="Times New Roman" w:cs="Calibri"/>
                      <w:b/>
                      <w:bCs/>
                      <w:color w:val="FFFFFF"/>
                      <w:szCs w:val="20"/>
                    </w:rPr>
                    <w:t>(2023 / 2011-13)</w:t>
                  </w:r>
                </w:p>
              </w:tc>
              <w:tc>
                <w:tcPr>
                  <w:tcW w:w="2774" w:type="dxa"/>
                  <w:gridSpan w:val="2"/>
                  <w:shd w:val="clear" w:color="auto" w:fill="005F85"/>
                </w:tcPr>
                <w:p w14:paraId="4B172A30"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2023 NNPAS (ABS, 2025c)</w:t>
                  </w:r>
                </w:p>
              </w:tc>
              <w:tc>
                <w:tcPr>
                  <w:tcW w:w="6804" w:type="dxa"/>
                  <w:gridSpan w:val="4"/>
                  <w:shd w:val="clear" w:color="auto" w:fill="005F85"/>
                </w:tcPr>
                <w:p w14:paraId="52BA4D80"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2011-13 AHS (ABS, 2015)</w:t>
                  </w:r>
                </w:p>
              </w:tc>
            </w:tr>
            <w:tr w:rsidR="00036214" w:rsidRPr="00505285" w14:paraId="04C07401" w14:textId="77777777">
              <w:trPr>
                <w:trHeight w:val="300"/>
              </w:trPr>
              <w:tc>
                <w:tcPr>
                  <w:tcW w:w="2299" w:type="dxa"/>
                  <w:vMerge/>
                  <w:shd w:val="clear" w:color="auto" w:fill="005F85"/>
                  <w:noWrap/>
                  <w:vAlign w:val="bottom"/>
                </w:tcPr>
                <w:p w14:paraId="2AF4E24B" w14:textId="77777777" w:rsidR="00036214" w:rsidRPr="00505285" w:rsidRDefault="00036214">
                  <w:pPr>
                    <w:keepNext/>
                    <w:spacing w:after="0" w:line="240" w:lineRule="auto"/>
                    <w:rPr>
                      <w:rFonts w:eastAsia="Times New Roman" w:cs="Calibri"/>
                      <w:b/>
                      <w:bCs/>
                      <w:color w:val="FFFFFF"/>
                      <w:szCs w:val="20"/>
                    </w:rPr>
                  </w:pPr>
                </w:p>
              </w:tc>
              <w:tc>
                <w:tcPr>
                  <w:tcW w:w="1356" w:type="dxa"/>
                  <w:shd w:val="clear" w:color="auto" w:fill="005F85"/>
                </w:tcPr>
                <w:p w14:paraId="0F9A2699"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Males</w:t>
                  </w:r>
                </w:p>
              </w:tc>
              <w:tc>
                <w:tcPr>
                  <w:tcW w:w="1418" w:type="dxa"/>
                  <w:shd w:val="clear" w:color="auto" w:fill="005F85"/>
                </w:tcPr>
                <w:p w14:paraId="27C77CC5"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Females</w:t>
                  </w:r>
                </w:p>
              </w:tc>
              <w:tc>
                <w:tcPr>
                  <w:tcW w:w="3402" w:type="dxa"/>
                  <w:gridSpan w:val="2"/>
                  <w:shd w:val="clear" w:color="auto" w:fill="005F85"/>
                </w:tcPr>
                <w:p w14:paraId="2B0A6C75"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Males</w:t>
                  </w:r>
                </w:p>
              </w:tc>
              <w:tc>
                <w:tcPr>
                  <w:tcW w:w="3402" w:type="dxa"/>
                  <w:gridSpan w:val="2"/>
                  <w:shd w:val="clear" w:color="auto" w:fill="005F85"/>
                </w:tcPr>
                <w:p w14:paraId="49EF84A4"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Females</w:t>
                  </w:r>
                </w:p>
              </w:tc>
            </w:tr>
            <w:tr w:rsidR="00036214" w:rsidRPr="00505285" w14:paraId="3A4A0A3F" w14:textId="77777777">
              <w:trPr>
                <w:trHeight w:val="300"/>
              </w:trPr>
              <w:tc>
                <w:tcPr>
                  <w:tcW w:w="2299" w:type="dxa"/>
                  <w:vMerge/>
                  <w:shd w:val="clear" w:color="auto" w:fill="005F85"/>
                  <w:noWrap/>
                  <w:vAlign w:val="bottom"/>
                  <w:hideMark/>
                </w:tcPr>
                <w:p w14:paraId="662EF778" w14:textId="77777777" w:rsidR="00036214" w:rsidRPr="00505285" w:rsidRDefault="00036214">
                  <w:pPr>
                    <w:keepNext/>
                    <w:spacing w:after="0" w:line="240" w:lineRule="auto"/>
                    <w:rPr>
                      <w:rFonts w:eastAsia="Times New Roman" w:cs="Calibri"/>
                      <w:b/>
                      <w:bCs/>
                      <w:color w:val="FFFFFF"/>
                      <w:szCs w:val="20"/>
                    </w:rPr>
                  </w:pPr>
                </w:p>
              </w:tc>
              <w:tc>
                <w:tcPr>
                  <w:tcW w:w="1356" w:type="dxa"/>
                  <w:shd w:val="clear" w:color="auto" w:fill="005F85"/>
                </w:tcPr>
                <w:p w14:paraId="32D89DC5" w14:textId="77777777" w:rsidR="00036214" w:rsidRPr="00505285" w:rsidRDefault="00036214">
                  <w:pPr>
                    <w:keepNext/>
                    <w:spacing w:after="0" w:line="240" w:lineRule="auto"/>
                    <w:rPr>
                      <w:rFonts w:eastAsia="Times New Roman" w:cs="Calibri"/>
                      <w:b/>
                      <w:bCs/>
                      <w:color w:val="FFFFFF"/>
                      <w:szCs w:val="20"/>
                    </w:rPr>
                  </w:pPr>
                  <w:r w:rsidRPr="00505285">
                    <w:rPr>
                      <w:rFonts w:eastAsia="Times New Roman" w:cs="Calibri"/>
                      <w:b/>
                      <w:bCs/>
                      <w:color w:val="FFFFFF"/>
                      <w:szCs w:val="20"/>
                    </w:rPr>
                    <w:t>Mean intake (µg/day)</w:t>
                  </w:r>
                </w:p>
              </w:tc>
              <w:tc>
                <w:tcPr>
                  <w:tcW w:w="1418" w:type="dxa"/>
                  <w:shd w:val="clear" w:color="auto" w:fill="005F85"/>
                </w:tcPr>
                <w:p w14:paraId="3B296CFA"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Mean intake (µg/day)</w:t>
                  </w:r>
                </w:p>
              </w:tc>
              <w:tc>
                <w:tcPr>
                  <w:tcW w:w="2268" w:type="dxa"/>
                  <w:shd w:val="clear" w:color="auto" w:fill="005F85"/>
                </w:tcPr>
                <w:p w14:paraId="3F468791"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Mean (95% CI) Intake</w:t>
                  </w:r>
                </w:p>
                <w:p w14:paraId="0FCB89DD"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(µg/day)</w:t>
                  </w:r>
                </w:p>
              </w:tc>
              <w:tc>
                <w:tcPr>
                  <w:tcW w:w="1134" w:type="dxa"/>
                  <w:shd w:val="clear" w:color="auto" w:fill="005F85"/>
                </w:tcPr>
                <w:p w14:paraId="0E74A201"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 less than EAR</w:t>
                  </w:r>
                </w:p>
              </w:tc>
              <w:tc>
                <w:tcPr>
                  <w:tcW w:w="2268" w:type="dxa"/>
                  <w:shd w:val="clear" w:color="auto" w:fill="005F85"/>
                </w:tcPr>
                <w:p w14:paraId="2B77B51D"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Mean (95% CI) Intake</w:t>
                  </w:r>
                </w:p>
                <w:p w14:paraId="2A6BEE95"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(µg/day)</w:t>
                  </w:r>
                </w:p>
              </w:tc>
              <w:tc>
                <w:tcPr>
                  <w:tcW w:w="1134" w:type="dxa"/>
                  <w:shd w:val="clear" w:color="auto" w:fill="005F85"/>
                </w:tcPr>
                <w:p w14:paraId="09AC83D4" w14:textId="77777777" w:rsidR="00036214" w:rsidRPr="00505285" w:rsidRDefault="00036214">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 less than EAR</w:t>
                  </w:r>
                </w:p>
              </w:tc>
            </w:tr>
            <w:tr w:rsidR="00036214" w:rsidRPr="00505285" w14:paraId="0F1ADCB1" w14:textId="77777777">
              <w:trPr>
                <w:trHeight w:val="300"/>
              </w:trPr>
              <w:tc>
                <w:tcPr>
                  <w:tcW w:w="2299" w:type="dxa"/>
                  <w:noWrap/>
                  <w:vAlign w:val="center"/>
                </w:tcPr>
                <w:p w14:paraId="4577EF80" w14:textId="77777777" w:rsidR="00036214" w:rsidRPr="00505285" w:rsidRDefault="00036214">
                  <w:pPr>
                    <w:keepNext/>
                    <w:spacing w:after="0" w:line="240" w:lineRule="auto"/>
                    <w:rPr>
                      <w:rFonts w:eastAsia="Times New Roman" w:cs="Calibri"/>
                      <w:b/>
                      <w:bCs/>
                      <w:szCs w:val="20"/>
                    </w:rPr>
                  </w:pPr>
                  <w:r w:rsidRPr="00505285">
                    <w:rPr>
                      <w:rFonts w:eastAsia="Times New Roman" w:cs="Calibri"/>
                      <w:b/>
                      <w:bCs/>
                      <w:szCs w:val="20"/>
                    </w:rPr>
                    <w:t>2-4 yr/2-3 yr</w:t>
                  </w:r>
                </w:p>
              </w:tc>
              <w:tc>
                <w:tcPr>
                  <w:tcW w:w="1356" w:type="dxa"/>
                  <w:vAlign w:val="center"/>
                </w:tcPr>
                <w:p w14:paraId="252BC876"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152</w:t>
                  </w:r>
                </w:p>
              </w:tc>
              <w:tc>
                <w:tcPr>
                  <w:tcW w:w="1418" w:type="dxa"/>
                  <w:vAlign w:val="center"/>
                </w:tcPr>
                <w:p w14:paraId="1BB60ADF"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143</w:t>
                  </w:r>
                </w:p>
              </w:tc>
              <w:tc>
                <w:tcPr>
                  <w:tcW w:w="2268" w:type="dxa"/>
                  <w:vAlign w:val="center"/>
                </w:tcPr>
                <w:p w14:paraId="31CBC2BD" w14:textId="2E55C808"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157 (100 </w:t>
                  </w:r>
                  <w:r w:rsidR="00667A3D">
                    <w:rPr>
                      <w:rFonts w:eastAsia="Times New Roman" w:cs="Calibri"/>
                      <w:color w:val="000000"/>
                      <w:szCs w:val="20"/>
                    </w:rPr>
                    <w:t>–</w:t>
                  </w:r>
                  <w:r w:rsidRPr="00505285">
                    <w:rPr>
                      <w:rFonts w:eastAsia="Times New Roman" w:cs="Calibri"/>
                      <w:color w:val="000000"/>
                      <w:szCs w:val="20"/>
                    </w:rPr>
                    <w:t xml:space="preserve"> 222)</w:t>
                  </w:r>
                </w:p>
              </w:tc>
              <w:tc>
                <w:tcPr>
                  <w:tcW w:w="1134" w:type="dxa"/>
                  <w:vAlign w:val="center"/>
                </w:tcPr>
                <w:p w14:paraId="70FA8933"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0.1%</w:t>
                  </w:r>
                </w:p>
              </w:tc>
              <w:tc>
                <w:tcPr>
                  <w:tcW w:w="2268" w:type="dxa"/>
                  <w:vAlign w:val="center"/>
                </w:tcPr>
                <w:p w14:paraId="566E60BD" w14:textId="6EDDA54B"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141 (88 </w:t>
                  </w:r>
                  <w:r w:rsidR="00667A3D">
                    <w:rPr>
                      <w:rFonts w:eastAsia="Times New Roman" w:cs="Calibri"/>
                      <w:color w:val="000000"/>
                      <w:szCs w:val="20"/>
                    </w:rPr>
                    <w:t>–</w:t>
                  </w:r>
                  <w:r w:rsidRPr="00505285">
                    <w:rPr>
                      <w:rFonts w:eastAsia="Times New Roman" w:cs="Calibri"/>
                      <w:color w:val="000000"/>
                      <w:szCs w:val="20"/>
                    </w:rPr>
                    <w:t xml:space="preserve"> 202)</w:t>
                  </w:r>
                </w:p>
              </w:tc>
              <w:tc>
                <w:tcPr>
                  <w:tcW w:w="1134" w:type="dxa"/>
                  <w:vAlign w:val="center"/>
                </w:tcPr>
                <w:p w14:paraId="63820C33"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0.5%</w:t>
                  </w:r>
                </w:p>
              </w:tc>
            </w:tr>
            <w:tr w:rsidR="00036214" w:rsidRPr="00505285" w14:paraId="561B3D46" w14:textId="77777777">
              <w:trPr>
                <w:trHeight w:val="300"/>
              </w:trPr>
              <w:tc>
                <w:tcPr>
                  <w:tcW w:w="2299" w:type="dxa"/>
                  <w:noWrap/>
                  <w:vAlign w:val="center"/>
                  <w:hideMark/>
                </w:tcPr>
                <w:p w14:paraId="149135D0" w14:textId="77777777" w:rsidR="00036214" w:rsidRPr="00505285" w:rsidRDefault="00036214">
                  <w:pPr>
                    <w:keepNext/>
                    <w:spacing w:after="0" w:line="240" w:lineRule="auto"/>
                    <w:rPr>
                      <w:rFonts w:eastAsia="Times New Roman" w:cs="Calibri"/>
                      <w:b/>
                      <w:bCs/>
                      <w:szCs w:val="20"/>
                    </w:rPr>
                  </w:pPr>
                  <w:r w:rsidRPr="00505285">
                    <w:rPr>
                      <w:rFonts w:eastAsia="Times New Roman" w:cs="Calibri"/>
                      <w:b/>
                      <w:bCs/>
                      <w:szCs w:val="20"/>
                    </w:rPr>
                    <w:t>5-11 yr/4-8 yr</w:t>
                  </w:r>
                </w:p>
              </w:tc>
              <w:tc>
                <w:tcPr>
                  <w:tcW w:w="1356" w:type="dxa"/>
                  <w:vMerge w:val="restart"/>
                  <w:vAlign w:val="center"/>
                </w:tcPr>
                <w:p w14:paraId="21CA394B"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176</w:t>
                  </w:r>
                </w:p>
              </w:tc>
              <w:tc>
                <w:tcPr>
                  <w:tcW w:w="1418" w:type="dxa"/>
                  <w:vMerge w:val="restart"/>
                  <w:vAlign w:val="center"/>
                </w:tcPr>
                <w:p w14:paraId="6604A5B8"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165</w:t>
                  </w:r>
                </w:p>
              </w:tc>
              <w:tc>
                <w:tcPr>
                  <w:tcW w:w="2268" w:type="dxa"/>
                  <w:vAlign w:val="center"/>
                </w:tcPr>
                <w:p w14:paraId="5B567BE1" w14:textId="56251FB3"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164 (106 </w:t>
                  </w:r>
                  <w:r w:rsidR="00667A3D">
                    <w:rPr>
                      <w:rFonts w:eastAsia="Times New Roman" w:cs="Calibri"/>
                      <w:color w:val="000000"/>
                      <w:szCs w:val="20"/>
                    </w:rPr>
                    <w:t>–</w:t>
                  </w:r>
                  <w:r w:rsidRPr="00505285">
                    <w:rPr>
                      <w:rFonts w:eastAsia="Times New Roman" w:cs="Calibri"/>
                      <w:color w:val="000000"/>
                      <w:szCs w:val="20"/>
                    </w:rPr>
                    <w:t xml:space="preserve"> 231)</w:t>
                  </w:r>
                </w:p>
              </w:tc>
              <w:tc>
                <w:tcPr>
                  <w:tcW w:w="1134" w:type="dxa"/>
                  <w:vAlign w:val="center"/>
                </w:tcPr>
                <w:p w14:paraId="1FDB4021"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0.1%</w:t>
                  </w:r>
                </w:p>
              </w:tc>
              <w:tc>
                <w:tcPr>
                  <w:tcW w:w="2268" w:type="dxa"/>
                  <w:vAlign w:val="center"/>
                </w:tcPr>
                <w:p w14:paraId="39380037" w14:textId="076D11BB"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148 (93 </w:t>
                  </w:r>
                  <w:r w:rsidR="00667A3D">
                    <w:rPr>
                      <w:rFonts w:eastAsia="Times New Roman" w:cs="Calibri"/>
                      <w:color w:val="000000"/>
                      <w:szCs w:val="20"/>
                    </w:rPr>
                    <w:t>–</w:t>
                  </w:r>
                  <w:r w:rsidRPr="00505285">
                    <w:rPr>
                      <w:rFonts w:eastAsia="Times New Roman" w:cs="Calibri"/>
                      <w:color w:val="000000"/>
                      <w:szCs w:val="20"/>
                    </w:rPr>
                    <w:t xml:space="preserve"> 210)</w:t>
                  </w:r>
                </w:p>
              </w:tc>
              <w:tc>
                <w:tcPr>
                  <w:tcW w:w="1134" w:type="dxa"/>
                  <w:vAlign w:val="center"/>
                </w:tcPr>
                <w:p w14:paraId="346D09BC"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0.3%</w:t>
                  </w:r>
                </w:p>
              </w:tc>
            </w:tr>
            <w:tr w:rsidR="00036214" w:rsidRPr="00505285" w14:paraId="5DA37CD6" w14:textId="77777777">
              <w:trPr>
                <w:trHeight w:val="300"/>
              </w:trPr>
              <w:tc>
                <w:tcPr>
                  <w:tcW w:w="2299" w:type="dxa"/>
                  <w:noWrap/>
                  <w:vAlign w:val="center"/>
                  <w:hideMark/>
                </w:tcPr>
                <w:p w14:paraId="6E0A874F" w14:textId="77777777" w:rsidR="00036214" w:rsidRPr="00505285" w:rsidRDefault="00036214">
                  <w:pPr>
                    <w:keepNext/>
                    <w:spacing w:after="0" w:line="240" w:lineRule="auto"/>
                    <w:rPr>
                      <w:rFonts w:eastAsia="Times New Roman" w:cs="Calibri"/>
                      <w:b/>
                      <w:bCs/>
                      <w:szCs w:val="20"/>
                    </w:rPr>
                  </w:pPr>
                  <w:r w:rsidRPr="00505285">
                    <w:rPr>
                      <w:rFonts w:eastAsia="Times New Roman" w:cs="Calibri"/>
                      <w:b/>
                      <w:bCs/>
                      <w:szCs w:val="20"/>
                    </w:rPr>
                    <w:t>5-11 yr/9-13 yr</w:t>
                  </w:r>
                </w:p>
              </w:tc>
              <w:tc>
                <w:tcPr>
                  <w:tcW w:w="1356" w:type="dxa"/>
                  <w:vMerge/>
                  <w:vAlign w:val="center"/>
                </w:tcPr>
                <w:p w14:paraId="24F5DC95" w14:textId="77777777" w:rsidR="00036214" w:rsidRPr="00505285" w:rsidRDefault="00036214">
                  <w:pPr>
                    <w:keepNext/>
                    <w:spacing w:after="0" w:line="240" w:lineRule="auto"/>
                    <w:jc w:val="center"/>
                    <w:rPr>
                      <w:rFonts w:eastAsia="Times New Roman" w:cs="Calibri"/>
                      <w:color w:val="000000"/>
                      <w:szCs w:val="20"/>
                    </w:rPr>
                  </w:pPr>
                </w:p>
              </w:tc>
              <w:tc>
                <w:tcPr>
                  <w:tcW w:w="1418" w:type="dxa"/>
                  <w:vMerge/>
                  <w:vAlign w:val="center"/>
                </w:tcPr>
                <w:p w14:paraId="071C15C7" w14:textId="77777777" w:rsidR="00036214" w:rsidRPr="00505285" w:rsidRDefault="00036214">
                  <w:pPr>
                    <w:keepNext/>
                    <w:spacing w:after="0" w:line="240" w:lineRule="auto"/>
                    <w:jc w:val="center"/>
                    <w:rPr>
                      <w:rFonts w:eastAsia="Times New Roman" w:cs="Calibri"/>
                      <w:color w:val="000000"/>
                      <w:szCs w:val="20"/>
                    </w:rPr>
                  </w:pPr>
                </w:p>
              </w:tc>
              <w:tc>
                <w:tcPr>
                  <w:tcW w:w="2268" w:type="dxa"/>
                  <w:vAlign w:val="center"/>
                </w:tcPr>
                <w:p w14:paraId="5B7C1802" w14:textId="0D61FDC2"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190 (111 </w:t>
                  </w:r>
                  <w:r w:rsidR="00667A3D">
                    <w:rPr>
                      <w:rFonts w:eastAsia="Times New Roman" w:cs="Calibri"/>
                      <w:color w:val="000000"/>
                      <w:szCs w:val="20"/>
                    </w:rPr>
                    <w:t>–</w:t>
                  </w:r>
                  <w:r w:rsidRPr="00505285">
                    <w:rPr>
                      <w:rFonts w:eastAsia="Times New Roman" w:cs="Calibri"/>
                      <w:color w:val="000000"/>
                      <w:szCs w:val="20"/>
                    </w:rPr>
                    <w:t xml:space="preserve"> 285)</w:t>
                  </w:r>
                </w:p>
              </w:tc>
              <w:tc>
                <w:tcPr>
                  <w:tcW w:w="1134" w:type="dxa"/>
                  <w:vAlign w:val="center"/>
                </w:tcPr>
                <w:p w14:paraId="42B1DEB7"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0.3%</w:t>
                  </w:r>
                </w:p>
              </w:tc>
              <w:tc>
                <w:tcPr>
                  <w:tcW w:w="2268" w:type="dxa"/>
                  <w:vAlign w:val="center"/>
                </w:tcPr>
                <w:p w14:paraId="3CB9F217" w14:textId="4CC9F07B"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169 (102 </w:t>
                  </w:r>
                  <w:r w:rsidR="00667A3D">
                    <w:rPr>
                      <w:rFonts w:eastAsia="Times New Roman" w:cs="Calibri"/>
                      <w:color w:val="000000"/>
                      <w:szCs w:val="20"/>
                    </w:rPr>
                    <w:t>–</w:t>
                  </w:r>
                  <w:r w:rsidRPr="00505285">
                    <w:rPr>
                      <w:rFonts w:eastAsia="Times New Roman" w:cs="Calibri"/>
                      <w:color w:val="000000"/>
                      <w:szCs w:val="20"/>
                    </w:rPr>
                    <w:t xml:space="preserve"> 247)</w:t>
                  </w:r>
                </w:p>
              </w:tc>
              <w:tc>
                <w:tcPr>
                  <w:tcW w:w="1134" w:type="dxa"/>
                  <w:vAlign w:val="center"/>
                </w:tcPr>
                <w:p w14:paraId="44892D81"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0.5%</w:t>
                  </w:r>
                </w:p>
              </w:tc>
            </w:tr>
            <w:tr w:rsidR="00036214" w:rsidRPr="00505285" w14:paraId="7958D3F0" w14:textId="77777777">
              <w:trPr>
                <w:trHeight w:val="300"/>
              </w:trPr>
              <w:tc>
                <w:tcPr>
                  <w:tcW w:w="2299" w:type="dxa"/>
                  <w:noWrap/>
                  <w:vAlign w:val="center"/>
                  <w:hideMark/>
                </w:tcPr>
                <w:p w14:paraId="63F908D0" w14:textId="0A5BDBD3" w:rsidR="00036214" w:rsidRPr="00505285" w:rsidRDefault="00036214">
                  <w:pPr>
                    <w:keepNext/>
                    <w:spacing w:after="0" w:line="240" w:lineRule="auto"/>
                    <w:rPr>
                      <w:rFonts w:eastAsia="Times New Roman" w:cs="Calibri"/>
                      <w:b/>
                      <w:bCs/>
                      <w:szCs w:val="20"/>
                    </w:rPr>
                  </w:pPr>
                  <w:r w:rsidRPr="00505285">
                    <w:rPr>
                      <w:rFonts w:eastAsia="Times New Roman" w:cs="Calibri"/>
                      <w:b/>
                      <w:bCs/>
                      <w:szCs w:val="20"/>
                    </w:rPr>
                    <w:t xml:space="preserve">12 </w:t>
                  </w:r>
                  <w:r w:rsidR="00667A3D">
                    <w:rPr>
                      <w:rFonts w:eastAsia="Times New Roman" w:cs="Calibri"/>
                      <w:b/>
                      <w:bCs/>
                      <w:szCs w:val="20"/>
                    </w:rPr>
                    <w:t>–</w:t>
                  </w:r>
                  <w:r w:rsidRPr="00505285">
                    <w:rPr>
                      <w:rFonts w:eastAsia="Times New Roman" w:cs="Calibri"/>
                      <w:b/>
                      <w:bCs/>
                      <w:szCs w:val="20"/>
                    </w:rPr>
                    <w:t xml:space="preserve"> 17 yr/14-18 yr</w:t>
                  </w:r>
                </w:p>
              </w:tc>
              <w:tc>
                <w:tcPr>
                  <w:tcW w:w="1356" w:type="dxa"/>
                  <w:vAlign w:val="center"/>
                </w:tcPr>
                <w:p w14:paraId="63D4030E"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220</w:t>
                  </w:r>
                </w:p>
              </w:tc>
              <w:tc>
                <w:tcPr>
                  <w:tcW w:w="1418" w:type="dxa"/>
                  <w:vAlign w:val="center"/>
                </w:tcPr>
                <w:p w14:paraId="578614B7"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161</w:t>
                  </w:r>
                </w:p>
              </w:tc>
              <w:tc>
                <w:tcPr>
                  <w:tcW w:w="2268" w:type="dxa"/>
                  <w:vAlign w:val="center"/>
                </w:tcPr>
                <w:p w14:paraId="4DD58825" w14:textId="66DD7862"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205 (123 </w:t>
                  </w:r>
                  <w:r w:rsidR="00667A3D">
                    <w:rPr>
                      <w:rFonts w:eastAsia="Times New Roman" w:cs="Calibri"/>
                      <w:color w:val="000000"/>
                      <w:szCs w:val="20"/>
                    </w:rPr>
                    <w:t>–</w:t>
                  </w:r>
                  <w:r w:rsidRPr="00505285">
                    <w:rPr>
                      <w:rFonts w:eastAsia="Times New Roman" w:cs="Calibri"/>
                      <w:color w:val="000000"/>
                      <w:szCs w:val="20"/>
                    </w:rPr>
                    <w:t xml:space="preserve"> 303)</w:t>
                  </w:r>
                </w:p>
              </w:tc>
              <w:tc>
                <w:tcPr>
                  <w:tcW w:w="1134" w:type="dxa"/>
                  <w:vAlign w:val="center"/>
                </w:tcPr>
                <w:p w14:paraId="13D4E137"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0.8%</w:t>
                  </w:r>
                </w:p>
              </w:tc>
              <w:tc>
                <w:tcPr>
                  <w:tcW w:w="2268" w:type="dxa"/>
                  <w:vAlign w:val="center"/>
                </w:tcPr>
                <w:p w14:paraId="68D0B26D" w14:textId="589681AF"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153 (91 </w:t>
                  </w:r>
                  <w:r w:rsidR="00667A3D">
                    <w:rPr>
                      <w:rFonts w:eastAsia="Times New Roman" w:cs="Calibri"/>
                      <w:color w:val="000000"/>
                      <w:szCs w:val="20"/>
                    </w:rPr>
                    <w:t>–</w:t>
                  </w:r>
                  <w:r w:rsidRPr="00505285">
                    <w:rPr>
                      <w:rFonts w:eastAsia="Times New Roman" w:cs="Calibri"/>
                      <w:color w:val="000000"/>
                      <w:szCs w:val="20"/>
                    </w:rPr>
                    <w:t xml:space="preserve"> 229)</w:t>
                  </w:r>
                </w:p>
              </w:tc>
              <w:tc>
                <w:tcPr>
                  <w:tcW w:w="1134" w:type="dxa"/>
                  <w:vAlign w:val="center"/>
                </w:tcPr>
                <w:p w14:paraId="2959E953" w14:textId="77777777" w:rsidR="00036214" w:rsidRPr="00505285" w:rsidRDefault="00036214">
                  <w:pPr>
                    <w:keepNext/>
                    <w:spacing w:after="0" w:line="240" w:lineRule="auto"/>
                    <w:jc w:val="center"/>
                    <w:rPr>
                      <w:rFonts w:eastAsia="Times New Roman" w:cs="Calibri"/>
                      <w:color w:val="000000"/>
                      <w:szCs w:val="20"/>
                    </w:rPr>
                  </w:pPr>
                  <w:r w:rsidRPr="00505285">
                    <w:rPr>
                      <w:rFonts w:eastAsia="Times New Roman" w:cs="Calibri"/>
                      <w:color w:val="000000"/>
                      <w:szCs w:val="20"/>
                    </w:rPr>
                    <w:t>6.4%</w:t>
                  </w:r>
                </w:p>
              </w:tc>
            </w:tr>
          </w:tbl>
          <w:p w14:paraId="5FC7A6A1" w14:textId="32B09FD7" w:rsidR="00036214" w:rsidRPr="00505285" w:rsidRDefault="00036214">
            <w:pPr>
              <w:spacing w:before="160"/>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505285">
              <w:rPr>
                <w:rFonts w:eastAsia="Arial" w:cs="Times New Roman"/>
                <w:szCs w:val="20"/>
              </w:rPr>
              <w:t>In New Zealand, population data do not capture intake or median UIC for children aged under 15 years. However, a 2011 study of 147 children aged 8-10 years post-fortification reported population sufficiency, with a median UIC of 113 µg/L, and 12% of children with UIC &lt;50 µg/L (</w:t>
            </w:r>
            <w:proofErr w:type="spellStart"/>
            <w:r w:rsidRPr="00505285">
              <w:rPr>
                <w:rFonts w:eastAsia="Arial" w:cs="Times New Roman"/>
                <w:szCs w:val="20"/>
              </w:rPr>
              <w:t>Skeaff</w:t>
            </w:r>
            <w:proofErr w:type="spellEnd"/>
            <w:r w:rsidRPr="00505285">
              <w:rPr>
                <w:rFonts w:eastAsia="Arial" w:cs="Times New Roman"/>
                <w:szCs w:val="20"/>
              </w:rPr>
              <w:t xml:space="preserve"> &amp; Lonsdale-Cooper, 2013). A 2015 study in 415 children aged 8 to 10 echoed these findings, reporting a median UIC of 116 µg/L and 5% with UIC &lt;50 µg/L (Jones et al 2016). A smaller study in 84 children aged 9 </w:t>
            </w:r>
            <w:r w:rsidR="00667A3D">
              <w:rPr>
                <w:rFonts w:eastAsia="Arial" w:cs="Times New Roman"/>
                <w:szCs w:val="20"/>
              </w:rPr>
              <w:t>–</w:t>
            </w:r>
            <w:r w:rsidRPr="00505285">
              <w:rPr>
                <w:rFonts w:eastAsia="Arial" w:cs="Times New Roman"/>
                <w:szCs w:val="20"/>
              </w:rPr>
              <w:t xml:space="preserve"> 11 estimated </w:t>
            </w:r>
            <w:proofErr w:type="gramStart"/>
            <w:r w:rsidRPr="00505285">
              <w:rPr>
                <w:rFonts w:eastAsia="Arial" w:cs="Times New Roman"/>
                <w:szCs w:val="20"/>
              </w:rPr>
              <w:t>intake</w:t>
            </w:r>
            <w:proofErr w:type="gramEnd"/>
            <w:r w:rsidRPr="00505285">
              <w:rPr>
                <w:rFonts w:eastAsia="Arial" w:cs="Times New Roman"/>
                <w:szCs w:val="20"/>
              </w:rPr>
              <w:t xml:space="preserve"> from UIE at 74 µg/day; below the recommended dietary intake of 120 µg/day for this age group (</w:t>
            </w:r>
            <w:proofErr w:type="spellStart"/>
            <w:r w:rsidRPr="00505285">
              <w:rPr>
                <w:rFonts w:eastAsia="Arial" w:cs="Times New Roman"/>
                <w:szCs w:val="20"/>
              </w:rPr>
              <w:t>Peniamina</w:t>
            </w:r>
            <w:proofErr w:type="spellEnd"/>
            <w:r w:rsidRPr="00505285">
              <w:rPr>
                <w:rFonts w:eastAsia="Arial" w:cs="Times New Roman"/>
                <w:szCs w:val="20"/>
              </w:rPr>
              <w:t xml:space="preserve"> et al 2019). </w:t>
            </w:r>
          </w:p>
        </w:tc>
      </w:tr>
      <w:tr w:rsidR="00036214" w:rsidRPr="00505285" w14:paraId="79C49B6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tcPr>
          <w:p w14:paraId="6C601D3B" w14:textId="77777777" w:rsidR="00036214" w:rsidRPr="00505285" w:rsidRDefault="00036214">
            <w:pPr>
              <w:rPr>
                <w:rFonts w:eastAsia="Times New Roman" w:cs="Arial"/>
                <w:szCs w:val="20"/>
              </w:rPr>
            </w:pPr>
            <w:r w:rsidRPr="00505285">
              <w:rPr>
                <w:rFonts w:eastAsia="Times New Roman" w:cs="Arial"/>
                <w:szCs w:val="20"/>
              </w:rPr>
              <w:lastRenderedPageBreak/>
              <w:t>Benchmarking against comparable international jurisdictions</w:t>
            </w:r>
          </w:p>
        </w:tc>
        <w:tc>
          <w:tcPr>
            <w:tcW w:w="12551" w:type="dxa"/>
            <w:gridSpan w:val="2"/>
            <w:tcBorders>
              <w:left w:val="single" w:sz="4" w:space="0" w:color="77BCD9"/>
            </w:tcBorders>
          </w:tcPr>
          <w:p w14:paraId="3E4E53C0" w14:textId="77777777" w:rsidR="00036214" w:rsidRPr="00505285" w:rsidRDefault="00036214">
            <w:pPr>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r w:rsidRPr="00505285">
              <w:rPr>
                <w:rFonts w:eastAsia="Times New Roman" w:cs="Times New Roman"/>
                <w:szCs w:val="20"/>
              </w:rPr>
              <w:t>Table 10 shows NRV recommendations for comparable international jurisdictions. Values have been adjusted using a weighted average calculation, to align with the proposed age groupings (denoted by * in the table). Where a jurisdiction specifies an EAR and RDI, the RDI has been extracted for comparison purposes.</w:t>
            </w:r>
          </w:p>
          <w:p w14:paraId="5DEFB534" w14:textId="7D03C6A5" w:rsidR="00036214" w:rsidRPr="00505285" w:rsidRDefault="00036214">
            <w:pPr>
              <w:keepNext/>
              <w:spacing w:after="200"/>
              <w:cnfStyle w:val="000000010000" w:firstRow="0" w:lastRow="0" w:firstColumn="0" w:lastColumn="0" w:oddVBand="0" w:evenVBand="0" w:oddHBand="0" w:evenHBand="1" w:firstRowFirstColumn="0" w:firstRowLastColumn="0" w:lastRowFirstColumn="0" w:lastRowLastColumn="0"/>
              <w:rPr>
                <w:rFonts w:eastAsia="Arial" w:cs="Times New Roman"/>
                <w:iCs/>
                <w:caps/>
                <w:szCs w:val="20"/>
              </w:rPr>
            </w:pPr>
            <w:r w:rsidRPr="00505285">
              <w:rPr>
                <w:rFonts w:eastAsia="Arial" w:cs="Times New Roman"/>
                <w:iCs/>
                <w:caps/>
                <w:szCs w:val="20"/>
              </w:rPr>
              <w:t xml:space="preserve">Table 10 </w:t>
            </w:r>
            <w:r w:rsidR="00667A3D">
              <w:rPr>
                <w:rFonts w:eastAsia="Arial" w:cs="Times New Roman"/>
                <w:iCs/>
                <w:caps/>
                <w:szCs w:val="20"/>
              </w:rPr>
              <w:t>–</w:t>
            </w:r>
            <w:r w:rsidRPr="00505285">
              <w:rPr>
                <w:rFonts w:eastAsia="Arial" w:cs="Times New Roman"/>
                <w:iCs/>
                <w:caps/>
                <w:szCs w:val="20"/>
              </w:rPr>
              <w:t xml:space="preserve"> CHILD AND ADOLESCENT IODINE REQUIREMENT RECOMMENDATIONS ACROSS COMPARABLE JURISDICTIONS</w:t>
            </w:r>
          </w:p>
          <w:tbl>
            <w:tblPr>
              <w:tblW w:w="1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3"/>
              <w:gridCol w:w="1559"/>
              <w:gridCol w:w="1560"/>
              <w:gridCol w:w="1417"/>
              <w:gridCol w:w="1276"/>
              <w:gridCol w:w="1417"/>
              <w:gridCol w:w="1276"/>
            </w:tblGrid>
            <w:tr w:rsidR="00036214" w:rsidRPr="00505285" w14:paraId="6E1B6FF9" w14:textId="77777777">
              <w:trPr>
                <w:trHeight w:val="900"/>
              </w:trPr>
              <w:tc>
                <w:tcPr>
                  <w:tcW w:w="2663" w:type="dxa"/>
                  <w:shd w:val="clear" w:color="auto" w:fill="005F85"/>
                  <w:vAlign w:val="bottom"/>
                  <w:hideMark/>
                </w:tcPr>
                <w:p w14:paraId="50077E88" w14:textId="77777777" w:rsidR="00036214" w:rsidRPr="00505285" w:rsidRDefault="00036214">
                  <w:pPr>
                    <w:spacing w:after="0" w:line="240" w:lineRule="auto"/>
                    <w:rPr>
                      <w:rFonts w:eastAsia="Times New Roman"/>
                      <w:b/>
                      <w:bCs/>
                      <w:color w:val="FFFFFF"/>
                      <w:szCs w:val="20"/>
                    </w:rPr>
                  </w:pPr>
                  <w:r w:rsidRPr="00505285">
                    <w:rPr>
                      <w:rFonts w:eastAsia="Times New Roman"/>
                      <w:b/>
                      <w:bCs/>
                      <w:color w:val="FFFFFF"/>
                      <w:szCs w:val="20"/>
                    </w:rPr>
                    <w:t>Age (years)</w:t>
                  </w:r>
                </w:p>
              </w:tc>
              <w:tc>
                <w:tcPr>
                  <w:tcW w:w="1559" w:type="dxa"/>
                  <w:shd w:val="clear" w:color="auto" w:fill="005F85"/>
                  <w:vAlign w:val="bottom"/>
                </w:tcPr>
                <w:p w14:paraId="4A8DFDCC"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 xml:space="preserve">Proposed </w:t>
                  </w:r>
                </w:p>
                <w:p w14:paraId="444E6582"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AI or RDI</w:t>
                  </w:r>
                </w:p>
                <w:p w14:paraId="0E99035F"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560" w:type="dxa"/>
                  <w:shd w:val="clear" w:color="auto" w:fill="005F85"/>
                  <w:vAlign w:val="bottom"/>
                  <w:hideMark/>
                </w:tcPr>
                <w:p w14:paraId="1F231081"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Current ANZ (</w:t>
                  </w:r>
                  <w:proofErr w:type="gramStart"/>
                  <w:r w:rsidRPr="00505285">
                    <w:rPr>
                      <w:rFonts w:eastAsia="Times New Roman"/>
                      <w:b/>
                      <w:bCs/>
                      <w:color w:val="FFFFFF"/>
                      <w:szCs w:val="20"/>
                    </w:rPr>
                    <w:t>2006)*</w:t>
                  </w:r>
                  <w:proofErr w:type="gramEnd"/>
                  <w:r w:rsidRPr="00505285">
                    <w:rPr>
                      <w:rFonts w:eastAsia="Times New Roman"/>
                      <w:b/>
                      <w:bCs/>
                      <w:color w:val="FFFFFF"/>
                      <w:szCs w:val="20"/>
                    </w:rPr>
                    <w:t xml:space="preserve"> </w:t>
                  </w:r>
                </w:p>
                <w:p w14:paraId="1F3CF929"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 xml:space="preserve">RDI </w:t>
                  </w:r>
                </w:p>
                <w:p w14:paraId="012F5AA3"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417" w:type="dxa"/>
                  <w:shd w:val="clear" w:color="auto" w:fill="005F85"/>
                  <w:vAlign w:val="bottom"/>
                  <w:hideMark/>
                </w:tcPr>
                <w:p w14:paraId="10B4D04C"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EFSA (</w:t>
                  </w:r>
                  <w:proofErr w:type="gramStart"/>
                  <w:r w:rsidRPr="00505285">
                    <w:rPr>
                      <w:rFonts w:eastAsia="Times New Roman"/>
                      <w:b/>
                      <w:bCs/>
                      <w:color w:val="FFFFFF"/>
                      <w:szCs w:val="20"/>
                    </w:rPr>
                    <w:t>2014)*</w:t>
                  </w:r>
                  <w:proofErr w:type="gramEnd"/>
                </w:p>
                <w:p w14:paraId="03A7A61E"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 xml:space="preserve">AI </w:t>
                  </w:r>
                </w:p>
                <w:p w14:paraId="519C75D9"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276" w:type="dxa"/>
                  <w:shd w:val="clear" w:color="auto" w:fill="005F85"/>
                  <w:vAlign w:val="bottom"/>
                  <w:hideMark/>
                </w:tcPr>
                <w:p w14:paraId="7A61D6B7"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NNR (</w:t>
                  </w:r>
                  <w:proofErr w:type="gramStart"/>
                  <w:r w:rsidRPr="00505285">
                    <w:rPr>
                      <w:rFonts w:eastAsia="Times New Roman"/>
                      <w:b/>
                      <w:bCs/>
                      <w:color w:val="FFFFFF"/>
                      <w:szCs w:val="20"/>
                    </w:rPr>
                    <w:t>2023)*</w:t>
                  </w:r>
                  <w:proofErr w:type="gramEnd"/>
                </w:p>
                <w:p w14:paraId="16771A93"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 xml:space="preserve">AI </w:t>
                  </w:r>
                </w:p>
                <w:p w14:paraId="7243490C"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417" w:type="dxa"/>
                  <w:shd w:val="clear" w:color="auto" w:fill="005F85"/>
                  <w:vAlign w:val="bottom"/>
                </w:tcPr>
                <w:p w14:paraId="1A5654C9"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WHO (</w:t>
                  </w:r>
                  <w:proofErr w:type="gramStart"/>
                  <w:r w:rsidRPr="00505285">
                    <w:rPr>
                      <w:rFonts w:eastAsia="Times New Roman"/>
                      <w:b/>
                      <w:bCs/>
                      <w:color w:val="FFFFFF"/>
                      <w:szCs w:val="20"/>
                    </w:rPr>
                    <w:t>2007)*</w:t>
                  </w:r>
                  <w:proofErr w:type="gramEnd"/>
                  <w:r w:rsidRPr="00505285">
                    <w:rPr>
                      <w:rFonts w:eastAsia="Times New Roman"/>
                      <w:b/>
                      <w:bCs/>
                      <w:color w:val="FFFFFF"/>
                      <w:szCs w:val="20"/>
                    </w:rPr>
                    <w:t>RDI (µg/day)</w:t>
                  </w:r>
                </w:p>
              </w:tc>
              <w:tc>
                <w:tcPr>
                  <w:tcW w:w="1276" w:type="dxa"/>
                  <w:shd w:val="clear" w:color="auto" w:fill="005F85"/>
                  <w:vAlign w:val="bottom"/>
                </w:tcPr>
                <w:p w14:paraId="7CFF6D92" w14:textId="77777777" w:rsidR="00036214" w:rsidRPr="00505285" w:rsidRDefault="00036214">
                  <w:pPr>
                    <w:spacing w:after="0" w:line="240" w:lineRule="auto"/>
                    <w:jc w:val="center"/>
                    <w:rPr>
                      <w:rFonts w:eastAsia="Times New Roman"/>
                      <w:b/>
                      <w:bCs/>
                      <w:color w:val="FFFFFF"/>
                      <w:szCs w:val="20"/>
                    </w:rPr>
                  </w:pPr>
                  <w:r w:rsidRPr="00505285">
                    <w:rPr>
                      <w:rFonts w:eastAsia="Times New Roman"/>
                      <w:b/>
                      <w:bCs/>
                      <w:color w:val="FFFFFF"/>
                      <w:szCs w:val="20"/>
                    </w:rPr>
                    <w:t>D-A-C-H (</w:t>
                  </w:r>
                  <w:proofErr w:type="gramStart"/>
                  <w:r w:rsidRPr="00505285">
                    <w:rPr>
                      <w:rFonts w:eastAsia="Times New Roman"/>
                      <w:b/>
                      <w:bCs/>
                      <w:color w:val="FFFFFF"/>
                      <w:szCs w:val="20"/>
                    </w:rPr>
                    <w:t>2013)*</w:t>
                  </w:r>
                  <w:proofErr w:type="gramEnd"/>
                  <w:r w:rsidRPr="00505285">
                    <w:rPr>
                      <w:rFonts w:eastAsia="Times New Roman"/>
                      <w:b/>
                      <w:bCs/>
                      <w:color w:val="FFFFFF"/>
                      <w:szCs w:val="20"/>
                    </w:rPr>
                    <w:t xml:space="preserve"> RDI (µg/day)</w:t>
                  </w:r>
                </w:p>
              </w:tc>
            </w:tr>
            <w:tr w:rsidR="00036214" w:rsidRPr="00505285" w14:paraId="79406259" w14:textId="77777777">
              <w:trPr>
                <w:trHeight w:val="300"/>
              </w:trPr>
              <w:tc>
                <w:tcPr>
                  <w:tcW w:w="11168" w:type="dxa"/>
                  <w:gridSpan w:val="7"/>
                  <w:shd w:val="clear" w:color="auto" w:fill="005F85"/>
                  <w:noWrap/>
                </w:tcPr>
                <w:p w14:paraId="2DA3A010" w14:textId="77777777" w:rsidR="00036214" w:rsidRPr="00505285" w:rsidRDefault="00036214">
                  <w:pPr>
                    <w:spacing w:after="0" w:line="240" w:lineRule="auto"/>
                    <w:rPr>
                      <w:rFonts w:eastAsia="Times New Roman"/>
                      <w:color w:val="000000"/>
                      <w:szCs w:val="20"/>
                    </w:rPr>
                  </w:pPr>
                  <w:r w:rsidRPr="00505285">
                    <w:rPr>
                      <w:rFonts w:eastAsia="Times New Roman"/>
                      <w:b/>
                      <w:bCs/>
                      <w:color w:val="FFFFFF"/>
                      <w:szCs w:val="20"/>
                    </w:rPr>
                    <w:t>NRVs age groupings:</w:t>
                  </w:r>
                </w:p>
              </w:tc>
            </w:tr>
            <w:tr w:rsidR="00036214" w:rsidRPr="00505285" w14:paraId="5D84A5A1" w14:textId="77777777">
              <w:trPr>
                <w:trHeight w:val="300"/>
              </w:trPr>
              <w:tc>
                <w:tcPr>
                  <w:tcW w:w="2663" w:type="dxa"/>
                  <w:noWrap/>
                </w:tcPr>
                <w:p w14:paraId="3609D6AF" w14:textId="77777777" w:rsidR="00036214" w:rsidRPr="00505285" w:rsidRDefault="00036214">
                  <w:pPr>
                    <w:spacing w:after="0" w:line="240" w:lineRule="auto"/>
                    <w:rPr>
                      <w:rFonts w:eastAsia="Times New Roman"/>
                      <w:color w:val="000000"/>
                      <w:szCs w:val="20"/>
                    </w:rPr>
                  </w:pPr>
                  <w:r w:rsidRPr="00505285">
                    <w:rPr>
                      <w:rFonts w:eastAsia="Arial"/>
                      <w:szCs w:val="20"/>
                    </w:rPr>
                    <w:t xml:space="preserve">1 to under 4 years </w:t>
                  </w:r>
                </w:p>
              </w:tc>
              <w:tc>
                <w:tcPr>
                  <w:tcW w:w="1559" w:type="dxa"/>
                </w:tcPr>
                <w:p w14:paraId="327DD636" w14:textId="77777777" w:rsidR="00036214" w:rsidRPr="00505285" w:rsidRDefault="00036214">
                  <w:pPr>
                    <w:spacing w:after="0" w:line="240" w:lineRule="auto"/>
                    <w:jc w:val="center"/>
                    <w:rPr>
                      <w:rFonts w:eastAsia="Times New Roman"/>
                      <w:color w:val="000000"/>
                      <w:szCs w:val="20"/>
                    </w:rPr>
                  </w:pPr>
                  <w:r w:rsidRPr="00505285">
                    <w:rPr>
                      <w:rFonts w:eastAsia="Arial"/>
                      <w:szCs w:val="20"/>
                    </w:rPr>
                    <w:t>90</w:t>
                  </w:r>
                </w:p>
              </w:tc>
              <w:tc>
                <w:tcPr>
                  <w:tcW w:w="1560" w:type="dxa"/>
                  <w:noWrap/>
                </w:tcPr>
                <w:p w14:paraId="208F98E8" w14:textId="77777777" w:rsidR="00036214" w:rsidRPr="00505285" w:rsidRDefault="00036214">
                  <w:pPr>
                    <w:spacing w:after="0" w:line="240" w:lineRule="auto"/>
                    <w:jc w:val="center"/>
                    <w:rPr>
                      <w:rFonts w:eastAsia="Times New Roman"/>
                      <w:color w:val="000000"/>
                      <w:szCs w:val="20"/>
                    </w:rPr>
                  </w:pPr>
                  <w:r w:rsidRPr="00505285">
                    <w:rPr>
                      <w:rFonts w:eastAsia="Arial"/>
                      <w:szCs w:val="20"/>
                    </w:rPr>
                    <w:t>90</w:t>
                  </w:r>
                </w:p>
              </w:tc>
              <w:tc>
                <w:tcPr>
                  <w:tcW w:w="1417" w:type="dxa"/>
                  <w:noWrap/>
                </w:tcPr>
                <w:p w14:paraId="3FE9B41A" w14:textId="77777777" w:rsidR="00036214" w:rsidRPr="00505285" w:rsidRDefault="00036214">
                  <w:pPr>
                    <w:spacing w:after="0" w:line="240" w:lineRule="auto"/>
                    <w:jc w:val="center"/>
                    <w:rPr>
                      <w:rFonts w:eastAsia="Times New Roman"/>
                      <w:color w:val="000000"/>
                      <w:szCs w:val="20"/>
                    </w:rPr>
                  </w:pPr>
                  <w:r w:rsidRPr="00505285">
                    <w:rPr>
                      <w:rFonts w:eastAsia="Arial"/>
                      <w:szCs w:val="20"/>
                    </w:rPr>
                    <w:t>90</w:t>
                  </w:r>
                </w:p>
              </w:tc>
              <w:tc>
                <w:tcPr>
                  <w:tcW w:w="1276" w:type="dxa"/>
                  <w:noWrap/>
                </w:tcPr>
                <w:p w14:paraId="03AF2FA7" w14:textId="77777777" w:rsidR="00036214" w:rsidRPr="00505285" w:rsidRDefault="00036214">
                  <w:pPr>
                    <w:spacing w:after="0" w:line="240" w:lineRule="auto"/>
                    <w:jc w:val="center"/>
                    <w:rPr>
                      <w:rFonts w:eastAsia="Times New Roman"/>
                      <w:color w:val="000000"/>
                      <w:szCs w:val="20"/>
                    </w:rPr>
                  </w:pPr>
                  <w:r w:rsidRPr="00505285">
                    <w:rPr>
                      <w:rFonts w:eastAsia="Arial"/>
                      <w:szCs w:val="20"/>
                    </w:rPr>
                    <w:t>100</w:t>
                  </w:r>
                </w:p>
              </w:tc>
              <w:tc>
                <w:tcPr>
                  <w:tcW w:w="1417" w:type="dxa"/>
                </w:tcPr>
                <w:p w14:paraId="72C3C3DA" w14:textId="77777777" w:rsidR="00036214" w:rsidRPr="00505285" w:rsidRDefault="00036214">
                  <w:pPr>
                    <w:spacing w:after="0" w:line="240" w:lineRule="auto"/>
                    <w:jc w:val="center"/>
                    <w:rPr>
                      <w:rFonts w:eastAsia="Times New Roman"/>
                      <w:color w:val="000000"/>
                      <w:szCs w:val="20"/>
                    </w:rPr>
                  </w:pPr>
                  <w:r w:rsidRPr="00505285">
                    <w:rPr>
                      <w:rFonts w:eastAsia="Arial"/>
                      <w:szCs w:val="20"/>
                    </w:rPr>
                    <w:t>90</w:t>
                  </w:r>
                </w:p>
              </w:tc>
              <w:tc>
                <w:tcPr>
                  <w:tcW w:w="1276" w:type="dxa"/>
                </w:tcPr>
                <w:p w14:paraId="5B3D6626" w14:textId="3B98CFD9" w:rsidR="00036214" w:rsidRPr="00505285" w:rsidRDefault="00036214">
                  <w:pPr>
                    <w:spacing w:after="0" w:line="240" w:lineRule="auto"/>
                    <w:jc w:val="center"/>
                    <w:rPr>
                      <w:rFonts w:eastAsia="Times New Roman"/>
                      <w:color w:val="000000"/>
                      <w:szCs w:val="20"/>
                      <w:highlight w:val="yellow"/>
                    </w:rPr>
                  </w:pPr>
                  <w:r w:rsidRPr="00505285">
                    <w:rPr>
                      <w:rFonts w:eastAsia="Times New Roman"/>
                      <w:color w:val="000000"/>
                      <w:szCs w:val="20"/>
                    </w:rPr>
                    <w:t xml:space="preserve">100 </w:t>
                  </w:r>
                  <w:r w:rsidR="00667A3D">
                    <w:rPr>
                      <w:rFonts w:eastAsia="Times New Roman"/>
                      <w:color w:val="000000"/>
                      <w:szCs w:val="20"/>
                    </w:rPr>
                    <w:t>–</w:t>
                  </w:r>
                  <w:r w:rsidRPr="00505285">
                    <w:rPr>
                      <w:rFonts w:eastAsia="Times New Roman"/>
                      <w:color w:val="000000"/>
                      <w:szCs w:val="20"/>
                    </w:rPr>
                    <w:t xml:space="preserve"> 120   </w:t>
                  </w:r>
                  <w:r w:rsidRPr="00505285">
                    <w:rPr>
                      <w:rFonts w:eastAsia="Times New Roman"/>
                      <w:color w:val="000000"/>
                      <w:szCs w:val="20"/>
                      <w:highlight w:val="yellow"/>
                    </w:rPr>
                    <w:t xml:space="preserve"> </w:t>
                  </w:r>
                </w:p>
              </w:tc>
            </w:tr>
            <w:tr w:rsidR="00036214" w:rsidRPr="00505285" w14:paraId="1C0C10A1" w14:textId="77777777">
              <w:trPr>
                <w:trHeight w:val="300"/>
              </w:trPr>
              <w:tc>
                <w:tcPr>
                  <w:tcW w:w="2663" w:type="dxa"/>
                  <w:noWrap/>
                </w:tcPr>
                <w:p w14:paraId="44D30BEC" w14:textId="77777777" w:rsidR="00036214" w:rsidRPr="00505285" w:rsidRDefault="00036214">
                  <w:pPr>
                    <w:spacing w:after="0" w:line="240" w:lineRule="auto"/>
                    <w:rPr>
                      <w:rFonts w:eastAsia="Times New Roman"/>
                      <w:color w:val="000000"/>
                      <w:szCs w:val="20"/>
                    </w:rPr>
                  </w:pPr>
                  <w:r w:rsidRPr="00505285">
                    <w:rPr>
                      <w:rFonts w:eastAsia="Arial"/>
                      <w:szCs w:val="20"/>
                    </w:rPr>
                    <w:t>4 to under 9 years</w:t>
                  </w:r>
                </w:p>
              </w:tc>
              <w:tc>
                <w:tcPr>
                  <w:tcW w:w="1559" w:type="dxa"/>
                </w:tcPr>
                <w:p w14:paraId="6F7D2EEE"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560" w:type="dxa"/>
                  <w:noWrap/>
                </w:tcPr>
                <w:p w14:paraId="307E4444"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417" w:type="dxa"/>
                  <w:noWrap/>
                </w:tcPr>
                <w:p w14:paraId="770DBC71"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276" w:type="dxa"/>
                  <w:noWrap/>
                </w:tcPr>
                <w:p w14:paraId="65032FCA" w14:textId="77777777" w:rsidR="00036214" w:rsidRPr="00505285" w:rsidRDefault="00036214">
                  <w:pPr>
                    <w:spacing w:after="0" w:line="240" w:lineRule="auto"/>
                    <w:jc w:val="center"/>
                    <w:rPr>
                      <w:rFonts w:eastAsia="Arial"/>
                      <w:szCs w:val="20"/>
                    </w:rPr>
                  </w:pPr>
                  <w:r w:rsidRPr="00505285">
                    <w:rPr>
                      <w:rFonts w:eastAsia="Arial"/>
                      <w:szCs w:val="20"/>
                    </w:rPr>
                    <w:t>100</w:t>
                  </w:r>
                </w:p>
              </w:tc>
              <w:tc>
                <w:tcPr>
                  <w:tcW w:w="1417" w:type="dxa"/>
                </w:tcPr>
                <w:p w14:paraId="464D3239" w14:textId="77777777" w:rsidR="00036214" w:rsidRPr="00505285" w:rsidRDefault="00036214">
                  <w:pPr>
                    <w:spacing w:after="0" w:line="240" w:lineRule="auto"/>
                    <w:jc w:val="center"/>
                    <w:rPr>
                      <w:rFonts w:eastAsia="Arial"/>
                      <w:szCs w:val="20"/>
                    </w:rPr>
                  </w:pPr>
                  <w:r w:rsidRPr="00505285">
                    <w:rPr>
                      <w:rFonts w:eastAsia="Arial"/>
                      <w:szCs w:val="20"/>
                    </w:rPr>
                    <w:t>108*</w:t>
                  </w:r>
                </w:p>
              </w:tc>
              <w:tc>
                <w:tcPr>
                  <w:tcW w:w="1276" w:type="dxa"/>
                </w:tcPr>
                <w:p w14:paraId="1A8C8662" w14:textId="77777777" w:rsidR="00036214" w:rsidRPr="00505285" w:rsidRDefault="00036214">
                  <w:pPr>
                    <w:spacing w:after="0" w:line="240" w:lineRule="auto"/>
                    <w:jc w:val="center"/>
                    <w:rPr>
                      <w:rFonts w:eastAsia="Arial"/>
                      <w:szCs w:val="20"/>
                      <w:highlight w:val="yellow"/>
                    </w:rPr>
                  </w:pPr>
                  <w:r w:rsidRPr="00505285">
                    <w:rPr>
                      <w:rFonts w:eastAsia="Times New Roman"/>
                      <w:color w:val="000000"/>
                      <w:szCs w:val="20"/>
                    </w:rPr>
                    <w:t>156*</w:t>
                  </w:r>
                </w:p>
              </w:tc>
            </w:tr>
            <w:tr w:rsidR="00036214" w:rsidRPr="00505285" w14:paraId="09D0FF38" w14:textId="77777777">
              <w:trPr>
                <w:trHeight w:val="300"/>
              </w:trPr>
              <w:tc>
                <w:tcPr>
                  <w:tcW w:w="2663" w:type="dxa"/>
                  <w:noWrap/>
                </w:tcPr>
                <w:p w14:paraId="15E6BEB7" w14:textId="77777777" w:rsidR="00036214" w:rsidRPr="00505285" w:rsidRDefault="00036214">
                  <w:pPr>
                    <w:spacing w:after="0" w:line="240" w:lineRule="auto"/>
                    <w:rPr>
                      <w:rFonts w:eastAsia="Times New Roman"/>
                      <w:color w:val="000000"/>
                      <w:szCs w:val="20"/>
                    </w:rPr>
                  </w:pPr>
                  <w:r w:rsidRPr="00505285">
                    <w:rPr>
                      <w:rFonts w:eastAsia="Arial"/>
                      <w:szCs w:val="20"/>
                    </w:rPr>
                    <w:t>9 to under 14 years</w:t>
                  </w:r>
                </w:p>
              </w:tc>
              <w:tc>
                <w:tcPr>
                  <w:tcW w:w="1559" w:type="dxa"/>
                </w:tcPr>
                <w:p w14:paraId="502F3E3B" w14:textId="77777777" w:rsidR="00036214" w:rsidRPr="00505285" w:rsidRDefault="00036214">
                  <w:pPr>
                    <w:spacing w:after="0" w:line="240" w:lineRule="auto"/>
                    <w:jc w:val="center"/>
                    <w:rPr>
                      <w:rFonts w:eastAsia="Arial"/>
                      <w:szCs w:val="20"/>
                    </w:rPr>
                  </w:pPr>
                  <w:r w:rsidRPr="00505285">
                    <w:rPr>
                      <w:rFonts w:eastAsia="Arial"/>
                      <w:szCs w:val="20"/>
                    </w:rPr>
                    <w:t>120</w:t>
                  </w:r>
                </w:p>
              </w:tc>
              <w:tc>
                <w:tcPr>
                  <w:tcW w:w="1560" w:type="dxa"/>
                  <w:noWrap/>
                </w:tcPr>
                <w:p w14:paraId="3F734FC6" w14:textId="77777777" w:rsidR="00036214" w:rsidRPr="00505285" w:rsidRDefault="00036214">
                  <w:pPr>
                    <w:spacing w:after="0" w:line="240" w:lineRule="auto"/>
                    <w:jc w:val="center"/>
                    <w:rPr>
                      <w:rFonts w:eastAsia="Arial"/>
                      <w:szCs w:val="20"/>
                    </w:rPr>
                  </w:pPr>
                  <w:r w:rsidRPr="00505285">
                    <w:rPr>
                      <w:rFonts w:eastAsia="Arial"/>
                      <w:szCs w:val="20"/>
                    </w:rPr>
                    <w:t>120</w:t>
                  </w:r>
                </w:p>
              </w:tc>
              <w:tc>
                <w:tcPr>
                  <w:tcW w:w="1417" w:type="dxa"/>
                  <w:noWrap/>
                </w:tcPr>
                <w:p w14:paraId="45C83FD0" w14:textId="77777777" w:rsidR="00036214" w:rsidRPr="00505285" w:rsidRDefault="00036214">
                  <w:pPr>
                    <w:spacing w:after="0" w:line="240" w:lineRule="auto"/>
                    <w:jc w:val="center"/>
                    <w:rPr>
                      <w:rFonts w:eastAsia="Arial"/>
                      <w:szCs w:val="20"/>
                    </w:rPr>
                  </w:pPr>
                  <w:r w:rsidRPr="00505285">
                    <w:rPr>
                      <w:rFonts w:eastAsia="Arial"/>
                      <w:szCs w:val="20"/>
                    </w:rPr>
                    <w:t>108*</w:t>
                  </w:r>
                </w:p>
              </w:tc>
              <w:tc>
                <w:tcPr>
                  <w:tcW w:w="1276" w:type="dxa"/>
                  <w:noWrap/>
                </w:tcPr>
                <w:p w14:paraId="2E44E315" w14:textId="77777777" w:rsidR="00036214" w:rsidRPr="00505285" w:rsidRDefault="00036214">
                  <w:pPr>
                    <w:spacing w:after="0" w:line="240" w:lineRule="auto"/>
                    <w:jc w:val="center"/>
                    <w:rPr>
                      <w:rFonts w:eastAsia="Arial"/>
                      <w:szCs w:val="20"/>
                    </w:rPr>
                  </w:pPr>
                  <w:r w:rsidRPr="00505285">
                    <w:rPr>
                      <w:rFonts w:eastAsia="Arial"/>
                      <w:szCs w:val="20"/>
                    </w:rPr>
                    <w:t>115*</w:t>
                  </w:r>
                </w:p>
              </w:tc>
              <w:tc>
                <w:tcPr>
                  <w:tcW w:w="1417" w:type="dxa"/>
                </w:tcPr>
                <w:p w14:paraId="23C87246" w14:textId="77777777" w:rsidR="00036214" w:rsidRPr="00505285" w:rsidRDefault="00036214">
                  <w:pPr>
                    <w:spacing w:after="0" w:line="240" w:lineRule="auto"/>
                    <w:jc w:val="center"/>
                    <w:rPr>
                      <w:rFonts w:eastAsia="Arial"/>
                      <w:szCs w:val="20"/>
                    </w:rPr>
                  </w:pPr>
                  <w:r w:rsidRPr="00505285">
                    <w:rPr>
                      <w:rFonts w:eastAsia="Arial"/>
                      <w:szCs w:val="20"/>
                    </w:rPr>
                    <w:t>132*</w:t>
                  </w:r>
                </w:p>
              </w:tc>
              <w:tc>
                <w:tcPr>
                  <w:tcW w:w="1276" w:type="dxa"/>
                </w:tcPr>
                <w:p w14:paraId="5BD4B282" w14:textId="77777777" w:rsidR="00036214" w:rsidRPr="00505285" w:rsidRDefault="00036214">
                  <w:pPr>
                    <w:spacing w:after="0" w:line="240" w:lineRule="auto"/>
                    <w:jc w:val="center"/>
                    <w:rPr>
                      <w:rFonts w:eastAsia="Arial"/>
                      <w:szCs w:val="20"/>
                      <w:highlight w:val="yellow"/>
                    </w:rPr>
                  </w:pPr>
                  <w:r w:rsidRPr="00505285">
                    <w:rPr>
                      <w:rFonts w:eastAsia="Times New Roman"/>
                      <w:color w:val="000000"/>
                      <w:szCs w:val="20"/>
                    </w:rPr>
                    <w:t>176*</w:t>
                  </w:r>
                </w:p>
              </w:tc>
            </w:tr>
            <w:tr w:rsidR="00036214" w:rsidRPr="00505285" w14:paraId="5E5451DC" w14:textId="77777777">
              <w:trPr>
                <w:trHeight w:val="300"/>
              </w:trPr>
              <w:tc>
                <w:tcPr>
                  <w:tcW w:w="2663" w:type="dxa"/>
                  <w:noWrap/>
                </w:tcPr>
                <w:p w14:paraId="31DBC097" w14:textId="77777777" w:rsidR="00036214" w:rsidRPr="00505285" w:rsidRDefault="00036214">
                  <w:pPr>
                    <w:spacing w:after="0" w:line="240" w:lineRule="auto"/>
                    <w:rPr>
                      <w:rFonts w:eastAsia="Times New Roman"/>
                      <w:color w:val="000000"/>
                      <w:szCs w:val="20"/>
                    </w:rPr>
                  </w:pPr>
                  <w:r w:rsidRPr="00505285">
                    <w:rPr>
                      <w:rFonts w:eastAsia="Arial"/>
                      <w:szCs w:val="20"/>
                    </w:rPr>
                    <w:t>14 to under 18 years</w:t>
                  </w:r>
                </w:p>
              </w:tc>
              <w:tc>
                <w:tcPr>
                  <w:tcW w:w="1559" w:type="dxa"/>
                </w:tcPr>
                <w:p w14:paraId="56783200" w14:textId="77777777" w:rsidR="00036214" w:rsidRPr="00505285" w:rsidRDefault="00036214">
                  <w:pPr>
                    <w:spacing w:after="0" w:line="240" w:lineRule="auto"/>
                    <w:jc w:val="center"/>
                    <w:rPr>
                      <w:rFonts w:eastAsia="Arial"/>
                      <w:szCs w:val="20"/>
                    </w:rPr>
                  </w:pPr>
                  <w:r w:rsidRPr="00505285">
                    <w:rPr>
                      <w:rFonts w:eastAsia="Arial"/>
                      <w:szCs w:val="20"/>
                    </w:rPr>
                    <w:t>150</w:t>
                  </w:r>
                </w:p>
              </w:tc>
              <w:tc>
                <w:tcPr>
                  <w:tcW w:w="1560" w:type="dxa"/>
                  <w:noWrap/>
                </w:tcPr>
                <w:p w14:paraId="5C231F56" w14:textId="77777777" w:rsidR="00036214" w:rsidRPr="00505285" w:rsidRDefault="00036214">
                  <w:pPr>
                    <w:spacing w:after="0" w:line="240" w:lineRule="auto"/>
                    <w:jc w:val="center"/>
                    <w:rPr>
                      <w:rFonts w:eastAsia="Arial"/>
                      <w:szCs w:val="20"/>
                    </w:rPr>
                  </w:pPr>
                  <w:r w:rsidRPr="00505285">
                    <w:rPr>
                      <w:rFonts w:eastAsia="Arial"/>
                      <w:szCs w:val="20"/>
                    </w:rPr>
                    <w:t>150</w:t>
                  </w:r>
                </w:p>
              </w:tc>
              <w:tc>
                <w:tcPr>
                  <w:tcW w:w="1417" w:type="dxa"/>
                  <w:noWrap/>
                </w:tcPr>
                <w:p w14:paraId="4A761150" w14:textId="77777777" w:rsidR="00036214" w:rsidRPr="00505285" w:rsidRDefault="00036214">
                  <w:pPr>
                    <w:spacing w:after="0" w:line="240" w:lineRule="auto"/>
                    <w:jc w:val="center"/>
                    <w:rPr>
                      <w:rFonts w:eastAsia="Arial"/>
                      <w:szCs w:val="20"/>
                    </w:rPr>
                  </w:pPr>
                  <w:r w:rsidRPr="00505285">
                    <w:rPr>
                      <w:rFonts w:eastAsia="Arial"/>
                      <w:szCs w:val="20"/>
                    </w:rPr>
                    <w:t>128*</w:t>
                  </w:r>
                </w:p>
              </w:tc>
              <w:tc>
                <w:tcPr>
                  <w:tcW w:w="1276" w:type="dxa"/>
                  <w:noWrap/>
                </w:tcPr>
                <w:p w14:paraId="2E83198F" w14:textId="77777777" w:rsidR="00036214" w:rsidRPr="00505285" w:rsidRDefault="00036214">
                  <w:pPr>
                    <w:spacing w:after="0" w:line="240" w:lineRule="auto"/>
                    <w:jc w:val="center"/>
                    <w:rPr>
                      <w:rFonts w:eastAsia="Arial"/>
                      <w:szCs w:val="20"/>
                    </w:rPr>
                  </w:pPr>
                  <w:r w:rsidRPr="00505285">
                    <w:rPr>
                      <w:rFonts w:eastAsia="Arial"/>
                      <w:szCs w:val="20"/>
                    </w:rPr>
                    <w:t>129*</w:t>
                  </w:r>
                </w:p>
              </w:tc>
              <w:tc>
                <w:tcPr>
                  <w:tcW w:w="1417" w:type="dxa"/>
                </w:tcPr>
                <w:p w14:paraId="76784136" w14:textId="77777777" w:rsidR="00036214" w:rsidRPr="00505285" w:rsidRDefault="00036214">
                  <w:pPr>
                    <w:spacing w:after="0" w:line="240" w:lineRule="auto"/>
                    <w:jc w:val="center"/>
                    <w:rPr>
                      <w:rFonts w:eastAsia="Arial"/>
                      <w:szCs w:val="20"/>
                    </w:rPr>
                  </w:pPr>
                  <w:r w:rsidRPr="00505285">
                    <w:rPr>
                      <w:rFonts w:eastAsia="Arial"/>
                      <w:szCs w:val="20"/>
                    </w:rPr>
                    <w:t>150</w:t>
                  </w:r>
                </w:p>
              </w:tc>
              <w:tc>
                <w:tcPr>
                  <w:tcW w:w="1276" w:type="dxa"/>
                </w:tcPr>
                <w:p w14:paraId="7E6AB2A5" w14:textId="77777777" w:rsidR="00036214" w:rsidRPr="00505285" w:rsidRDefault="00036214">
                  <w:pPr>
                    <w:spacing w:after="0" w:line="240" w:lineRule="auto"/>
                    <w:jc w:val="center"/>
                    <w:rPr>
                      <w:rFonts w:eastAsia="Arial"/>
                      <w:szCs w:val="20"/>
                      <w:highlight w:val="yellow"/>
                    </w:rPr>
                  </w:pPr>
                  <w:r w:rsidRPr="00505285">
                    <w:rPr>
                      <w:rFonts w:eastAsia="Times New Roman"/>
                      <w:color w:val="000000"/>
                      <w:szCs w:val="20"/>
                    </w:rPr>
                    <w:t>200</w:t>
                  </w:r>
                </w:p>
              </w:tc>
            </w:tr>
            <w:tr w:rsidR="00036214" w:rsidRPr="00505285" w14:paraId="0987717A" w14:textId="77777777">
              <w:trPr>
                <w:trHeight w:val="300"/>
              </w:trPr>
              <w:tc>
                <w:tcPr>
                  <w:tcW w:w="11168" w:type="dxa"/>
                  <w:gridSpan w:val="7"/>
                  <w:shd w:val="clear" w:color="auto" w:fill="005F85"/>
                  <w:noWrap/>
                </w:tcPr>
                <w:p w14:paraId="63D550BE" w14:textId="77777777" w:rsidR="00036214" w:rsidRPr="00505285" w:rsidRDefault="00036214">
                  <w:pPr>
                    <w:spacing w:after="0" w:line="240" w:lineRule="auto"/>
                    <w:rPr>
                      <w:rFonts w:eastAsia="Times New Roman"/>
                      <w:color w:val="000000"/>
                      <w:szCs w:val="20"/>
                    </w:rPr>
                  </w:pPr>
                  <w:r w:rsidRPr="00505285">
                    <w:rPr>
                      <w:rFonts w:eastAsia="Times New Roman"/>
                      <w:b/>
                      <w:bCs/>
                      <w:color w:val="FFFFFF"/>
                      <w:szCs w:val="20"/>
                    </w:rPr>
                    <w:t>Age (grouped by school-age):</w:t>
                  </w:r>
                </w:p>
              </w:tc>
            </w:tr>
            <w:tr w:rsidR="00036214" w:rsidRPr="00505285" w14:paraId="4678DDE1" w14:textId="77777777">
              <w:trPr>
                <w:trHeight w:val="300"/>
              </w:trPr>
              <w:tc>
                <w:tcPr>
                  <w:tcW w:w="2663" w:type="dxa"/>
                  <w:noWrap/>
                </w:tcPr>
                <w:p w14:paraId="2C1910BD" w14:textId="77777777" w:rsidR="00036214" w:rsidRPr="00505285" w:rsidRDefault="00036214">
                  <w:pPr>
                    <w:spacing w:after="0" w:line="240" w:lineRule="auto"/>
                    <w:rPr>
                      <w:rFonts w:eastAsia="Arial"/>
                      <w:szCs w:val="20"/>
                    </w:rPr>
                  </w:pPr>
                  <w:r w:rsidRPr="00505285">
                    <w:rPr>
                      <w:rFonts w:eastAsia="Arial"/>
                      <w:szCs w:val="20"/>
                    </w:rPr>
                    <w:t>12 to under 24 months</w:t>
                  </w:r>
                </w:p>
              </w:tc>
              <w:tc>
                <w:tcPr>
                  <w:tcW w:w="1559" w:type="dxa"/>
                </w:tcPr>
                <w:p w14:paraId="58A3FE12"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560" w:type="dxa"/>
                  <w:noWrap/>
                </w:tcPr>
                <w:p w14:paraId="2656E975"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417" w:type="dxa"/>
                  <w:noWrap/>
                </w:tcPr>
                <w:p w14:paraId="6F46FD13"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276" w:type="dxa"/>
                  <w:noWrap/>
                </w:tcPr>
                <w:p w14:paraId="1167BE5D" w14:textId="77777777" w:rsidR="00036214" w:rsidRPr="00505285" w:rsidRDefault="00036214">
                  <w:pPr>
                    <w:spacing w:after="0" w:line="240" w:lineRule="auto"/>
                    <w:jc w:val="center"/>
                    <w:rPr>
                      <w:rFonts w:eastAsia="Arial"/>
                      <w:szCs w:val="20"/>
                    </w:rPr>
                  </w:pPr>
                  <w:r w:rsidRPr="00505285">
                    <w:rPr>
                      <w:rFonts w:eastAsia="Arial"/>
                      <w:szCs w:val="20"/>
                    </w:rPr>
                    <w:t>100</w:t>
                  </w:r>
                </w:p>
              </w:tc>
              <w:tc>
                <w:tcPr>
                  <w:tcW w:w="1417" w:type="dxa"/>
                </w:tcPr>
                <w:p w14:paraId="53FE9E05"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276" w:type="dxa"/>
                </w:tcPr>
                <w:p w14:paraId="6A011469" w14:textId="77777777" w:rsidR="00036214" w:rsidRPr="00505285" w:rsidRDefault="00036214">
                  <w:pPr>
                    <w:spacing w:after="0" w:line="240" w:lineRule="auto"/>
                    <w:jc w:val="center"/>
                    <w:rPr>
                      <w:rFonts w:eastAsia="Times New Roman"/>
                      <w:color w:val="000000"/>
                      <w:szCs w:val="20"/>
                    </w:rPr>
                  </w:pPr>
                  <w:r w:rsidRPr="00505285">
                    <w:rPr>
                      <w:rFonts w:eastAsia="Times New Roman"/>
                      <w:color w:val="000000"/>
                      <w:szCs w:val="20"/>
                    </w:rPr>
                    <w:t xml:space="preserve">100   </w:t>
                  </w:r>
                  <w:r w:rsidRPr="00505285">
                    <w:rPr>
                      <w:rFonts w:eastAsia="Times New Roman"/>
                      <w:color w:val="000000"/>
                      <w:szCs w:val="20"/>
                      <w:highlight w:val="yellow"/>
                    </w:rPr>
                    <w:t xml:space="preserve"> </w:t>
                  </w:r>
                </w:p>
              </w:tc>
            </w:tr>
            <w:tr w:rsidR="00036214" w:rsidRPr="00505285" w14:paraId="53FFFD2D" w14:textId="77777777">
              <w:trPr>
                <w:trHeight w:val="300"/>
              </w:trPr>
              <w:tc>
                <w:tcPr>
                  <w:tcW w:w="2663" w:type="dxa"/>
                  <w:noWrap/>
                </w:tcPr>
                <w:p w14:paraId="25E4E37F" w14:textId="77777777" w:rsidR="00036214" w:rsidRPr="00505285" w:rsidRDefault="00036214">
                  <w:pPr>
                    <w:spacing w:after="0" w:line="240" w:lineRule="auto"/>
                    <w:rPr>
                      <w:rFonts w:eastAsia="Arial"/>
                      <w:szCs w:val="20"/>
                    </w:rPr>
                  </w:pPr>
                  <w:r w:rsidRPr="00505285">
                    <w:rPr>
                      <w:rFonts w:eastAsia="Arial"/>
                      <w:szCs w:val="20"/>
                    </w:rPr>
                    <w:t>2 to under 5 years</w:t>
                  </w:r>
                </w:p>
              </w:tc>
              <w:tc>
                <w:tcPr>
                  <w:tcW w:w="1559" w:type="dxa"/>
                </w:tcPr>
                <w:p w14:paraId="58F8420C"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560" w:type="dxa"/>
                  <w:noWrap/>
                </w:tcPr>
                <w:p w14:paraId="470AA811"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417" w:type="dxa"/>
                  <w:noWrap/>
                </w:tcPr>
                <w:p w14:paraId="7EDE689E"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276" w:type="dxa"/>
                  <w:noWrap/>
                </w:tcPr>
                <w:p w14:paraId="35606A70" w14:textId="77777777" w:rsidR="00036214" w:rsidRPr="00505285" w:rsidRDefault="00036214">
                  <w:pPr>
                    <w:spacing w:after="0" w:line="240" w:lineRule="auto"/>
                    <w:jc w:val="center"/>
                    <w:rPr>
                      <w:rFonts w:eastAsia="Arial"/>
                      <w:szCs w:val="20"/>
                    </w:rPr>
                  </w:pPr>
                  <w:r w:rsidRPr="00505285">
                    <w:rPr>
                      <w:rFonts w:eastAsia="Arial"/>
                      <w:szCs w:val="20"/>
                    </w:rPr>
                    <w:t>100</w:t>
                  </w:r>
                </w:p>
              </w:tc>
              <w:tc>
                <w:tcPr>
                  <w:tcW w:w="1417" w:type="dxa"/>
                </w:tcPr>
                <w:p w14:paraId="4EE01A09" w14:textId="77777777" w:rsidR="00036214" w:rsidRPr="00505285" w:rsidRDefault="00036214">
                  <w:pPr>
                    <w:spacing w:after="0" w:line="240" w:lineRule="auto"/>
                    <w:jc w:val="center"/>
                    <w:rPr>
                      <w:rFonts w:eastAsia="Arial"/>
                      <w:szCs w:val="20"/>
                    </w:rPr>
                  </w:pPr>
                  <w:r w:rsidRPr="00505285">
                    <w:rPr>
                      <w:rFonts w:eastAsia="Arial"/>
                      <w:szCs w:val="20"/>
                    </w:rPr>
                    <w:t>90</w:t>
                  </w:r>
                </w:p>
              </w:tc>
              <w:tc>
                <w:tcPr>
                  <w:tcW w:w="1276" w:type="dxa"/>
                </w:tcPr>
                <w:p w14:paraId="0653B2D3" w14:textId="77777777" w:rsidR="00036214" w:rsidRPr="00505285" w:rsidRDefault="00036214">
                  <w:pPr>
                    <w:spacing w:after="0" w:line="240" w:lineRule="auto"/>
                    <w:jc w:val="center"/>
                    <w:rPr>
                      <w:rFonts w:eastAsia="Times New Roman"/>
                      <w:color w:val="000000"/>
                      <w:szCs w:val="20"/>
                    </w:rPr>
                  </w:pPr>
                  <w:r w:rsidRPr="00505285">
                    <w:rPr>
                      <w:rFonts w:eastAsia="Times New Roman"/>
                      <w:color w:val="000000"/>
                      <w:szCs w:val="20"/>
                    </w:rPr>
                    <w:t>107*</w:t>
                  </w:r>
                </w:p>
              </w:tc>
            </w:tr>
            <w:tr w:rsidR="00036214" w:rsidRPr="00505285" w14:paraId="2267079F" w14:textId="77777777">
              <w:trPr>
                <w:trHeight w:val="300"/>
              </w:trPr>
              <w:tc>
                <w:tcPr>
                  <w:tcW w:w="2663" w:type="dxa"/>
                  <w:noWrap/>
                </w:tcPr>
                <w:p w14:paraId="1EA08DDA" w14:textId="77777777" w:rsidR="00036214" w:rsidRPr="00505285" w:rsidRDefault="00036214">
                  <w:pPr>
                    <w:spacing w:after="0" w:line="240" w:lineRule="auto"/>
                    <w:rPr>
                      <w:rFonts w:eastAsia="Arial"/>
                      <w:szCs w:val="20"/>
                    </w:rPr>
                  </w:pPr>
                  <w:r w:rsidRPr="00505285">
                    <w:rPr>
                      <w:rFonts w:eastAsia="Arial"/>
                      <w:szCs w:val="20"/>
                    </w:rPr>
                    <w:t>5 to under 12 years</w:t>
                  </w:r>
                </w:p>
              </w:tc>
              <w:tc>
                <w:tcPr>
                  <w:tcW w:w="1559" w:type="dxa"/>
                </w:tcPr>
                <w:p w14:paraId="106EAA42" w14:textId="77777777" w:rsidR="00036214" w:rsidRPr="00505285" w:rsidRDefault="00036214">
                  <w:pPr>
                    <w:spacing w:after="0" w:line="240" w:lineRule="auto"/>
                    <w:jc w:val="center"/>
                    <w:rPr>
                      <w:rFonts w:eastAsia="Arial"/>
                      <w:szCs w:val="20"/>
                    </w:rPr>
                  </w:pPr>
                  <w:r w:rsidRPr="00505285">
                    <w:rPr>
                      <w:rFonts w:eastAsia="Arial"/>
                      <w:szCs w:val="20"/>
                    </w:rPr>
                    <w:t>110</w:t>
                  </w:r>
                </w:p>
              </w:tc>
              <w:tc>
                <w:tcPr>
                  <w:tcW w:w="1560" w:type="dxa"/>
                  <w:noWrap/>
                </w:tcPr>
                <w:p w14:paraId="00865316" w14:textId="77777777" w:rsidR="00036214" w:rsidRPr="00505285" w:rsidRDefault="00036214">
                  <w:pPr>
                    <w:spacing w:after="0" w:line="240" w:lineRule="auto"/>
                    <w:jc w:val="center"/>
                    <w:rPr>
                      <w:rFonts w:eastAsia="Arial"/>
                      <w:szCs w:val="20"/>
                    </w:rPr>
                  </w:pPr>
                  <w:r w:rsidRPr="00505285">
                    <w:rPr>
                      <w:rFonts w:eastAsia="Arial"/>
                      <w:szCs w:val="20"/>
                    </w:rPr>
                    <w:t>103*</w:t>
                  </w:r>
                </w:p>
              </w:tc>
              <w:tc>
                <w:tcPr>
                  <w:tcW w:w="1417" w:type="dxa"/>
                  <w:noWrap/>
                </w:tcPr>
                <w:p w14:paraId="3C2E33CE" w14:textId="77777777" w:rsidR="00036214" w:rsidRPr="00505285" w:rsidRDefault="00036214">
                  <w:pPr>
                    <w:spacing w:after="0" w:line="240" w:lineRule="auto"/>
                    <w:jc w:val="center"/>
                    <w:rPr>
                      <w:rFonts w:eastAsia="Arial"/>
                      <w:szCs w:val="20"/>
                    </w:rPr>
                  </w:pPr>
                  <w:r w:rsidRPr="00505285">
                    <w:rPr>
                      <w:rFonts w:eastAsia="Arial"/>
                      <w:szCs w:val="20"/>
                    </w:rPr>
                    <w:t>94*</w:t>
                  </w:r>
                </w:p>
              </w:tc>
              <w:tc>
                <w:tcPr>
                  <w:tcW w:w="1276" w:type="dxa"/>
                  <w:noWrap/>
                </w:tcPr>
                <w:p w14:paraId="5386443F" w14:textId="77777777" w:rsidR="00036214" w:rsidRPr="00505285" w:rsidRDefault="00036214">
                  <w:pPr>
                    <w:spacing w:after="0" w:line="240" w:lineRule="auto"/>
                    <w:jc w:val="center"/>
                    <w:rPr>
                      <w:rFonts w:eastAsia="Arial"/>
                      <w:szCs w:val="20"/>
                    </w:rPr>
                  </w:pPr>
                  <w:r w:rsidRPr="00505285">
                    <w:rPr>
                      <w:rFonts w:eastAsia="Arial"/>
                      <w:szCs w:val="20"/>
                    </w:rPr>
                    <w:t>103*</w:t>
                  </w:r>
                </w:p>
              </w:tc>
              <w:tc>
                <w:tcPr>
                  <w:tcW w:w="1417" w:type="dxa"/>
                </w:tcPr>
                <w:p w14:paraId="60F50518" w14:textId="77777777" w:rsidR="00036214" w:rsidRPr="00505285" w:rsidRDefault="00036214">
                  <w:pPr>
                    <w:spacing w:after="0" w:line="240" w:lineRule="auto"/>
                    <w:jc w:val="center"/>
                    <w:rPr>
                      <w:rFonts w:eastAsia="Arial"/>
                      <w:szCs w:val="20"/>
                    </w:rPr>
                  </w:pPr>
                  <w:r w:rsidRPr="00505285">
                    <w:rPr>
                      <w:rFonts w:eastAsia="Arial"/>
                      <w:szCs w:val="20"/>
                    </w:rPr>
                    <w:t>120</w:t>
                  </w:r>
                </w:p>
              </w:tc>
              <w:tc>
                <w:tcPr>
                  <w:tcW w:w="1276" w:type="dxa"/>
                </w:tcPr>
                <w:p w14:paraId="32D14C40" w14:textId="77777777" w:rsidR="00036214" w:rsidRPr="00505285" w:rsidRDefault="00036214">
                  <w:pPr>
                    <w:spacing w:after="0" w:line="240" w:lineRule="auto"/>
                    <w:jc w:val="center"/>
                    <w:rPr>
                      <w:rFonts w:eastAsia="Times New Roman"/>
                      <w:color w:val="000000"/>
                      <w:szCs w:val="20"/>
                    </w:rPr>
                  </w:pPr>
                  <w:r w:rsidRPr="00505285">
                    <w:rPr>
                      <w:rFonts w:eastAsia="Times New Roman"/>
                      <w:color w:val="000000"/>
                      <w:szCs w:val="20"/>
                    </w:rPr>
                    <w:t>146*</w:t>
                  </w:r>
                </w:p>
              </w:tc>
            </w:tr>
            <w:tr w:rsidR="00036214" w:rsidRPr="00505285" w14:paraId="6E0540CB" w14:textId="77777777">
              <w:trPr>
                <w:trHeight w:val="300"/>
              </w:trPr>
              <w:tc>
                <w:tcPr>
                  <w:tcW w:w="2663" w:type="dxa"/>
                  <w:noWrap/>
                </w:tcPr>
                <w:p w14:paraId="659C2677" w14:textId="77777777" w:rsidR="00036214" w:rsidRPr="00505285" w:rsidRDefault="00036214">
                  <w:pPr>
                    <w:spacing w:after="0" w:line="240" w:lineRule="auto"/>
                    <w:rPr>
                      <w:rFonts w:eastAsia="Arial"/>
                      <w:szCs w:val="20"/>
                    </w:rPr>
                  </w:pPr>
                  <w:r w:rsidRPr="00505285">
                    <w:rPr>
                      <w:rFonts w:eastAsia="Arial"/>
                      <w:szCs w:val="20"/>
                    </w:rPr>
                    <w:t>12 to under 18 years</w:t>
                  </w:r>
                </w:p>
              </w:tc>
              <w:tc>
                <w:tcPr>
                  <w:tcW w:w="1559" w:type="dxa"/>
                </w:tcPr>
                <w:p w14:paraId="327C9CEA" w14:textId="77777777" w:rsidR="00036214" w:rsidRPr="00505285" w:rsidRDefault="00036214">
                  <w:pPr>
                    <w:spacing w:after="0" w:line="240" w:lineRule="auto"/>
                    <w:jc w:val="center"/>
                    <w:rPr>
                      <w:rFonts w:eastAsia="Arial"/>
                      <w:szCs w:val="20"/>
                    </w:rPr>
                  </w:pPr>
                  <w:r w:rsidRPr="00505285">
                    <w:rPr>
                      <w:rFonts w:eastAsia="Arial"/>
                      <w:szCs w:val="20"/>
                    </w:rPr>
                    <w:t>140</w:t>
                  </w:r>
                </w:p>
              </w:tc>
              <w:tc>
                <w:tcPr>
                  <w:tcW w:w="1560" w:type="dxa"/>
                  <w:noWrap/>
                </w:tcPr>
                <w:p w14:paraId="719C963F" w14:textId="77777777" w:rsidR="00036214" w:rsidRPr="00505285" w:rsidRDefault="00036214">
                  <w:pPr>
                    <w:spacing w:after="0" w:line="240" w:lineRule="auto"/>
                    <w:jc w:val="center"/>
                    <w:rPr>
                      <w:rFonts w:eastAsia="Arial"/>
                      <w:szCs w:val="20"/>
                    </w:rPr>
                  </w:pPr>
                  <w:r w:rsidRPr="00505285">
                    <w:rPr>
                      <w:rFonts w:eastAsia="Arial"/>
                      <w:szCs w:val="20"/>
                    </w:rPr>
                    <w:t>140*</w:t>
                  </w:r>
                </w:p>
              </w:tc>
              <w:tc>
                <w:tcPr>
                  <w:tcW w:w="1417" w:type="dxa"/>
                  <w:noWrap/>
                </w:tcPr>
                <w:p w14:paraId="1F3CD58A" w14:textId="77777777" w:rsidR="00036214" w:rsidRPr="00505285" w:rsidRDefault="00036214">
                  <w:pPr>
                    <w:spacing w:after="0" w:line="240" w:lineRule="auto"/>
                    <w:jc w:val="center"/>
                    <w:rPr>
                      <w:rFonts w:eastAsia="Arial"/>
                      <w:szCs w:val="20"/>
                    </w:rPr>
                  </w:pPr>
                  <w:r w:rsidRPr="00505285">
                    <w:rPr>
                      <w:rFonts w:eastAsia="Arial"/>
                      <w:szCs w:val="20"/>
                    </w:rPr>
                    <w:t>125*</w:t>
                  </w:r>
                </w:p>
              </w:tc>
              <w:tc>
                <w:tcPr>
                  <w:tcW w:w="1276" w:type="dxa"/>
                  <w:noWrap/>
                </w:tcPr>
                <w:p w14:paraId="7BD8E346" w14:textId="77777777" w:rsidR="00036214" w:rsidRPr="00505285" w:rsidRDefault="00036214">
                  <w:pPr>
                    <w:spacing w:after="0" w:line="240" w:lineRule="auto"/>
                    <w:jc w:val="center"/>
                    <w:rPr>
                      <w:rFonts w:eastAsia="Arial"/>
                      <w:szCs w:val="20"/>
                    </w:rPr>
                  </w:pPr>
                  <w:r w:rsidRPr="00505285">
                    <w:rPr>
                      <w:rFonts w:eastAsia="Arial"/>
                      <w:szCs w:val="20"/>
                    </w:rPr>
                    <w:t>128*</w:t>
                  </w:r>
                </w:p>
              </w:tc>
              <w:tc>
                <w:tcPr>
                  <w:tcW w:w="1417" w:type="dxa"/>
                </w:tcPr>
                <w:p w14:paraId="4A93F3F5" w14:textId="77777777" w:rsidR="00036214" w:rsidRPr="00505285" w:rsidRDefault="00036214">
                  <w:pPr>
                    <w:spacing w:after="0" w:line="240" w:lineRule="auto"/>
                    <w:jc w:val="center"/>
                    <w:rPr>
                      <w:rFonts w:eastAsia="Arial"/>
                      <w:szCs w:val="20"/>
                    </w:rPr>
                  </w:pPr>
                  <w:r w:rsidRPr="00505285">
                    <w:rPr>
                      <w:rFonts w:eastAsia="Arial"/>
                      <w:szCs w:val="20"/>
                    </w:rPr>
                    <w:t>145*</w:t>
                  </w:r>
                </w:p>
              </w:tc>
              <w:tc>
                <w:tcPr>
                  <w:tcW w:w="1276" w:type="dxa"/>
                </w:tcPr>
                <w:p w14:paraId="2902DDD7" w14:textId="77777777" w:rsidR="00036214" w:rsidRPr="00505285" w:rsidRDefault="00036214">
                  <w:pPr>
                    <w:spacing w:after="0" w:line="240" w:lineRule="auto"/>
                    <w:jc w:val="center"/>
                    <w:rPr>
                      <w:rFonts w:eastAsia="Times New Roman"/>
                      <w:color w:val="000000"/>
                      <w:szCs w:val="20"/>
                    </w:rPr>
                  </w:pPr>
                  <w:r w:rsidRPr="00505285">
                    <w:rPr>
                      <w:rFonts w:eastAsia="Times New Roman"/>
                      <w:color w:val="000000"/>
                      <w:szCs w:val="20"/>
                    </w:rPr>
                    <w:t>197*</w:t>
                  </w:r>
                </w:p>
              </w:tc>
            </w:tr>
          </w:tbl>
          <w:p w14:paraId="5A9394B8" w14:textId="77777777" w:rsidR="00036214" w:rsidRPr="00505285" w:rsidRDefault="00036214">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Times New Roman"/>
                <w:szCs w:val="20"/>
              </w:rPr>
            </w:pPr>
          </w:p>
          <w:p w14:paraId="6ABD431D" w14:textId="77777777" w:rsidR="00036214" w:rsidRPr="00505285" w:rsidRDefault="00036214">
            <w:p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eastAsia="Times New Roman" w:cs="Arial"/>
                <w:iCs/>
                <w:szCs w:val="20"/>
                <w:highlight w:val="yellow"/>
              </w:rPr>
            </w:pPr>
            <w:r w:rsidRPr="00505285">
              <w:rPr>
                <w:rFonts w:eastAsia="Times New Roman" w:cs="Times New Roman"/>
                <w:szCs w:val="20"/>
              </w:rPr>
              <w:t xml:space="preserve">Irrespective of whether an EAR and RDI is retained, or an AI set, there is good alignment between the proposed values and recommended iodine intake for children and adolescents in comparable international jurisdictions. The type of NRV (EAR &amp; RDI vs AI) varies across jurisdictions, and there is some variation in the recommended intakes for each age group, reflecting the differing public health nutrition contexts of each country.  Values in 5 to under </w:t>
            </w:r>
            <w:proofErr w:type="gramStart"/>
            <w:r w:rsidRPr="00505285">
              <w:rPr>
                <w:rFonts w:eastAsia="Times New Roman" w:cs="Times New Roman"/>
                <w:szCs w:val="20"/>
              </w:rPr>
              <w:t>12 year-olds</w:t>
            </w:r>
            <w:proofErr w:type="gramEnd"/>
            <w:r w:rsidRPr="00505285">
              <w:rPr>
                <w:rFonts w:eastAsia="Times New Roman" w:cs="Times New Roman"/>
                <w:szCs w:val="20"/>
              </w:rPr>
              <w:t xml:space="preserve"> are on the higher end of comparable recommendations, however this reflects the scaling up of this recommendation to ensure that the needs of older children in the age band continue to be met.</w:t>
            </w:r>
          </w:p>
        </w:tc>
      </w:tr>
      <w:tr w:rsidR="00036214" w:rsidRPr="00505285" w14:paraId="7CE530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hideMark/>
          </w:tcPr>
          <w:p w14:paraId="068BBA62" w14:textId="77777777" w:rsidR="00036214" w:rsidRPr="00505285" w:rsidRDefault="00036214">
            <w:pPr>
              <w:rPr>
                <w:rFonts w:eastAsia="Arial" w:cs="Helvetica"/>
                <w:szCs w:val="20"/>
              </w:rPr>
            </w:pPr>
            <w:r w:rsidRPr="00505285">
              <w:rPr>
                <w:rFonts w:eastAsia="Arial" w:cs="Arial"/>
                <w:szCs w:val="20"/>
              </w:rPr>
              <w:lastRenderedPageBreak/>
              <w:t>Balance of effects (benefits and harms)</w:t>
            </w:r>
          </w:p>
          <w:p w14:paraId="3979F8F9" w14:textId="77777777" w:rsidR="00036214" w:rsidRPr="00505285" w:rsidRDefault="00036214">
            <w:pPr>
              <w:ind w:right="-1346"/>
              <w:rPr>
                <w:rFonts w:eastAsia="Times New Roman" w:cs="Arial"/>
                <w:szCs w:val="20"/>
              </w:rPr>
            </w:pPr>
          </w:p>
        </w:tc>
        <w:tc>
          <w:tcPr>
            <w:tcW w:w="5889" w:type="dxa"/>
            <w:tcBorders>
              <w:left w:val="single" w:sz="4" w:space="0" w:color="77BCD9"/>
            </w:tcBorders>
          </w:tcPr>
          <w:p w14:paraId="17514B37" w14:textId="77777777" w:rsidR="00036214" w:rsidRPr="00505285"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The current recommendations are protective of public health. There is no physiological or epidemiologic evidence to suggest that the current recommendations do not reflect requirements for preventing deficiency.</w:t>
            </w:r>
          </w:p>
          <w:p w14:paraId="24BF3FE5" w14:textId="77777777" w:rsidR="00036214" w:rsidRPr="00505285" w:rsidRDefault="00036214">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505285">
              <w:rPr>
                <w:rFonts w:eastAsia="Times New Roman" w:cs="Arial"/>
                <w:iCs/>
                <w:szCs w:val="20"/>
              </w:rPr>
              <w:t xml:space="preserve">Presenting NRV recommendations for iodine as an EAR and RDI may imply a degree of certainty in an NRV for which the underpinning evidence base is more limited. </w:t>
            </w:r>
          </w:p>
          <w:p w14:paraId="5802EF89" w14:textId="77777777" w:rsidR="00036214" w:rsidRPr="00505285" w:rsidRDefault="00036214">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505285">
              <w:rPr>
                <w:rFonts w:eastAsia="Times New Roman" w:cs="Arial"/>
                <w:iCs/>
                <w:szCs w:val="20"/>
              </w:rPr>
              <w:t>However, comparison of food system modelling and estimated dietary intakes against the EAR provides a critical measure for monitoring and evaluating public health interventions, such as mandatory fortification. This is an important consideration, given the current iodine fortification program in Australia and New Zealand.</w:t>
            </w:r>
          </w:p>
          <w:p w14:paraId="03AC2F38" w14:textId="77777777" w:rsidR="00036214" w:rsidRPr="00505285" w:rsidRDefault="00036214">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lightGray"/>
              </w:rPr>
            </w:pPr>
          </w:p>
        </w:tc>
        <w:tc>
          <w:tcPr>
            <w:tcW w:w="0" w:type="dxa"/>
          </w:tcPr>
          <w:p w14:paraId="7F9C1FA7" w14:textId="77777777" w:rsidR="00036214" w:rsidRPr="00505285"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The proposed AI recommendations will be protective of public health and align with the current recommended RDIs. There is no physiological or epidemiologic evidence to suggest that the current recommendations do not reflect requirements for preventing deficiency.</w:t>
            </w:r>
          </w:p>
          <w:p w14:paraId="23773F3C" w14:textId="77777777" w:rsidR="00036214" w:rsidRPr="00505285"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Revising the recommendations from an EAR and RDI to an AI communicates uncertainties in the evidence base more clearly.</w:t>
            </w:r>
          </w:p>
          <w:p w14:paraId="30C19420" w14:textId="42D66B7E" w:rsidR="00036214" w:rsidRPr="00505285"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However, the AI cannot be used to determine the prevalence of inadequate nutrient intakes within a population. Although a low prevalence of inadequacy may be presumed in populations with mean intakes around or above the AI, for those with intakes below the AI, adequacy cannot be determined (US IoM 2000). Consequently, removing the EAR in favour of an AI impedes analysis of population inadequacy for iodine using dietary intake data compared with EAR. This analysis is often performed by researchers and policymakers </w:t>
            </w:r>
            <w:r w:rsidR="00667A3D">
              <w:rPr>
                <w:rFonts w:eastAsia="Times New Roman" w:cs="Arial"/>
                <w:szCs w:val="20"/>
              </w:rPr>
              <w:t>–</w:t>
            </w:r>
            <w:r w:rsidRPr="00505285">
              <w:rPr>
                <w:rFonts w:eastAsia="Times New Roman" w:cs="Arial"/>
                <w:szCs w:val="20"/>
              </w:rPr>
              <w:t xml:space="preserve"> including in the Australian Health Survey.</w:t>
            </w:r>
          </w:p>
          <w:p w14:paraId="0D5C535D" w14:textId="77777777" w:rsidR="00036214" w:rsidRPr="00505285"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505285">
              <w:rPr>
                <w:rFonts w:eastAsia="Times New Roman" w:cs="Arial"/>
                <w:szCs w:val="20"/>
              </w:rPr>
              <w:t xml:space="preserve">Dietary intake is not a reliable measure of iodine intake in Australia and New Zealand, given wide variability of iodine in the food supply, limitations in food composition data and the need to factor in </w:t>
            </w:r>
            <w:r w:rsidRPr="00505285">
              <w:rPr>
                <w:rFonts w:eastAsia="Times New Roman" w:cs="Times New Roman"/>
                <w:szCs w:val="20"/>
              </w:rPr>
              <w:t xml:space="preserve">use of iodised salt at the table and in cooking. In contrast, median UIC is an established biomarker for evaluating population iodine status (WHO 2007) and is routinely measured in research and in the Australian National Health Measures Survey. The 2008/09 New Zealand National Nutrition Survey used urinary iodine measures of status over dietary intake data, owing to concerns about the accuracy of food composition data for estimating intake (University of Otago and </w:t>
            </w:r>
            <w:proofErr w:type="spellStart"/>
            <w:r w:rsidRPr="00505285">
              <w:rPr>
                <w:rFonts w:eastAsia="Times New Roman" w:cs="Times New Roman"/>
                <w:szCs w:val="20"/>
              </w:rPr>
              <w:t>NZMoH</w:t>
            </w:r>
            <w:proofErr w:type="spellEnd"/>
            <w:r w:rsidRPr="00505285">
              <w:rPr>
                <w:rFonts w:eastAsia="Times New Roman" w:cs="Times New Roman"/>
                <w:szCs w:val="20"/>
              </w:rPr>
              <w:t xml:space="preserve"> 2011). Consequently, removal of the EAR is not expected to impede population monitoring of iodine status.</w:t>
            </w:r>
          </w:p>
          <w:p w14:paraId="29F6D20E" w14:textId="77777777" w:rsidR="00036214" w:rsidRPr="00505285" w:rsidRDefault="00036214">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lastRenderedPageBreak/>
              <w:t xml:space="preserve">However, </w:t>
            </w:r>
            <w:r w:rsidRPr="00505285">
              <w:rPr>
                <w:rFonts w:eastAsia="Times New Roman" w:cs="Arial"/>
                <w:iCs/>
                <w:szCs w:val="20"/>
              </w:rPr>
              <w:t>comparison of food system modelling and estimated dietary intakes against the EAR provides a critical measure for monitoring and evaluating public health interventions, such as mandatory fortification. This analysis would be precluded, if the EAR were replaced with an AI, for the reasons stated above.</w:t>
            </w:r>
          </w:p>
        </w:tc>
      </w:tr>
      <w:tr w:rsidR="00036214" w:rsidRPr="00505285" w14:paraId="47BCE11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tcPr>
          <w:p w14:paraId="7F84D71B" w14:textId="77777777" w:rsidR="00036214" w:rsidRPr="00505285" w:rsidRDefault="00036214">
            <w:pPr>
              <w:rPr>
                <w:rFonts w:eastAsia="Arial" w:cs="Arial"/>
                <w:szCs w:val="20"/>
              </w:rPr>
            </w:pPr>
            <w:r w:rsidRPr="00505285">
              <w:rPr>
                <w:rFonts w:eastAsia="Arial" w:cs="Arial"/>
                <w:szCs w:val="20"/>
              </w:rPr>
              <w:lastRenderedPageBreak/>
              <w:t>Certainty of the evidence</w:t>
            </w:r>
          </w:p>
        </w:tc>
        <w:tc>
          <w:tcPr>
            <w:tcW w:w="12551" w:type="dxa"/>
            <w:gridSpan w:val="2"/>
            <w:tcBorders>
              <w:left w:val="single" w:sz="4" w:space="0" w:color="77BCD9"/>
            </w:tcBorders>
          </w:tcPr>
          <w:p w14:paraId="263D1C13" w14:textId="77777777" w:rsidR="00036214" w:rsidRPr="00505285" w:rsidRDefault="00036214">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 xml:space="preserve">Requirements for children and adolescents are estimated based on scaling adult requirements, due to a lack of available evidence in children and adolescents. </w:t>
            </w:r>
          </w:p>
          <w:p w14:paraId="116AC2B9" w14:textId="77777777" w:rsidR="00036214" w:rsidRPr="00505285" w:rsidRDefault="00036214">
            <w:pPr>
              <w:spacing w:before="120" w:after="0"/>
              <w:ind w:right="3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 xml:space="preserve">The evidence for the iodine intake required to for normal growth and development is uncertain. </w:t>
            </w:r>
          </w:p>
        </w:tc>
      </w:tr>
      <w:tr w:rsidR="00036214" w:rsidRPr="00505285" w14:paraId="35A983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tcPr>
          <w:p w14:paraId="341302F2" w14:textId="77777777" w:rsidR="00036214" w:rsidRPr="00505285" w:rsidRDefault="00036214">
            <w:pPr>
              <w:rPr>
                <w:rFonts w:eastAsia="Arial" w:cs="Arial"/>
                <w:szCs w:val="20"/>
              </w:rPr>
            </w:pPr>
            <w:r w:rsidRPr="00505285">
              <w:rPr>
                <w:rFonts w:eastAsia="Arial" w:cs="Arial"/>
                <w:szCs w:val="20"/>
              </w:rPr>
              <w:t>Values, preferences and feasibility (consumers, communities)</w:t>
            </w:r>
          </w:p>
        </w:tc>
        <w:tc>
          <w:tcPr>
            <w:tcW w:w="12551" w:type="dxa"/>
            <w:gridSpan w:val="2"/>
            <w:tcBorders>
              <w:left w:val="single" w:sz="4" w:space="0" w:color="77BCD9"/>
            </w:tcBorders>
          </w:tcPr>
          <w:p w14:paraId="5864D97A" w14:textId="493BF9E5" w:rsidR="00036214" w:rsidRPr="00505285" w:rsidRDefault="00036214">
            <w:pPr>
              <w:spacing w:before="12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Data from the food modelling system (NHMRC, 2011) suggest that current RDIs </w:t>
            </w:r>
            <w:r w:rsidR="00667A3D">
              <w:rPr>
                <w:rFonts w:eastAsia="Times New Roman" w:cs="Arial"/>
                <w:szCs w:val="20"/>
              </w:rPr>
              <w:t>–</w:t>
            </w:r>
            <w:r w:rsidRPr="00505285">
              <w:rPr>
                <w:rFonts w:eastAsia="Times New Roman" w:cs="Arial"/>
                <w:szCs w:val="20"/>
              </w:rPr>
              <w:t xml:space="preserve"> or proposed AI recommendations -are feasible to achieve across all age groupings. Relevant data are shown at Table 11.</w:t>
            </w:r>
          </w:p>
          <w:p w14:paraId="2FF7F5D0" w14:textId="09A0A308" w:rsidR="00036214" w:rsidRPr="00505285" w:rsidRDefault="00036214">
            <w:pPr>
              <w:keepNext/>
              <w:spacing w:after="200"/>
              <w:cnfStyle w:val="000000100000" w:firstRow="0" w:lastRow="0" w:firstColumn="0" w:lastColumn="0" w:oddVBand="0" w:evenVBand="0" w:oddHBand="1" w:evenHBand="0" w:firstRowFirstColumn="0" w:firstRowLastColumn="0" w:lastRowFirstColumn="0" w:lastRowLastColumn="0"/>
              <w:rPr>
                <w:rFonts w:eastAsia="Arial" w:cs="Times New Roman"/>
                <w:iCs/>
                <w:caps/>
                <w:szCs w:val="20"/>
              </w:rPr>
            </w:pPr>
            <w:r w:rsidRPr="00505285">
              <w:rPr>
                <w:rFonts w:eastAsia="Arial" w:cs="Times New Roman"/>
                <w:iCs/>
                <w:caps/>
                <w:szCs w:val="20"/>
              </w:rPr>
              <w:t xml:space="preserve">Table 11 </w:t>
            </w:r>
            <w:r w:rsidR="00667A3D">
              <w:rPr>
                <w:rFonts w:eastAsia="Arial" w:cs="Times New Roman"/>
                <w:iCs/>
                <w:caps/>
                <w:szCs w:val="20"/>
              </w:rPr>
              <w:t>–</w:t>
            </w:r>
            <w:r w:rsidRPr="00505285">
              <w:rPr>
                <w:rFonts w:eastAsia="Arial" w:cs="Times New Roman"/>
                <w:iCs/>
                <w:caps/>
                <w:szCs w:val="20"/>
              </w:rPr>
              <w:t xml:space="preserve"> CHILDREN AND ADOLESCENT FOOD MODELLING DATA (NHMRC, 2011)</w:t>
            </w:r>
          </w:p>
          <w:tbl>
            <w:tblPr>
              <w:tblStyle w:val="TableGrid2"/>
              <w:tblW w:w="11124" w:type="dxa"/>
              <w:tblInd w:w="0" w:type="dxa"/>
              <w:tblLook w:val="04A0" w:firstRow="1" w:lastRow="0" w:firstColumn="1" w:lastColumn="0" w:noHBand="0" w:noVBand="1"/>
            </w:tblPr>
            <w:tblGrid>
              <w:gridCol w:w="1342"/>
              <w:gridCol w:w="1134"/>
              <w:gridCol w:w="851"/>
              <w:gridCol w:w="1013"/>
              <w:gridCol w:w="848"/>
              <w:gridCol w:w="848"/>
              <w:gridCol w:w="848"/>
              <w:gridCol w:w="848"/>
              <w:gridCol w:w="848"/>
              <w:gridCol w:w="848"/>
              <w:gridCol w:w="848"/>
              <w:gridCol w:w="848"/>
            </w:tblGrid>
            <w:tr w:rsidR="00036214" w:rsidRPr="00505285" w14:paraId="7F40A4D8" w14:textId="77777777">
              <w:tc>
                <w:tcPr>
                  <w:tcW w:w="1342" w:type="dxa"/>
                  <w:vMerge w:val="restart"/>
                  <w:shd w:val="clear" w:color="auto" w:fill="005F85"/>
                  <w:vAlign w:val="bottom"/>
                </w:tcPr>
                <w:p w14:paraId="569DF3E5" w14:textId="77777777" w:rsidR="00036214" w:rsidRPr="00505285" w:rsidRDefault="00036214">
                  <w:pPr>
                    <w:spacing w:after="0"/>
                    <w:ind w:right="206"/>
                    <w:rPr>
                      <w:rFonts w:eastAsia="Times New Roman" w:cs="Arial"/>
                      <w:b/>
                      <w:bCs/>
                      <w:color w:val="FFFFFF"/>
                      <w:szCs w:val="20"/>
                    </w:rPr>
                  </w:pPr>
                  <w:r w:rsidRPr="00505285">
                    <w:rPr>
                      <w:rFonts w:eastAsia="Times New Roman" w:cs="Arial"/>
                      <w:b/>
                      <w:bCs/>
                      <w:color w:val="FFFFFF"/>
                      <w:szCs w:val="20"/>
                    </w:rPr>
                    <w:t>Age group (years)</w:t>
                  </w:r>
                </w:p>
              </w:tc>
              <w:tc>
                <w:tcPr>
                  <w:tcW w:w="1134" w:type="dxa"/>
                  <w:shd w:val="clear" w:color="auto" w:fill="005F85"/>
                </w:tcPr>
                <w:p w14:paraId="04A26F0A" w14:textId="77777777" w:rsidR="00036214" w:rsidRPr="00505285" w:rsidRDefault="00036214">
                  <w:pPr>
                    <w:spacing w:after="0"/>
                    <w:jc w:val="center"/>
                    <w:rPr>
                      <w:rFonts w:eastAsia="Times New Roman" w:cs="Arial"/>
                      <w:b/>
                      <w:bCs/>
                      <w:color w:val="FFFFFF"/>
                      <w:szCs w:val="20"/>
                    </w:rPr>
                  </w:pPr>
                  <w:r w:rsidRPr="00505285">
                    <w:rPr>
                      <w:rFonts w:eastAsia="Times New Roman" w:cs="Arial"/>
                      <w:b/>
                      <w:bCs/>
                      <w:color w:val="FFFFFF"/>
                      <w:szCs w:val="20"/>
                    </w:rPr>
                    <w:t>Core food groups^</w:t>
                  </w:r>
                </w:p>
              </w:tc>
              <w:tc>
                <w:tcPr>
                  <w:tcW w:w="1864" w:type="dxa"/>
                  <w:gridSpan w:val="2"/>
                  <w:shd w:val="clear" w:color="auto" w:fill="005F85"/>
                </w:tcPr>
                <w:p w14:paraId="668A73C0" w14:textId="77777777" w:rsidR="00036214" w:rsidRPr="00505285" w:rsidRDefault="00036214">
                  <w:pPr>
                    <w:spacing w:after="0"/>
                    <w:jc w:val="center"/>
                    <w:rPr>
                      <w:rFonts w:eastAsia="Times New Roman" w:cs="Arial"/>
                      <w:b/>
                      <w:bCs/>
                      <w:color w:val="FFFFFF"/>
                      <w:szCs w:val="20"/>
                    </w:rPr>
                  </w:pPr>
                  <w:r w:rsidRPr="00505285">
                    <w:rPr>
                      <w:rFonts w:eastAsia="Times New Roman" w:cs="Arial"/>
                      <w:b/>
                      <w:bCs/>
                      <w:color w:val="FFFFFF"/>
                      <w:szCs w:val="20"/>
                    </w:rPr>
                    <w:t>AGHE 98</w:t>
                  </w:r>
                </w:p>
              </w:tc>
              <w:tc>
                <w:tcPr>
                  <w:tcW w:w="1696" w:type="dxa"/>
                  <w:gridSpan w:val="2"/>
                  <w:shd w:val="clear" w:color="auto" w:fill="005F85"/>
                </w:tcPr>
                <w:p w14:paraId="68877187" w14:textId="42085E31" w:rsidR="00036214" w:rsidRPr="00505285" w:rsidRDefault="00036214">
                  <w:pPr>
                    <w:spacing w:after="0"/>
                    <w:jc w:val="center"/>
                    <w:rPr>
                      <w:rFonts w:eastAsia="Times New Roman" w:cs="Arial"/>
                      <w:b/>
                      <w:bCs/>
                      <w:color w:val="FFFFFF"/>
                      <w:szCs w:val="20"/>
                    </w:rPr>
                  </w:pPr>
                  <w:r w:rsidRPr="00505285">
                    <w:rPr>
                      <w:rFonts w:eastAsia="Times New Roman" w:cs="Arial"/>
                      <w:b/>
                      <w:bCs/>
                      <w:color w:val="FFFFFF"/>
                      <w:szCs w:val="20"/>
                    </w:rPr>
                    <w:t xml:space="preserve">Foundation diets </w:t>
                  </w:r>
                  <w:r w:rsidR="00667A3D">
                    <w:rPr>
                      <w:rFonts w:eastAsia="Times New Roman" w:cs="Arial"/>
                      <w:b/>
                      <w:bCs/>
                      <w:color w:val="FFFFFF"/>
                      <w:szCs w:val="20"/>
                    </w:rPr>
                    <w:t>–</w:t>
                  </w:r>
                  <w:r w:rsidRPr="00505285">
                    <w:rPr>
                      <w:rFonts w:eastAsia="Times New Roman" w:cs="Arial"/>
                      <w:b/>
                      <w:bCs/>
                      <w:color w:val="FFFFFF"/>
                      <w:szCs w:val="20"/>
                    </w:rPr>
                    <w:t xml:space="preserve"> overall</w:t>
                  </w:r>
                </w:p>
              </w:tc>
              <w:tc>
                <w:tcPr>
                  <w:tcW w:w="1696" w:type="dxa"/>
                  <w:gridSpan w:val="2"/>
                  <w:shd w:val="clear" w:color="auto" w:fill="005F85"/>
                </w:tcPr>
                <w:p w14:paraId="2F1B2DA6" w14:textId="77777777" w:rsidR="00036214" w:rsidRPr="00505285" w:rsidRDefault="00036214">
                  <w:pPr>
                    <w:spacing w:after="0"/>
                    <w:jc w:val="center"/>
                    <w:rPr>
                      <w:rFonts w:eastAsia="Times New Roman" w:cs="Arial"/>
                      <w:b/>
                      <w:bCs/>
                      <w:color w:val="FFFFFF"/>
                      <w:szCs w:val="20"/>
                    </w:rPr>
                  </w:pPr>
                  <w:r w:rsidRPr="00505285">
                    <w:rPr>
                      <w:rFonts w:eastAsia="Times New Roman" w:cs="Arial"/>
                      <w:b/>
                      <w:bCs/>
                      <w:color w:val="FFFFFF"/>
                      <w:szCs w:val="20"/>
                    </w:rPr>
                    <w:t>Rice-based</w:t>
                  </w:r>
                </w:p>
              </w:tc>
              <w:tc>
                <w:tcPr>
                  <w:tcW w:w="1696" w:type="dxa"/>
                  <w:gridSpan w:val="2"/>
                  <w:shd w:val="clear" w:color="auto" w:fill="005F85"/>
                </w:tcPr>
                <w:p w14:paraId="40B2F878" w14:textId="77777777" w:rsidR="00036214" w:rsidRPr="00505285" w:rsidRDefault="00036214">
                  <w:pPr>
                    <w:spacing w:after="0"/>
                    <w:ind w:right="27"/>
                    <w:jc w:val="center"/>
                    <w:rPr>
                      <w:rFonts w:eastAsia="Times New Roman" w:cs="Arial"/>
                      <w:b/>
                      <w:bCs/>
                      <w:color w:val="FFFFFF"/>
                      <w:szCs w:val="20"/>
                    </w:rPr>
                  </w:pPr>
                  <w:r w:rsidRPr="00505285">
                    <w:rPr>
                      <w:rFonts w:eastAsia="Times New Roman" w:cs="Arial"/>
                      <w:b/>
                      <w:bCs/>
                      <w:color w:val="FFFFFF"/>
                      <w:szCs w:val="20"/>
                    </w:rPr>
                    <w:t>Pasta-based</w:t>
                  </w:r>
                </w:p>
              </w:tc>
              <w:tc>
                <w:tcPr>
                  <w:tcW w:w="1696" w:type="dxa"/>
                  <w:gridSpan w:val="2"/>
                  <w:shd w:val="clear" w:color="auto" w:fill="005F85"/>
                </w:tcPr>
                <w:p w14:paraId="2CF2F228" w14:textId="77777777" w:rsidR="00036214" w:rsidRPr="00505285" w:rsidRDefault="00036214">
                  <w:pPr>
                    <w:spacing w:after="0"/>
                    <w:ind w:right="34"/>
                    <w:jc w:val="center"/>
                    <w:rPr>
                      <w:rFonts w:eastAsia="Times New Roman" w:cs="Arial"/>
                      <w:b/>
                      <w:bCs/>
                      <w:color w:val="FFFFFF"/>
                      <w:szCs w:val="20"/>
                    </w:rPr>
                  </w:pPr>
                  <w:proofErr w:type="spellStart"/>
                  <w:r w:rsidRPr="00505285">
                    <w:rPr>
                      <w:rFonts w:eastAsia="Times New Roman" w:cs="Arial"/>
                      <w:b/>
                      <w:bCs/>
                      <w:color w:val="FFFFFF"/>
                      <w:szCs w:val="20"/>
                    </w:rPr>
                    <w:t>Lacto</w:t>
                  </w:r>
                  <w:proofErr w:type="spellEnd"/>
                  <w:r w:rsidRPr="00505285">
                    <w:rPr>
                      <w:rFonts w:eastAsia="Times New Roman" w:cs="Arial"/>
                      <w:b/>
                      <w:bCs/>
                      <w:color w:val="FFFFFF"/>
                      <w:szCs w:val="20"/>
                    </w:rPr>
                    <w:t>-ovo-vego</w:t>
                  </w:r>
                </w:p>
              </w:tc>
            </w:tr>
            <w:tr w:rsidR="00036214" w:rsidRPr="00505285" w14:paraId="57D06658" w14:textId="77777777">
              <w:tc>
                <w:tcPr>
                  <w:tcW w:w="1342" w:type="dxa"/>
                  <w:vMerge/>
                  <w:shd w:val="clear" w:color="auto" w:fill="005F85"/>
                </w:tcPr>
                <w:p w14:paraId="6E00FB23" w14:textId="77777777" w:rsidR="00036214" w:rsidRPr="00505285" w:rsidRDefault="00036214">
                  <w:pPr>
                    <w:spacing w:after="0"/>
                    <w:ind w:right="-1346"/>
                    <w:rPr>
                      <w:rFonts w:eastAsia="Times New Roman" w:cs="Arial"/>
                      <w:b/>
                      <w:bCs/>
                      <w:color w:val="FFFFFF"/>
                      <w:szCs w:val="20"/>
                    </w:rPr>
                  </w:pPr>
                </w:p>
              </w:tc>
              <w:tc>
                <w:tcPr>
                  <w:tcW w:w="1134" w:type="dxa"/>
                  <w:vMerge w:val="restart"/>
                  <w:shd w:val="clear" w:color="auto" w:fill="005F85"/>
                  <w:vAlign w:val="bottom"/>
                </w:tcPr>
                <w:p w14:paraId="36AF538B" w14:textId="77777777" w:rsidR="00036214" w:rsidRPr="00505285" w:rsidRDefault="00036214">
                  <w:pPr>
                    <w:spacing w:after="0"/>
                    <w:jc w:val="center"/>
                    <w:rPr>
                      <w:rFonts w:eastAsia="Times New Roman" w:cs="Arial"/>
                      <w:b/>
                      <w:bCs/>
                      <w:color w:val="FFFFFF"/>
                      <w:szCs w:val="20"/>
                    </w:rPr>
                  </w:pPr>
                  <w:r w:rsidRPr="00505285">
                    <w:rPr>
                      <w:rFonts w:eastAsia="Times New Roman" w:cs="Arial"/>
                      <w:b/>
                      <w:bCs/>
                      <w:color w:val="FFFFFF"/>
                      <w:szCs w:val="20"/>
                    </w:rPr>
                    <w:t>Persons</w:t>
                  </w:r>
                </w:p>
              </w:tc>
              <w:tc>
                <w:tcPr>
                  <w:tcW w:w="1864" w:type="dxa"/>
                  <w:gridSpan w:val="2"/>
                  <w:shd w:val="clear" w:color="auto" w:fill="005F85"/>
                  <w:vAlign w:val="bottom"/>
                </w:tcPr>
                <w:p w14:paraId="7F24CFA3" w14:textId="77777777" w:rsidR="00036214" w:rsidRPr="00505285" w:rsidRDefault="00036214">
                  <w:pPr>
                    <w:spacing w:after="0"/>
                    <w:jc w:val="center"/>
                    <w:rPr>
                      <w:rFonts w:eastAsia="Times New Roman" w:cs="Arial"/>
                      <w:b/>
                      <w:bCs/>
                      <w:color w:val="FFFFFF"/>
                      <w:szCs w:val="20"/>
                    </w:rPr>
                  </w:pPr>
                  <w:r w:rsidRPr="00505285">
                    <w:rPr>
                      <w:rFonts w:eastAsia="Times New Roman" w:cs="Arial"/>
                      <w:b/>
                      <w:bCs/>
                      <w:color w:val="FFFFFF"/>
                      <w:szCs w:val="20"/>
                    </w:rPr>
                    <w:t>Persons</w:t>
                  </w:r>
                </w:p>
              </w:tc>
              <w:tc>
                <w:tcPr>
                  <w:tcW w:w="848" w:type="dxa"/>
                  <w:vMerge w:val="restart"/>
                  <w:shd w:val="clear" w:color="auto" w:fill="005F85"/>
                  <w:vAlign w:val="bottom"/>
                </w:tcPr>
                <w:p w14:paraId="423E9FBE" w14:textId="77777777" w:rsidR="00036214" w:rsidRPr="00505285" w:rsidRDefault="00036214">
                  <w:pPr>
                    <w:spacing w:after="0"/>
                    <w:rPr>
                      <w:rFonts w:eastAsia="Times New Roman" w:cs="Arial"/>
                      <w:b/>
                      <w:bCs/>
                      <w:color w:val="FFFFFF"/>
                      <w:szCs w:val="20"/>
                    </w:rPr>
                  </w:pPr>
                  <w:r w:rsidRPr="00505285">
                    <w:rPr>
                      <w:rFonts w:eastAsia="Times New Roman" w:cs="Arial"/>
                      <w:b/>
                      <w:bCs/>
                      <w:color w:val="FFFFFF"/>
                      <w:szCs w:val="20"/>
                    </w:rPr>
                    <w:t>Boys</w:t>
                  </w:r>
                </w:p>
              </w:tc>
              <w:tc>
                <w:tcPr>
                  <w:tcW w:w="848" w:type="dxa"/>
                  <w:vMerge w:val="restart"/>
                  <w:shd w:val="clear" w:color="auto" w:fill="005F85"/>
                  <w:vAlign w:val="bottom"/>
                </w:tcPr>
                <w:p w14:paraId="77831BDB" w14:textId="77777777" w:rsidR="00036214" w:rsidRPr="00505285" w:rsidRDefault="00036214">
                  <w:pPr>
                    <w:spacing w:after="0"/>
                    <w:rPr>
                      <w:rFonts w:eastAsia="Times New Roman" w:cs="Arial"/>
                      <w:b/>
                      <w:bCs/>
                      <w:color w:val="FFFFFF"/>
                      <w:szCs w:val="20"/>
                    </w:rPr>
                  </w:pPr>
                  <w:r w:rsidRPr="00505285">
                    <w:rPr>
                      <w:rFonts w:eastAsia="Times New Roman" w:cs="Arial"/>
                      <w:b/>
                      <w:bCs/>
                      <w:color w:val="FFFFFF"/>
                      <w:szCs w:val="20"/>
                    </w:rPr>
                    <w:t>Girls</w:t>
                  </w:r>
                </w:p>
              </w:tc>
              <w:tc>
                <w:tcPr>
                  <w:tcW w:w="848" w:type="dxa"/>
                  <w:vMerge w:val="restart"/>
                  <w:shd w:val="clear" w:color="auto" w:fill="005F85"/>
                  <w:vAlign w:val="bottom"/>
                </w:tcPr>
                <w:p w14:paraId="7BD0869C" w14:textId="77777777" w:rsidR="00036214" w:rsidRPr="00505285" w:rsidRDefault="00036214">
                  <w:pPr>
                    <w:spacing w:after="0"/>
                    <w:rPr>
                      <w:rFonts w:eastAsia="Times New Roman" w:cs="Arial"/>
                      <w:b/>
                      <w:bCs/>
                      <w:color w:val="FFFFFF"/>
                      <w:szCs w:val="20"/>
                    </w:rPr>
                  </w:pPr>
                  <w:r w:rsidRPr="00505285">
                    <w:rPr>
                      <w:rFonts w:eastAsia="Times New Roman" w:cs="Arial"/>
                      <w:b/>
                      <w:bCs/>
                      <w:color w:val="FFFFFF"/>
                      <w:szCs w:val="20"/>
                    </w:rPr>
                    <w:t>Boys</w:t>
                  </w:r>
                </w:p>
              </w:tc>
              <w:tc>
                <w:tcPr>
                  <w:tcW w:w="848" w:type="dxa"/>
                  <w:vMerge w:val="restart"/>
                  <w:shd w:val="clear" w:color="auto" w:fill="005F85"/>
                  <w:vAlign w:val="bottom"/>
                </w:tcPr>
                <w:p w14:paraId="09C8F7CD" w14:textId="77777777" w:rsidR="00036214" w:rsidRPr="00505285" w:rsidRDefault="00036214">
                  <w:pPr>
                    <w:spacing w:after="0"/>
                    <w:rPr>
                      <w:rFonts w:eastAsia="Times New Roman" w:cs="Arial"/>
                      <w:b/>
                      <w:bCs/>
                      <w:color w:val="FFFFFF"/>
                      <w:szCs w:val="20"/>
                    </w:rPr>
                  </w:pPr>
                  <w:r w:rsidRPr="00505285">
                    <w:rPr>
                      <w:rFonts w:eastAsia="Times New Roman" w:cs="Arial"/>
                      <w:b/>
                      <w:bCs/>
                      <w:color w:val="FFFFFF"/>
                      <w:szCs w:val="20"/>
                    </w:rPr>
                    <w:t>Girls</w:t>
                  </w:r>
                </w:p>
              </w:tc>
              <w:tc>
                <w:tcPr>
                  <w:tcW w:w="848" w:type="dxa"/>
                  <w:vMerge w:val="restart"/>
                  <w:shd w:val="clear" w:color="auto" w:fill="005F85"/>
                  <w:vAlign w:val="bottom"/>
                </w:tcPr>
                <w:p w14:paraId="7DD720F3" w14:textId="77777777" w:rsidR="00036214" w:rsidRPr="00505285" w:rsidRDefault="00036214">
                  <w:pPr>
                    <w:spacing w:after="0"/>
                    <w:rPr>
                      <w:rFonts w:eastAsia="Times New Roman" w:cs="Arial"/>
                      <w:b/>
                      <w:bCs/>
                      <w:color w:val="FFFFFF"/>
                      <w:szCs w:val="20"/>
                    </w:rPr>
                  </w:pPr>
                  <w:r w:rsidRPr="00505285">
                    <w:rPr>
                      <w:rFonts w:eastAsia="Times New Roman" w:cs="Arial"/>
                      <w:b/>
                      <w:bCs/>
                      <w:color w:val="FFFFFF"/>
                      <w:szCs w:val="20"/>
                    </w:rPr>
                    <w:t>Boys</w:t>
                  </w:r>
                </w:p>
              </w:tc>
              <w:tc>
                <w:tcPr>
                  <w:tcW w:w="848" w:type="dxa"/>
                  <w:vMerge w:val="restart"/>
                  <w:shd w:val="clear" w:color="auto" w:fill="005F85"/>
                  <w:vAlign w:val="bottom"/>
                </w:tcPr>
                <w:p w14:paraId="4118144C" w14:textId="77777777" w:rsidR="00036214" w:rsidRPr="00505285" w:rsidRDefault="00036214">
                  <w:pPr>
                    <w:spacing w:after="0"/>
                    <w:rPr>
                      <w:rFonts w:eastAsia="Times New Roman" w:cs="Arial"/>
                      <w:b/>
                      <w:bCs/>
                      <w:color w:val="FFFFFF"/>
                      <w:szCs w:val="20"/>
                    </w:rPr>
                  </w:pPr>
                  <w:r w:rsidRPr="00505285">
                    <w:rPr>
                      <w:rFonts w:eastAsia="Times New Roman" w:cs="Arial"/>
                      <w:b/>
                      <w:bCs/>
                      <w:color w:val="FFFFFF"/>
                      <w:szCs w:val="20"/>
                    </w:rPr>
                    <w:t>Girls</w:t>
                  </w:r>
                </w:p>
              </w:tc>
              <w:tc>
                <w:tcPr>
                  <w:tcW w:w="848" w:type="dxa"/>
                  <w:vMerge w:val="restart"/>
                  <w:shd w:val="clear" w:color="auto" w:fill="005F85"/>
                  <w:vAlign w:val="bottom"/>
                </w:tcPr>
                <w:p w14:paraId="53CF7190" w14:textId="77777777" w:rsidR="00036214" w:rsidRPr="00505285" w:rsidRDefault="00036214">
                  <w:pPr>
                    <w:spacing w:after="0"/>
                    <w:rPr>
                      <w:rFonts w:eastAsia="Times New Roman" w:cs="Arial"/>
                      <w:b/>
                      <w:bCs/>
                      <w:color w:val="FFFFFF"/>
                      <w:szCs w:val="20"/>
                    </w:rPr>
                  </w:pPr>
                  <w:r w:rsidRPr="00505285">
                    <w:rPr>
                      <w:rFonts w:eastAsia="Times New Roman" w:cs="Arial"/>
                      <w:b/>
                      <w:bCs/>
                      <w:color w:val="FFFFFF"/>
                      <w:szCs w:val="20"/>
                    </w:rPr>
                    <w:t>Boys</w:t>
                  </w:r>
                </w:p>
              </w:tc>
              <w:tc>
                <w:tcPr>
                  <w:tcW w:w="848" w:type="dxa"/>
                  <w:vMerge w:val="restart"/>
                  <w:shd w:val="clear" w:color="auto" w:fill="005F85"/>
                  <w:vAlign w:val="bottom"/>
                </w:tcPr>
                <w:p w14:paraId="584485DD" w14:textId="77777777" w:rsidR="00036214" w:rsidRPr="00505285" w:rsidRDefault="00036214">
                  <w:pPr>
                    <w:spacing w:after="0"/>
                    <w:rPr>
                      <w:rFonts w:eastAsia="Times New Roman" w:cs="Arial"/>
                      <w:b/>
                      <w:bCs/>
                      <w:color w:val="FFFFFF"/>
                      <w:szCs w:val="20"/>
                    </w:rPr>
                  </w:pPr>
                  <w:r w:rsidRPr="00505285">
                    <w:rPr>
                      <w:rFonts w:eastAsia="Times New Roman" w:cs="Arial"/>
                      <w:b/>
                      <w:bCs/>
                      <w:color w:val="FFFFFF"/>
                      <w:szCs w:val="20"/>
                    </w:rPr>
                    <w:t>Girls</w:t>
                  </w:r>
                </w:p>
              </w:tc>
            </w:tr>
            <w:tr w:rsidR="00036214" w:rsidRPr="00505285" w14:paraId="4952BB74" w14:textId="77777777">
              <w:tc>
                <w:tcPr>
                  <w:tcW w:w="1342" w:type="dxa"/>
                  <w:vMerge/>
                  <w:shd w:val="clear" w:color="auto" w:fill="005F85"/>
                </w:tcPr>
                <w:p w14:paraId="70F32FDB" w14:textId="77777777" w:rsidR="00036214" w:rsidRPr="00505285" w:rsidRDefault="00036214">
                  <w:pPr>
                    <w:spacing w:after="0"/>
                    <w:ind w:right="-1346"/>
                    <w:rPr>
                      <w:rFonts w:eastAsia="Times New Roman" w:cs="Arial"/>
                      <w:b/>
                      <w:bCs/>
                      <w:color w:val="FFFFFF"/>
                      <w:szCs w:val="20"/>
                    </w:rPr>
                  </w:pPr>
                </w:p>
              </w:tc>
              <w:tc>
                <w:tcPr>
                  <w:tcW w:w="1134" w:type="dxa"/>
                  <w:vMerge/>
                  <w:shd w:val="clear" w:color="auto" w:fill="005F85"/>
                </w:tcPr>
                <w:p w14:paraId="3C7FE85C" w14:textId="77777777" w:rsidR="00036214" w:rsidRPr="00505285" w:rsidRDefault="00036214">
                  <w:pPr>
                    <w:spacing w:after="0"/>
                    <w:jc w:val="center"/>
                    <w:rPr>
                      <w:rFonts w:eastAsia="Times New Roman" w:cs="Arial"/>
                      <w:b/>
                      <w:bCs/>
                      <w:color w:val="FFFFFF"/>
                      <w:szCs w:val="20"/>
                    </w:rPr>
                  </w:pPr>
                </w:p>
              </w:tc>
              <w:tc>
                <w:tcPr>
                  <w:tcW w:w="851" w:type="dxa"/>
                  <w:shd w:val="clear" w:color="auto" w:fill="005F85"/>
                </w:tcPr>
                <w:p w14:paraId="1201D862" w14:textId="77777777" w:rsidR="00036214" w:rsidRPr="00505285" w:rsidRDefault="00036214">
                  <w:pPr>
                    <w:spacing w:after="0"/>
                    <w:ind w:right="-39"/>
                    <w:jc w:val="center"/>
                    <w:rPr>
                      <w:rFonts w:eastAsia="Times New Roman" w:cs="Arial"/>
                      <w:b/>
                      <w:bCs/>
                      <w:color w:val="FFFFFF"/>
                      <w:szCs w:val="20"/>
                    </w:rPr>
                  </w:pPr>
                  <w:r w:rsidRPr="00505285">
                    <w:rPr>
                      <w:rFonts w:eastAsia="Times New Roman" w:cs="Arial"/>
                      <w:b/>
                      <w:bCs/>
                      <w:color w:val="FFFFFF"/>
                      <w:szCs w:val="20"/>
                    </w:rPr>
                    <w:t>Upper</w:t>
                  </w:r>
                </w:p>
              </w:tc>
              <w:tc>
                <w:tcPr>
                  <w:tcW w:w="1013" w:type="dxa"/>
                  <w:shd w:val="clear" w:color="auto" w:fill="005F85"/>
                </w:tcPr>
                <w:p w14:paraId="6BD6DB99" w14:textId="77777777" w:rsidR="00036214" w:rsidRPr="00505285" w:rsidRDefault="00036214">
                  <w:pPr>
                    <w:spacing w:after="0"/>
                    <w:jc w:val="center"/>
                    <w:rPr>
                      <w:rFonts w:eastAsia="Times New Roman" w:cs="Arial"/>
                      <w:b/>
                      <w:bCs/>
                      <w:color w:val="FFFFFF"/>
                      <w:szCs w:val="20"/>
                    </w:rPr>
                  </w:pPr>
                  <w:r w:rsidRPr="00505285">
                    <w:rPr>
                      <w:rFonts w:eastAsia="Times New Roman" w:cs="Arial"/>
                      <w:b/>
                      <w:bCs/>
                      <w:color w:val="FFFFFF"/>
                      <w:szCs w:val="20"/>
                    </w:rPr>
                    <w:t>Lower</w:t>
                  </w:r>
                </w:p>
              </w:tc>
              <w:tc>
                <w:tcPr>
                  <w:tcW w:w="848" w:type="dxa"/>
                  <w:vMerge/>
                  <w:shd w:val="clear" w:color="auto" w:fill="005F85"/>
                </w:tcPr>
                <w:p w14:paraId="2CB37F09" w14:textId="77777777" w:rsidR="00036214" w:rsidRPr="00505285" w:rsidRDefault="00036214">
                  <w:pPr>
                    <w:spacing w:after="0"/>
                    <w:rPr>
                      <w:rFonts w:eastAsia="Times New Roman" w:cs="Arial"/>
                      <w:b/>
                      <w:bCs/>
                      <w:color w:val="FFFFFF"/>
                      <w:szCs w:val="20"/>
                    </w:rPr>
                  </w:pPr>
                </w:p>
              </w:tc>
              <w:tc>
                <w:tcPr>
                  <w:tcW w:w="848" w:type="dxa"/>
                  <w:vMerge/>
                  <w:shd w:val="clear" w:color="auto" w:fill="005F85"/>
                </w:tcPr>
                <w:p w14:paraId="7D1D38E2" w14:textId="77777777" w:rsidR="00036214" w:rsidRPr="00505285" w:rsidRDefault="00036214">
                  <w:pPr>
                    <w:spacing w:after="0"/>
                    <w:rPr>
                      <w:rFonts w:eastAsia="Times New Roman" w:cs="Arial"/>
                      <w:b/>
                      <w:bCs/>
                      <w:color w:val="FFFFFF"/>
                      <w:szCs w:val="20"/>
                    </w:rPr>
                  </w:pPr>
                </w:p>
              </w:tc>
              <w:tc>
                <w:tcPr>
                  <w:tcW w:w="848" w:type="dxa"/>
                  <w:vMerge/>
                  <w:shd w:val="clear" w:color="auto" w:fill="005F85"/>
                </w:tcPr>
                <w:p w14:paraId="651C3447" w14:textId="77777777" w:rsidR="00036214" w:rsidRPr="00505285" w:rsidRDefault="00036214">
                  <w:pPr>
                    <w:spacing w:after="0"/>
                    <w:rPr>
                      <w:rFonts w:eastAsia="Times New Roman" w:cs="Arial"/>
                      <w:b/>
                      <w:bCs/>
                      <w:color w:val="FFFFFF"/>
                      <w:szCs w:val="20"/>
                    </w:rPr>
                  </w:pPr>
                </w:p>
              </w:tc>
              <w:tc>
                <w:tcPr>
                  <w:tcW w:w="848" w:type="dxa"/>
                  <w:vMerge/>
                  <w:shd w:val="clear" w:color="auto" w:fill="005F85"/>
                </w:tcPr>
                <w:p w14:paraId="060E8381" w14:textId="77777777" w:rsidR="00036214" w:rsidRPr="00505285" w:rsidRDefault="00036214">
                  <w:pPr>
                    <w:spacing w:after="0"/>
                    <w:rPr>
                      <w:rFonts w:eastAsia="Times New Roman" w:cs="Arial"/>
                      <w:b/>
                      <w:bCs/>
                      <w:color w:val="FFFFFF"/>
                      <w:szCs w:val="20"/>
                    </w:rPr>
                  </w:pPr>
                </w:p>
              </w:tc>
              <w:tc>
                <w:tcPr>
                  <w:tcW w:w="848" w:type="dxa"/>
                  <w:vMerge/>
                  <w:shd w:val="clear" w:color="auto" w:fill="005F85"/>
                </w:tcPr>
                <w:p w14:paraId="75D79B11" w14:textId="77777777" w:rsidR="00036214" w:rsidRPr="00505285" w:rsidRDefault="00036214">
                  <w:pPr>
                    <w:spacing w:after="0"/>
                    <w:rPr>
                      <w:rFonts w:eastAsia="Times New Roman" w:cs="Arial"/>
                      <w:b/>
                      <w:bCs/>
                      <w:color w:val="FFFFFF"/>
                      <w:szCs w:val="20"/>
                    </w:rPr>
                  </w:pPr>
                </w:p>
              </w:tc>
              <w:tc>
                <w:tcPr>
                  <w:tcW w:w="848" w:type="dxa"/>
                  <w:vMerge/>
                  <w:shd w:val="clear" w:color="auto" w:fill="005F85"/>
                </w:tcPr>
                <w:p w14:paraId="6B64C5A6" w14:textId="77777777" w:rsidR="00036214" w:rsidRPr="00505285" w:rsidRDefault="00036214">
                  <w:pPr>
                    <w:spacing w:after="0"/>
                    <w:rPr>
                      <w:rFonts w:eastAsia="Times New Roman" w:cs="Arial"/>
                      <w:b/>
                      <w:bCs/>
                      <w:color w:val="FFFFFF"/>
                      <w:szCs w:val="20"/>
                    </w:rPr>
                  </w:pPr>
                </w:p>
              </w:tc>
              <w:tc>
                <w:tcPr>
                  <w:tcW w:w="848" w:type="dxa"/>
                  <w:vMerge/>
                  <w:shd w:val="clear" w:color="auto" w:fill="005F85"/>
                </w:tcPr>
                <w:p w14:paraId="13FF4F7E" w14:textId="77777777" w:rsidR="00036214" w:rsidRPr="00505285" w:rsidRDefault="00036214">
                  <w:pPr>
                    <w:spacing w:after="0"/>
                    <w:rPr>
                      <w:rFonts w:eastAsia="Times New Roman" w:cs="Arial"/>
                      <w:b/>
                      <w:bCs/>
                      <w:color w:val="FFFFFF"/>
                      <w:szCs w:val="20"/>
                    </w:rPr>
                  </w:pPr>
                </w:p>
              </w:tc>
              <w:tc>
                <w:tcPr>
                  <w:tcW w:w="848" w:type="dxa"/>
                  <w:vMerge/>
                  <w:shd w:val="clear" w:color="auto" w:fill="005F85"/>
                </w:tcPr>
                <w:p w14:paraId="449954B0" w14:textId="77777777" w:rsidR="00036214" w:rsidRPr="00505285" w:rsidRDefault="00036214">
                  <w:pPr>
                    <w:spacing w:after="0"/>
                    <w:rPr>
                      <w:rFonts w:eastAsia="Times New Roman" w:cs="Arial"/>
                      <w:b/>
                      <w:bCs/>
                      <w:color w:val="FFFFFF"/>
                      <w:szCs w:val="20"/>
                    </w:rPr>
                  </w:pPr>
                </w:p>
              </w:tc>
            </w:tr>
            <w:tr w:rsidR="00036214" w:rsidRPr="00505285" w14:paraId="11F4DB41" w14:textId="77777777">
              <w:tc>
                <w:tcPr>
                  <w:tcW w:w="1342" w:type="dxa"/>
                </w:tcPr>
                <w:p w14:paraId="05EE30FA" w14:textId="77777777" w:rsidR="00036214" w:rsidRPr="00505285" w:rsidRDefault="00036214">
                  <w:pPr>
                    <w:spacing w:after="0"/>
                    <w:ind w:right="-1346"/>
                    <w:rPr>
                      <w:rFonts w:eastAsia="Times New Roman" w:cs="Arial"/>
                      <w:szCs w:val="20"/>
                    </w:rPr>
                  </w:pPr>
                  <w:r w:rsidRPr="00505285">
                    <w:rPr>
                      <w:rFonts w:eastAsia="Times New Roman" w:cs="Arial"/>
                      <w:szCs w:val="20"/>
                    </w:rPr>
                    <w:t xml:space="preserve">13-23 </w:t>
                  </w:r>
                  <w:proofErr w:type="spellStart"/>
                  <w:r w:rsidRPr="00505285">
                    <w:rPr>
                      <w:rFonts w:eastAsia="Times New Roman" w:cs="Arial"/>
                      <w:szCs w:val="20"/>
                    </w:rPr>
                    <w:t>mo</w:t>
                  </w:r>
                  <w:proofErr w:type="spellEnd"/>
                </w:p>
              </w:tc>
              <w:tc>
                <w:tcPr>
                  <w:tcW w:w="1134" w:type="dxa"/>
                  <w:shd w:val="clear" w:color="auto" w:fill="D9D9D9"/>
                </w:tcPr>
                <w:p w14:paraId="1DD9A683" w14:textId="77777777" w:rsidR="00036214" w:rsidRPr="00505285" w:rsidRDefault="00036214">
                  <w:pPr>
                    <w:spacing w:after="0"/>
                    <w:ind w:right="38"/>
                    <w:jc w:val="center"/>
                    <w:rPr>
                      <w:rFonts w:eastAsia="Times New Roman" w:cs="Arial"/>
                      <w:szCs w:val="20"/>
                    </w:rPr>
                  </w:pPr>
                </w:p>
              </w:tc>
              <w:tc>
                <w:tcPr>
                  <w:tcW w:w="851" w:type="dxa"/>
                  <w:shd w:val="clear" w:color="auto" w:fill="D9D9D9"/>
                </w:tcPr>
                <w:p w14:paraId="41D5B234" w14:textId="77777777" w:rsidR="00036214" w:rsidRPr="00505285" w:rsidRDefault="00036214">
                  <w:pPr>
                    <w:spacing w:after="0"/>
                    <w:ind w:right="-39"/>
                    <w:jc w:val="center"/>
                    <w:rPr>
                      <w:rFonts w:eastAsia="Times New Roman" w:cs="Arial"/>
                      <w:szCs w:val="20"/>
                    </w:rPr>
                  </w:pPr>
                </w:p>
              </w:tc>
              <w:tc>
                <w:tcPr>
                  <w:tcW w:w="1013" w:type="dxa"/>
                  <w:shd w:val="clear" w:color="auto" w:fill="D9D9D9"/>
                </w:tcPr>
                <w:p w14:paraId="3E223AB9" w14:textId="77777777" w:rsidR="00036214" w:rsidRPr="00505285" w:rsidRDefault="00036214">
                  <w:pPr>
                    <w:spacing w:after="0"/>
                    <w:ind w:right="30"/>
                    <w:jc w:val="center"/>
                    <w:rPr>
                      <w:rFonts w:eastAsia="Times New Roman" w:cs="Arial"/>
                      <w:szCs w:val="20"/>
                    </w:rPr>
                  </w:pPr>
                </w:p>
              </w:tc>
              <w:tc>
                <w:tcPr>
                  <w:tcW w:w="848" w:type="dxa"/>
                </w:tcPr>
                <w:p w14:paraId="4233B023"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95</w:t>
                  </w:r>
                </w:p>
              </w:tc>
              <w:tc>
                <w:tcPr>
                  <w:tcW w:w="848" w:type="dxa"/>
                </w:tcPr>
                <w:p w14:paraId="53F8FBE4"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96</w:t>
                  </w:r>
                </w:p>
              </w:tc>
              <w:tc>
                <w:tcPr>
                  <w:tcW w:w="848" w:type="dxa"/>
                  <w:shd w:val="clear" w:color="auto" w:fill="D9D9D9"/>
                </w:tcPr>
                <w:p w14:paraId="11E4371E" w14:textId="77777777" w:rsidR="00036214" w:rsidRPr="00505285" w:rsidRDefault="00036214">
                  <w:pPr>
                    <w:spacing w:after="0"/>
                    <w:ind w:right="36"/>
                    <w:jc w:val="center"/>
                    <w:rPr>
                      <w:rFonts w:eastAsia="Times New Roman" w:cs="Arial"/>
                      <w:szCs w:val="20"/>
                    </w:rPr>
                  </w:pPr>
                </w:p>
              </w:tc>
              <w:tc>
                <w:tcPr>
                  <w:tcW w:w="848" w:type="dxa"/>
                  <w:shd w:val="clear" w:color="auto" w:fill="D9D9D9"/>
                </w:tcPr>
                <w:p w14:paraId="7B2332D7" w14:textId="77777777" w:rsidR="00036214" w:rsidRPr="00505285" w:rsidRDefault="00036214">
                  <w:pPr>
                    <w:spacing w:after="0"/>
                    <w:ind w:right="-115"/>
                    <w:jc w:val="center"/>
                    <w:rPr>
                      <w:rFonts w:eastAsia="Times New Roman" w:cs="Arial"/>
                      <w:szCs w:val="20"/>
                    </w:rPr>
                  </w:pPr>
                </w:p>
              </w:tc>
              <w:tc>
                <w:tcPr>
                  <w:tcW w:w="848" w:type="dxa"/>
                  <w:shd w:val="clear" w:color="auto" w:fill="D9D9D9"/>
                </w:tcPr>
                <w:p w14:paraId="1062641C" w14:textId="77777777" w:rsidR="00036214" w:rsidRPr="00505285" w:rsidRDefault="00036214">
                  <w:pPr>
                    <w:spacing w:after="0"/>
                    <w:ind w:right="27"/>
                    <w:jc w:val="center"/>
                    <w:rPr>
                      <w:rFonts w:eastAsia="Times New Roman" w:cs="Arial"/>
                      <w:szCs w:val="20"/>
                    </w:rPr>
                  </w:pPr>
                </w:p>
              </w:tc>
              <w:tc>
                <w:tcPr>
                  <w:tcW w:w="848" w:type="dxa"/>
                  <w:shd w:val="clear" w:color="auto" w:fill="D9D9D9"/>
                </w:tcPr>
                <w:p w14:paraId="29A73F58" w14:textId="77777777" w:rsidR="00036214" w:rsidRPr="00505285" w:rsidRDefault="00036214">
                  <w:pPr>
                    <w:spacing w:after="0"/>
                    <w:ind w:right="27"/>
                    <w:jc w:val="center"/>
                    <w:rPr>
                      <w:rFonts w:eastAsia="Times New Roman" w:cs="Arial"/>
                      <w:szCs w:val="20"/>
                    </w:rPr>
                  </w:pPr>
                </w:p>
              </w:tc>
              <w:tc>
                <w:tcPr>
                  <w:tcW w:w="848" w:type="dxa"/>
                  <w:shd w:val="clear" w:color="auto" w:fill="D9D9D9"/>
                </w:tcPr>
                <w:p w14:paraId="1035DD27" w14:textId="77777777" w:rsidR="00036214" w:rsidRPr="00505285" w:rsidRDefault="00036214">
                  <w:pPr>
                    <w:spacing w:after="0"/>
                    <w:ind w:right="34"/>
                    <w:jc w:val="center"/>
                    <w:rPr>
                      <w:rFonts w:eastAsia="Times New Roman" w:cs="Arial"/>
                      <w:szCs w:val="20"/>
                    </w:rPr>
                  </w:pPr>
                </w:p>
              </w:tc>
              <w:tc>
                <w:tcPr>
                  <w:tcW w:w="848" w:type="dxa"/>
                  <w:shd w:val="clear" w:color="auto" w:fill="D9D9D9"/>
                </w:tcPr>
                <w:p w14:paraId="7D71CDE6" w14:textId="77777777" w:rsidR="00036214" w:rsidRPr="00505285" w:rsidRDefault="00036214">
                  <w:pPr>
                    <w:spacing w:after="0"/>
                    <w:ind w:right="34"/>
                    <w:jc w:val="center"/>
                    <w:rPr>
                      <w:rFonts w:eastAsia="Times New Roman" w:cs="Arial"/>
                      <w:szCs w:val="20"/>
                    </w:rPr>
                  </w:pPr>
                </w:p>
              </w:tc>
            </w:tr>
            <w:tr w:rsidR="00036214" w:rsidRPr="00505285" w14:paraId="1829CAD2" w14:textId="77777777">
              <w:tc>
                <w:tcPr>
                  <w:tcW w:w="1342" w:type="dxa"/>
                </w:tcPr>
                <w:p w14:paraId="798C1943" w14:textId="16071F4B" w:rsidR="00036214" w:rsidRPr="00505285" w:rsidRDefault="00036214">
                  <w:pPr>
                    <w:spacing w:after="0"/>
                    <w:ind w:right="-1346"/>
                    <w:rPr>
                      <w:rFonts w:eastAsia="Times New Roman" w:cs="Arial"/>
                      <w:szCs w:val="20"/>
                    </w:rPr>
                  </w:pPr>
                  <w:r w:rsidRPr="00505285">
                    <w:rPr>
                      <w:rFonts w:eastAsia="Times New Roman" w:cs="Arial"/>
                      <w:szCs w:val="20"/>
                    </w:rPr>
                    <w:t xml:space="preserve">2 </w:t>
                  </w:r>
                  <w:r w:rsidR="00667A3D">
                    <w:rPr>
                      <w:rFonts w:eastAsia="Times New Roman" w:cs="Arial"/>
                      <w:szCs w:val="20"/>
                    </w:rPr>
                    <w:t>–</w:t>
                  </w:r>
                  <w:r w:rsidRPr="00505285">
                    <w:rPr>
                      <w:rFonts w:eastAsia="Times New Roman" w:cs="Arial"/>
                      <w:szCs w:val="20"/>
                    </w:rPr>
                    <w:t xml:space="preserve"> 3 yr</w:t>
                  </w:r>
                </w:p>
              </w:tc>
              <w:tc>
                <w:tcPr>
                  <w:tcW w:w="1134" w:type="dxa"/>
                  <w:shd w:val="clear" w:color="auto" w:fill="D9D9D9"/>
                </w:tcPr>
                <w:p w14:paraId="0EB21894" w14:textId="77777777" w:rsidR="00036214" w:rsidRPr="00505285" w:rsidRDefault="00036214">
                  <w:pPr>
                    <w:spacing w:after="0"/>
                    <w:ind w:right="38"/>
                    <w:jc w:val="center"/>
                    <w:rPr>
                      <w:rFonts w:eastAsia="Times New Roman" w:cs="Arial"/>
                      <w:szCs w:val="20"/>
                    </w:rPr>
                  </w:pPr>
                </w:p>
              </w:tc>
              <w:tc>
                <w:tcPr>
                  <w:tcW w:w="851" w:type="dxa"/>
                  <w:shd w:val="clear" w:color="auto" w:fill="D9D9D9"/>
                </w:tcPr>
                <w:p w14:paraId="61659558" w14:textId="77777777" w:rsidR="00036214" w:rsidRPr="00505285" w:rsidRDefault="00036214">
                  <w:pPr>
                    <w:spacing w:after="0"/>
                    <w:ind w:right="-39"/>
                    <w:jc w:val="center"/>
                    <w:rPr>
                      <w:rFonts w:eastAsia="Times New Roman" w:cs="Arial"/>
                      <w:szCs w:val="20"/>
                    </w:rPr>
                  </w:pPr>
                </w:p>
              </w:tc>
              <w:tc>
                <w:tcPr>
                  <w:tcW w:w="1013" w:type="dxa"/>
                  <w:shd w:val="clear" w:color="auto" w:fill="D9D9D9"/>
                </w:tcPr>
                <w:p w14:paraId="111F37EC" w14:textId="77777777" w:rsidR="00036214" w:rsidRPr="00505285" w:rsidRDefault="00036214">
                  <w:pPr>
                    <w:spacing w:after="0"/>
                    <w:ind w:right="30"/>
                    <w:jc w:val="center"/>
                    <w:rPr>
                      <w:rFonts w:eastAsia="Times New Roman" w:cs="Arial"/>
                      <w:szCs w:val="20"/>
                    </w:rPr>
                  </w:pPr>
                </w:p>
              </w:tc>
              <w:tc>
                <w:tcPr>
                  <w:tcW w:w="848" w:type="dxa"/>
                </w:tcPr>
                <w:p w14:paraId="75B1223C"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117</w:t>
                  </w:r>
                </w:p>
              </w:tc>
              <w:tc>
                <w:tcPr>
                  <w:tcW w:w="848" w:type="dxa"/>
                </w:tcPr>
                <w:p w14:paraId="277B5F45"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119</w:t>
                  </w:r>
                </w:p>
              </w:tc>
              <w:tc>
                <w:tcPr>
                  <w:tcW w:w="848" w:type="dxa"/>
                  <w:shd w:val="clear" w:color="auto" w:fill="D9D9D9"/>
                </w:tcPr>
                <w:p w14:paraId="43029D21" w14:textId="77777777" w:rsidR="00036214" w:rsidRPr="00505285" w:rsidRDefault="00036214">
                  <w:pPr>
                    <w:spacing w:after="0"/>
                    <w:ind w:right="36"/>
                    <w:jc w:val="center"/>
                    <w:rPr>
                      <w:rFonts w:eastAsia="Times New Roman" w:cs="Arial"/>
                      <w:szCs w:val="20"/>
                    </w:rPr>
                  </w:pPr>
                </w:p>
              </w:tc>
              <w:tc>
                <w:tcPr>
                  <w:tcW w:w="848" w:type="dxa"/>
                  <w:shd w:val="clear" w:color="auto" w:fill="D9D9D9"/>
                </w:tcPr>
                <w:p w14:paraId="5652C444" w14:textId="77777777" w:rsidR="00036214" w:rsidRPr="00505285" w:rsidRDefault="00036214">
                  <w:pPr>
                    <w:spacing w:after="0"/>
                    <w:ind w:right="-115"/>
                    <w:jc w:val="center"/>
                    <w:rPr>
                      <w:rFonts w:eastAsia="Times New Roman" w:cs="Arial"/>
                      <w:szCs w:val="20"/>
                    </w:rPr>
                  </w:pPr>
                </w:p>
              </w:tc>
              <w:tc>
                <w:tcPr>
                  <w:tcW w:w="848" w:type="dxa"/>
                  <w:shd w:val="clear" w:color="auto" w:fill="D9D9D9"/>
                </w:tcPr>
                <w:p w14:paraId="40405745" w14:textId="77777777" w:rsidR="00036214" w:rsidRPr="00505285" w:rsidRDefault="00036214">
                  <w:pPr>
                    <w:spacing w:after="0"/>
                    <w:ind w:right="27"/>
                    <w:jc w:val="center"/>
                    <w:rPr>
                      <w:rFonts w:eastAsia="Times New Roman" w:cs="Arial"/>
                      <w:szCs w:val="20"/>
                    </w:rPr>
                  </w:pPr>
                </w:p>
              </w:tc>
              <w:tc>
                <w:tcPr>
                  <w:tcW w:w="848" w:type="dxa"/>
                  <w:shd w:val="clear" w:color="auto" w:fill="D9D9D9"/>
                </w:tcPr>
                <w:p w14:paraId="7F60C17D" w14:textId="77777777" w:rsidR="00036214" w:rsidRPr="00505285" w:rsidRDefault="00036214">
                  <w:pPr>
                    <w:spacing w:after="0"/>
                    <w:ind w:right="27"/>
                    <w:jc w:val="center"/>
                    <w:rPr>
                      <w:rFonts w:eastAsia="Times New Roman" w:cs="Arial"/>
                      <w:szCs w:val="20"/>
                    </w:rPr>
                  </w:pPr>
                </w:p>
              </w:tc>
              <w:tc>
                <w:tcPr>
                  <w:tcW w:w="848" w:type="dxa"/>
                </w:tcPr>
                <w:p w14:paraId="3DEBC6EE"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124</w:t>
                  </w:r>
                </w:p>
              </w:tc>
              <w:tc>
                <w:tcPr>
                  <w:tcW w:w="848" w:type="dxa"/>
                </w:tcPr>
                <w:p w14:paraId="193B6F4E" w14:textId="77777777" w:rsidR="00036214" w:rsidRPr="00505285" w:rsidRDefault="00036214">
                  <w:pPr>
                    <w:spacing w:after="0"/>
                    <w:ind w:right="34"/>
                    <w:jc w:val="center"/>
                    <w:rPr>
                      <w:rFonts w:eastAsia="Times New Roman" w:cs="Arial"/>
                      <w:szCs w:val="20"/>
                    </w:rPr>
                  </w:pPr>
                  <w:r w:rsidRPr="00505285">
                    <w:rPr>
                      <w:rFonts w:eastAsia="Times New Roman" w:cs="Arial"/>
                      <w:szCs w:val="20"/>
                    </w:rPr>
                    <w:t>102</w:t>
                  </w:r>
                </w:p>
              </w:tc>
            </w:tr>
            <w:tr w:rsidR="00036214" w:rsidRPr="00505285" w14:paraId="029CDCA8" w14:textId="77777777">
              <w:tc>
                <w:tcPr>
                  <w:tcW w:w="1342" w:type="dxa"/>
                </w:tcPr>
                <w:p w14:paraId="165698B5" w14:textId="2DA1E124" w:rsidR="00036214" w:rsidRPr="00505285" w:rsidRDefault="00036214">
                  <w:pPr>
                    <w:spacing w:after="0"/>
                    <w:ind w:right="-1346"/>
                    <w:rPr>
                      <w:rFonts w:eastAsia="Times New Roman" w:cs="Arial"/>
                      <w:szCs w:val="20"/>
                    </w:rPr>
                  </w:pPr>
                  <w:r w:rsidRPr="00505285">
                    <w:rPr>
                      <w:rFonts w:eastAsia="Times New Roman" w:cs="Arial"/>
                      <w:szCs w:val="20"/>
                    </w:rPr>
                    <w:t xml:space="preserve">4 </w:t>
                  </w:r>
                  <w:r w:rsidR="00667A3D">
                    <w:rPr>
                      <w:rFonts w:eastAsia="Times New Roman" w:cs="Arial"/>
                      <w:szCs w:val="20"/>
                    </w:rPr>
                    <w:t>–</w:t>
                  </w:r>
                  <w:r w:rsidRPr="00505285">
                    <w:rPr>
                      <w:rFonts w:eastAsia="Times New Roman" w:cs="Arial"/>
                      <w:szCs w:val="20"/>
                    </w:rPr>
                    <w:t xml:space="preserve"> 8 yr</w:t>
                  </w:r>
                </w:p>
              </w:tc>
              <w:tc>
                <w:tcPr>
                  <w:tcW w:w="1134" w:type="dxa"/>
                </w:tcPr>
                <w:p w14:paraId="132D16FF" w14:textId="77777777" w:rsidR="00036214" w:rsidRPr="00505285" w:rsidRDefault="00036214">
                  <w:pPr>
                    <w:spacing w:after="0"/>
                    <w:ind w:right="38"/>
                    <w:jc w:val="center"/>
                    <w:rPr>
                      <w:rFonts w:eastAsia="Times New Roman" w:cs="Arial"/>
                      <w:szCs w:val="20"/>
                    </w:rPr>
                  </w:pPr>
                  <w:r w:rsidRPr="00505285">
                    <w:rPr>
                      <w:rFonts w:eastAsia="Times New Roman" w:cs="Arial"/>
                      <w:szCs w:val="20"/>
                    </w:rPr>
                    <w:t>112^</w:t>
                  </w:r>
                </w:p>
              </w:tc>
              <w:tc>
                <w:tcPr>
                  <w:tcW w:w="851" w:type="dxa"/>
                </w:tcPr>
                <w:p w14:paraId="43D7F3CD" w14:textId="77777777" w:rsidR="00036214" w:rsidRPr="00505285" w:rsidRDefault="00036214">
                  <w:pPr>
                    <w:spacing w:after="0"/>
                    <w:ind w:right="-39"/>
                    <w:jc w:val="center"/>
                    <w:rPr>
                      <w:rFonts w:eastAsia="Times New Roman" w:cs="Arial"/>
                      <w:szCs w:val="20"/>
                    </w:rPr>
                  </w:pPr>
                  <w:r w:rsidRPr="00505285">
                    <w:rPr>
                      <w:rFonts w:eastAsia="Times New Roman" w:cs="Arial"/>
                      <w:szCs w:val="20"/>
                    </w:rPr>
                    <w:t>188</w:t>
                  </w:r>
                </w:p>
              </w:tc>
              <w:tc>
                <w:tcPr>
                  <w:tcW w:w="1013" w:type="dxa"/>
                </w:tcPr>
                <w:p w14:paraId="4EB0DE08" w14:textId="77777777" w:rsidR="00036214" w:rsidRPr="00505285" w:rsidRDefault="00036214">
                  <w:pPr>
                    <w:spacing w:after="0"/>
                    <w:ind w:right="30"/>
                    <w:jc w:val="center"/>
                    <w:rPr>
                      <w:rFonts w:eastAsia="Times New Roman" w:cs="Arial"/>
                      <w:szCs w:val="20"/>
                    </w:rPr>
                  </w:pPr>
                  <w:r w:rsidRPr="00505285">
                    <w:rPr>
                      <w:rFonts w:eastAsia="Times New Roman" w:cs="Arial"/>
                      <w:szCs w:val="20"/>
                    </w:rPr>
                    <w:t>227</w:t>
                  </w:r>
                </w:p>
              </w:tc>
              <w:tc>
                <w:tcPr>
                  <w:tcW w:w="848" w:type="dxa"/>
                </w:tcPr>
                <w:p w14:paraId="7242BB96"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143</w:t>
                  </w:r>
                </w:p>
              </w:tc>
              <w:tc>
                <w:tcPr>
                  <w:tcW w:w="848" w:type="dxa"/>
                </w:tcPr>
                <w:p w14:paraId="05234BCD"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133</w:t>
                  </w:r>
                </w:p>
              </w:tc>
              <w:tc>
                <w:tcPr>
                  <w:tcW w:w="848" w:type="dxa"/>
                  <w:shd w:val="clear" w:color="auto" w:fill="D9D9D9"/>
                </w:tcPr>
                <w:p w14:paraId="361FB6F0" w14:textId="77777777" w:rsidR="00036214" w:rsidRPr="00505285" w:rsidRDefault="00036214">
                  <w:pPr>
                    <w:spacing w:after="0"/>
                    <w:ind w:right="36"/>
                    <w:jc w:val="center"/>
                    <w:rPr>
                      <w:rFonts w:eastAsia="Times New Roman" w:cs="Arial"/>
                      <w:szCs w:val="20"/>
                    </w:rPr>
                  </w:pPr>
                </w:p>
              </w:tc>
              <w:tc>
                <w:tcPr>
                  <w:tcW w:w="848" w:type="dxa"/>
                  <w:shd w:val="clear" w:color="auto" w:fill="D9D9D9"/>
                </w:tcPr>
                <w:p w14:paraId="79B9E941" w14:textId="77777777" w:rsidR="00036214" w:rsidRPr="00505285" w:rsidRDefault="00036214">
                  <w:pPr>
                    <w:spacing w:after="0"/>
                    <w:ind w:right="-115"/>
                    <w:jc w:val="center"/>
                    <w:rPr>
                      <w:rFonts w:eastAsia="Times New Roman" w:cs="Arial"/>
                      <w:szCs w:val="20"/>
                    </w:rPr>
                  </w:pPr>
                </w:p>
              </w:tc>
              <w:tc>
                <w:tcPr>
                  <w:tcW w:w="848" w:type="dxa"/>
                  <w:shd w:val="clear" w:color="auto" w:fill="D9D9D9"/>
                </w:tcPr>
                <w:p w14:paraId="6C365B2C" w14:textId="77777777" w:rsidR="00036214" w:rsidRPr="00505285" w:rsidRDefault="00036214">
                  <w:pPr>
                    <w:spacing w:after="0"/>
                    <w:ind w:right="27"/>
                    <w:jc w:val="center"/>
                    <w:rPr>
                      <w:rFonts w:eastAsia="Times New Roman" w:cs="Arial"/>
                      <w:szCs w:val="20"/>
                    </w:rPr>
                  </w:pPr>
                </w:p>
              </w:tc>
              <w:tc>
                <w:tcPr>
                  <w:tcW w:w="848" w:type="dxa"/>
                  <w:shd w:val="clear" w:color="auto" w:fill="D9D9D9"/>
                </w:tcPr>
                <w:p w14:paraId="7C548ADC" w14:textId="77777777" w:rsidR="00036214" w:rsidRPr="00505285" w:rsidRDefault="00036214">
                  <w:pPr>
                    <w:spacing w:after="0"/>
                    <w:ind w:right="27"/>
                    <w:jc w:val="center"/>
                    <w:rPr>
                      <w:rFonts w:eastAsia="Times New Roman" w:cs="Arial"/>
                      <w:szCs w:val="20"/>
                    </w:rPr>
                  </w:pPr>
                </w:p>
              </w:tc>
              <w:tc>
                <w:tcPr>
                  <w:tcW w:w="848" w:type="dxa"/>
                </w:tcPr>
                <w:p w14:paraId="52601F12"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132</w:t>
                  </w:r>
                </w:p>
              </w:tc>
              <w:tc>
                <w:tcPr>
                  <w:tcW w:w="848" w:type="dxa"/>
                </w:tcPr>
                <w:p w14:paraId="4C94C6D6" w14:textId="77777777" w:rsidR="00036214" w:rsidRPr="00505285" w:rsidRDefault="00036214">
                  <w:pPr>
                    <w:spacing w:after="0"/>
                    <w:ind w:right="34"/>
                    <w:jc w:val="center"/>
                    <w:rPr>
                      <w:rFonts w:eastAsia="Times New Roman" w:cs="Arial"/>
                      <w:szCs w:val="20"/>
                    </w:rPr>
                  </w:pPr>
                  <w:r w:rsidRPr="00505285">
                    <w:rPr>
                      <w:rFonts w:eastAsia="Times New Roman" w:cs="Arial"/>
                      <w:szCs w:val="20"/>
                    </w:rPr>
                    <w:t>109</w:t>
                  </w:r>
                </w:p>
              </w:tc>
            </w:tr>
            <w:tr w:rsidR="00036214" w:rsidRPr="00505285" w14:paraId="51CDE64E" w14:textId="77777777">
              <w:tc>
                <w:tcPr>
                  <w:tcW w:w="1342" w:type="dxa"/>
                </w:tcPr>
                <w:p w14:paraId="56C9D57F" w14:textId="5A4CCE49" w:rsidR="00036214" w:rsidRPr="00505285" w:rsidRDefault="00036214">
                  <w:pPr>
                    <w:spacing w:after="0"/>
                    <w:ind w:right="-1346"/>
                    <w:rPr>
                      <w:rFonts w:eastAsia="Times New Roman" w:cs="Arial"/>
                      <w:szCs w:val="20"/>
                    </w:rPr>
                  </w:pPr>
                  <w:r w:rsidRPr="00505285">
                    <w:rPr>
                      <w:rFonts w:eastAsia="Times New Roman" w:cs="Arial"/>
                      <w:szCs w:val="20"/>
                    </w:rPr>
                    <w:t xml:space="preserve">9 </w:t>
                  </w:r>
                  <w:r w:rsidR="00667A3D">
                    <w:rPr>
                      <w:rFonts w:eastAsia="Times New Roman" w:cs="Arial"/>
                      <w:szCs w:val="20"/>
                    </w:rPr>
                    <w:t>–</w:t>
                  </w:r>
                  <w:r w:rsidRPr="00505285">
                    <w:rPr>
                      <w:rFonts w:eastAsia="Times New Roman" w:cs="Arial"/>
                      <w:szCs w:val="20"/>
                    </w:rPr>
                    <w:t xml:space="preserve"> 11 yr</w:t>
                  </w:r>
                </w:p>
              </w:tc>
              <w:tc>
                <w:tcPr>
                  <w:tcW w:w="1134" w:type="dxa"/>
                </w:tcPr>
                <w:p w14:paraId="18105962" w14:textId="77777777" w:rsidR="00036214" w:rsidRPr="00505285" w:rsidRDefault="00036214">
                  <w:pPr>
                    <w:spacing w:after="0"/>
                    <w:ind w:right="38"/>
                    <w:jc w:val="center"/>
                    <w:rPr>
                      <w:rFonts w:eastAsia="Times New Roman" w:cs="Arial"/>
                      <w:szCs w:val="20"/>
                    </w:rPr>
                  </w:pPr>
                  <w:r w:rsidRPr="00505285">
                    <w:rPr>
                      <w:rFonts w:eastAsia="Times New Roman" w:cs="Arial"/>
                      <w:szCs w:val="20"/>
                    </w:rPr>
                    <w:t>132</w:t>
                  </w:r>
                </w:p>
              </w:tc>
              <w:tc>
                <w:tcPr>
                  <w:tcW w:w="851" w:type="dxa"/>
                </w:tcPr>
                <w:p w14:paraId="4641D2D4" w14:textId="77777777" w:rsidR="00036214" w:rsidRPr="00505285" w:rsidRDefault="00036214">
                  <w:pPr>
                    <w:spacing w:after="0"/>
                    <w:ind w:right="-39"/>
                    <w:jc w:val="center"/>
                    <w:rPr>
                      <w:rFonts w:eastAsia="Times New Roman" w:cs="Arial"/>
                      <w:szCs w:val="20"/>
                    </w:rPr>
                  </w:pPr>
                  <w:r w:rsidRPr="00505285">
                    <w:rPr>
                      <w:rFonts w:eastAsia="Times New Roman" w:cs="Arial"/>
                      <w:szCs w:val="20"/>
                    </w:rPr>
                    <w:t>214</w:t>
                  </w:r>
                </w:p>
              </w:tc>
              <w:tc>
                <w:tcPr>
                  <w:tcW w:w="1013" w:type="dxa"/>
                </w:tcPr>
                <w:p w14:paraId="6641DAC4" w14:textId="77777777" w:rsidR="00036214" w:rsidRPr="00505285" w:rsidRDefault="00036214">
                  <w:pPr>
                    <w:spacing w:after="0"/>
                    <w:ind w:right="30"/>
                    <w:jc w:val="center"/>
                    <w:rPr>
                      <w:rFonts w:eastAsia="Times New Roman" w:cs="Arial"/>
                      <w:szCs w:val="20"/>
                    </w:rPr>
                  </w:pPr>
                  <w:r w:rsidRPr="00505285">
                    <w:rPr>
                      <w:rFonts w:eastAsia="Times New Roman" w:cs="Arial"/>
                      <w:szCs w:val="20"/>
                    </w:rPr>
                    <w:t>273</w:t>
                  </w:r>
                </w:p>
              </w:tc>
              <w:tc>
                <w:tcPr>
                  <w:tcW w:w="848" w:type="dxa"/>
                </w:tcPr>
                <w:p w14:paraId="0772838C"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173</w:t>
                  </w:r>
                </w:p>
              </w:tc>
              <w:tc>
                <w:tcPr>
                  <w:tcW w:w="848" w:type="dxa"/>
                </w:tcPr>
                <w:p w14:paraId="4F2D4C61"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189</w:t>
                  </w:r>
                </w:p>
              </w:tc>
              <w:tc>
                <w:tcPr>
                  <w:tcW w:w="848" w:type="dxa"/>
                </w:tcPr>
                <w:p w14:paraId="17D7F9C3"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200</w:t>
                  </w:r>
                </w:p>
              </w:tc>
              <w:tc>
                <w:tcPr>
                  <w:tcW w:w="848" w:type="dxa"/>
                </w:tcPr>
                <w:p w14:paraId="53955D1E"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195</w:t>
                  </w:r>
                </w:p>
              </w:tc>
              <w:tc>
                <w:tcPr>
                  <w:tcW w:w="848" w:type="dxa"/>
                </w:tcPr>
                <w:p w14:paraId="24223958" w14:textId="77777777" w:rsidR="00036214" w:rsidRPr="00505285" w:rsidRDefault="00036214">
                  <w:pPr>
                    <w:spacing w:after="0"/>
                    <w:ind w:right="27"/>
                    <w:jc w:val="center"/>
                    <w:rPr>
                      <w:rFonts w:eastAsia="Times New Roman" w:cs="Arial"/>
                      <w:szCs w:val="20"/>
                    </w:rPr>
                  </w:pPr>
                  <w:r w:rsidRPr="00505285">
                    <w:rPr>
                      <w:rFonts w:eastAsia="Times New Roman" w:cs="Arial"/>
                      <w:szCs w:val="20"/>
                    </w:rPr>
                    <w:t>163</w:t>
                  </w:r>
                </w:p>
              </w:tc>
              <w:tc>
                <w:tcPr>
                  <w:tcW w:w="848" w:type="dxa"/>
                </w:tcPr>
                <w:p w14:paraId="4FFE9898"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158</w:t>
                  </w:r>
                </w:p>
              </w:tc>
              <w:tc>
                <w:tcPr>
                  <w:tcW w:w="848" w:type="dxa"/>
                </w:tcPr>
                <w:p w14:paraId="7530DED3"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170</w:t>
                  </w:r>
                </w:p>
              </w:tc>
              <w:tc>
                <w:tcPr>
                  <w:tcW w:w="848" w:type="dxa"/>
                </w:tcPr>
                <w:p w14:paraId="6EE13C29"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169</w:t>
                  </w:r>
                </w:p>
              </w:tc>
            </w:tr>
            <w:tr w:rsidR="00036214" w:rsidRPr="00505285" w14:paraId="71E31FB8" w14:textId="77777777">
              <w:tc>
                <w:tcPr>
                  <w:tcW w:w="1342" w:type="dxa"/>
                </w:tcPr>
                <w:p w14:paraId="63093073" w14:textId="49CADC50" w:rsidR="00036214" w:rsidRPr="00505285" w:rsidRDefault="00036214">
                  <w:pPr>
                    <w:spacing w:after="0"/>
                    <w:ind w:right="-1346"/>
                    <w:rPr>
                      <w:rFonts w:eastAsia="Times New Roman" w:cs="Arial"/>
                      <w:szCs w:val="20"/>
                    </w:rPr>
                  </w:pPr>
                  <w:r w:rsidRPr="00505285">
                    <w:rPr>
                      <w:rFonts w:eastAsia="Times New Roman" w:cs="Arial"/>
                      <w:szCs w:val="20"/>
                    </w:rPr>
                    <w:t xml:space="preserve">12 </w:t>
                  </w:r>
                  <w:r w:rsidR="00667A3D">
                    <w:rPr>
                      <w:rFonts w:eastAsia="Times New Roman" w:cs="Arial"/>
                      <w:szCs w:val="20"/>
                    </w:rPr>
                    <w:t>–</w:t>
                  </w:r>
                  <w:r w:rsidRPr="00505285">
                    <w:rPr>
                      <w:rFonts w:eastAsia="Times New Roman" w:cs="Arial"/>
                      <w:szCs w:val="20"/>
                    </w:rPr>
                    <w:t xml:space="preserve"> 13 yr</w:t>
                  </w:r>
                </w:p>
              </w:tc>
              <w:tc>
                <w:tcPr>
                  <w:tcW w:w="1134" w:type="dxa"/>
                  <w:vMerge w:val="restart"/>
                  <w:vAlign w:val="center"/>
                </w:tcPr>
                <w:p w14:paraId="72949E1D" w14:textId="77777777" w:rsidR="00036214" w:rsidRPr="00505285" w:rsidRDefault="00036214">
                  <w:pPr>
                    <w:spacing w:after="0"/>
                    <w:ind w:right="38"/>
                    <w:jc w:val="center"/>
                    <w:rPr>
                      <w:rFonts w:eastAsia="Times New Roman" w:cs="Arial"/>
                      <w:szCs w:val="20"/>
                    </w:rPr>
                  </w:pPr>
                  <w:r w:rsidRPr="00505285">
                    <w:rPr>
                      <w:rFonts w:eastAsia="Times New Roman" w:cs="Arial"/>
                      <w:szCs w:val="20"/>
                    </w:rPr>
                    <w:t>163^</w:t>
                  </w:r>
                </w:p>
              </w:tc>
              <w:tc>
                <w:tcPr>
                  <w:tcW w:w="851" w:type="dxa"/>
                  <w:vMerge w:val="restart"/>
                  <w:vAlign w:val="center"/>
                </w:tcPr>
                <w:p w14:paraId="4A82C5C8" w14:textId="77777777" w:rsidR="00036214" w:rsidRPr="00505285" w:rsidRDefault="00036214">
                  <w:pPr>
                    <w:spacing w:after="0"/>
                    <w:ind w:right="38"/>
                    <w:jc w:val="center"/>
                    <w:rPr>
                      <w:rFonts w:eastAsia="Times New Roman" w:cs="Arial"/>
                      <w:szCs w:val="20"/>
                    </w:rPr>
                  </w:pPr>
                  <w:r w:rsidRPr="00505285">
                    <w:rPr>
                      <w:rFonts w:eastAsia="Times New Roman" w:cs="Arial"/>
                      <w:szCs w:val="20"/>
                    </w:rPr>
                    <w:t>247</w:t>
                  </w:r>
                </w:p>
              </w:tc>
              <w:tc>
                <w:tcPr>
                  <w:tcW w:w="1013" w:type="dxa"/>
                  <w:vMerge w:val="restart"/>
                  <w:vAlign w:val="center"/>
                </w:tcPr>
                <w:p w14:paraId="15EA5E41" w14:textId="77777777" w:rsidR="00036214" w:rsidRPr="00505285" w:rsidRDefault="00036214">
                  <w:pPr>
                    <w:spacing w:after="0"/>
                    <w:ind w:right="38"/>
                    <w:jc w:val="center"/>
                    <w:rPr>
                      <w:rFonts w:eastAsia="Times New Roman" w:cs="Arial"/>
                      <w:szCs w:val="20"/>
                    </w:rPr>
                  </w:pPr>
                  <w:r w:rsidRPr="00505285">
                    <w:rPr>
                      <w:rFonts w:eastAsia="Times New Roman" w:cs="Arial"/>
                      <w:szCs w:val="20"/>
                    </w:rPr>
                    <w:t>365</w:t>
                  </w:r>
                </w:p>
              </w:tc>
              <w:tc>
                <w:tcPr>
                  <w:tcW w:w="848" w:type="dxa"/>
                </w:tcPr>
                <w:p w14:paraId="5B2E99DC"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235</w:t>
                  </w:r>
                </w:p>
              </w:tc>
              <w:tc>
                <w:tcPr>
                  <w:tcW w:w="848" w:type="dxa"/>
                </w:tcPr>
                <w:p w14:paraId="25D17A3F"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221</w:t>
                  </w:r>
                </w:p>
              </w:tc>
              <w:tc>
                <w:tcPr>
                  <w:tcW w:w="848" w:type="dxa"/>
                </w:tcPr>
                <w:p w14:paraId="704B76E2"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245</w:t>
                  </w:r>
                </w:p>
              </w:tc>
              <w:tc>
                <w:tcPr>
                  <w:tcW w:w="848" w:type="dxa"/>
                </w:tcPr>
                <w:p w14:paraId="1A1CBE8E"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234</w:t>
                  </w:r>
                </w:p>
              </w:tc>
              <w:tc>
                <w:tcPr>
                  <w:tcW w:w="848" w:type="dxa"/>
                </w:tcPr>
                <w:p w14:paraId="5BC70A34" w14:textId="77777777" w:rsidR="00036214" w:rsidRPr="00505285" w:rsidRDefault="00036214">
                  <w:pPr>
                    <w:spacing w:after="0"/>
                    <w:ind w:right="27"/>
                    <w:jc w:val="center"/>
                    <w:rPr>
                      <w:rFonts w:eastAsia="Times New Roman" w:cs="Arial"/>
                      <w:szCs w:val="20"/>
                    </w:rPr>
                  </w:pPr>
                  <w:r w:rsidRPr="00505285">
                    <w:rPr>
                      <w:rFonts w:eastAsia="Times New Roman" w:cs="Arial"/>
                      <w:szCs w:val="20"/>
                    </w:rPr>
                    <w:t>215</w:t>
                  </w:r>
                </w:p>
              </w:tc>
              <w:tc>
                <w:tcPr>
                  <w:tcW w:w="848" w:type="dxa"/>
                </w:tcPr>
                <w:p w14:paraId="7DDF44B4"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211</w:t>
                  </w:r>
                </w:p>
              </w:tc>
              <w:tc>
                <w:tcPr>
                  <w:tcW w:w="848" w:type="dxa"/>
                </w:tcPr>
                <w:p w14:paraId="795BA918"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224</w:t>
                  </w:r>
                </w:p>
              </w:tc>
              <w:tc>
                <w:tcPr>
                  <w:tcW w:w="848" w:type="dxa"/>
                </w:tcPr>
                <w:p w14:paraId="4C72F9BA"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215</w:t>
                  </w:r>
                </w:p>
              </w:tc>
            </w:tr>
            <w:tr w:rsidR="00036214" w:rsidRPr="00505285" w14:paraId="6CC135A8" w14:textId="77777777">
              <w:tc>
                <w:tcPr>
                  <w:tcW w:w="1342" w:type="dxa"/>
                </w:tcPr>
                <w:p w14:paraId="3144DD2A" w14:textId="7E18CDA7" w:rsidR="00036214" w:rsidRPr="00505285" w:rsidRDefault="00036214">
                  <w:pPr>
                    <w:spacing w:after="0"/>
                    <w:ind w:right="-1346"/>
                    <w:rPr>
                      <w:rFonts w:eastAsia="Times New Roman" w:cs="Arial"/>
                      <w:szCs w:val="20"/>
                    </w:rPr>
                  </w:pPr>
                  <w:r w:rsidRPr="00505285">
                    <w:rPr>
                      <w:rFonts w:eastAsia="Times New Roman" w:cs="Arial"/>
                      <w:szCs w:val="20"/>
                    </w:rPr>
                    <w:t xml:space="preserve">14 </w:t>
                  </w:r>
                  <w:r w:rsidR="00667A3D">
                    <w:rPr>
                      <w:rFonts w:eastAsia="Times New Roman" w:cs="Arial"/>
                      <w:szCs w:val="20"/>
                    </w:rPr>
                    <w:t>–</w:t>
                  </w:r>
                  <w:r w:rsidRPr="00505285">
                    <w:rPr>
                      <w:rFonts w:eastAsia="Times New Roman" w:cs="Arial"/>
                      <w:szCs w:val="20"/>
                    </w:rPr>
                    <w:t xml:space="preserve"> 18 yr</w:t>
                  </w:r>
                </w:p>
              </w:tc>
              <w:tc>
                <w:tcPr>
                  <w:tcW w:w="1134" w:type="dxa"/>
                  <w:vMerge/>
                </w:tcPr>
                <w:p w14:paraId="39E56FE5" w14:textId="77777777" w:rsidR="00036214" w:rsidRPr="00505285" w:rsidRDefault="00036214">
                  <w:pPr>
                    <w:spacing w:after="0"/>
                    <w:ind w:right="38"/>
                    <w:jc w:val="center"/>
                    <w:rPr>
                      <w:rFonts w:eastAsia="Times New Roman" w:cs="Arial"/>
                      <w:szCs w:val="20"/>
                    </w:rPr>
                  </w:pPr>
                </w:p>
              </w:tc>
              <w:tc>
                <w:tcPr>
                  <w:tcW w:w="851" w:type="dxa"/>
                  <w:vMerge/>
                </w:tcPr>
                <w:p w14:paraId="320283A7" w14:textId="77777777" w:rsidR="00036214" w:rsidRPr="00505285" w:rsidRDefault="00036214">
                  <w:pPr>
                    <w:spacing w:after="0"/>
                    <w:ind w:right="-39"/>
                    <w:jc w:val="center"/>
                    <w:rPr>
                      <w:rFonts w:eastAsia="Times New Roman" w:cs="Arial"/>
                      <w:szCs w:val="20"/>
                    </w:rPr>
                  </w:pPr>
                </w:p>
              </w:tc>
              <w:tc>
                <w:tcPr>
                  <w:tcW w:w="1013" w:type="dxa"/>
                  <w:vMerge/>
                </w:tcPr>
                <w:p w14:paraId="258160E1" w14:textId="77777777" w:rsidR="00036214" w:rsidRPr="00505285" w:rsidRDefault="00036214">
                  <w:pPr>
                    <w:spacing w:after="0"/>
                    <w:ind w:right="30"/>
                    <w:jc w:val="center"/>
                    <w:rPr>
                      <w:rFonts w:eastAsia="Times New Roman" w:cs="Arial"/>
                      <w:szCs w:val="20"/>
                    </w:rPr>
                  </w:pPr>
                </w:p>
              </w:tc>
              <w:tc>
                <w:tcPr>
                  <w:tcW w:w="848" w:type="dxa"/>
                </w:tcPr>
                <w:p w14:paraId="6F6E6EF4"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209</w:t>
                  </w:r>
                </w:p>
              </w:tc>
              <w:tc>
                <w:tcPr>
                  <w:tcW w:w="848" w:type="dxa"/>
                </w:tcPr>
                <w:p w14:paraId="7AA370F6"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212</w:t>
                  </w:r>
                </w:p>
              </w:tc>
              <w:tc>
                <w:tcPr>
                  <w:tcW w:w="848" w:type="dxa"/>
                </w:tcPr>
                <w:p w14:paraId="6B3183FA"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230</w:t>
                  </w:r>
                </w:p>
              </w:tc>
              <w:tc>
                <w:tcPr>
                  <w:tcW w:w="848" w:type="dxa"/>
                </w:tcPr>
                <w:p w14:paraId="65A0FC56"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223</w:t>
                  </w:r>
                </w:p>
              </w:tc>
              <w:tc>
                <w:tcPr>
                  <w:tcW w:w="848" w:type="dxa"/>
                </w:tcPr>
                <w:p w14:paraId="6BFD6C72"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203</w:t>
                  </w:r>
                </w:p>
              </w:tc>
              <w:tc>
                <w:tcPr>
                  <w:tcW w:w="848" w:type="dxa"/>
                </w:tcPr>
                <w:p w14:paraId="74363F42"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200</w:t>
                  </w:r>
                </w:p>
              </w:tc>
              <w:tc>
                <w:tcPr>
                  <w:tcW w:w="848" w:type="dxa"/>
                </w:tcPr>
                <w:p w14:paraId="6025ABE7"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236</w:t>
                  </w:r>
                </w:p>
              </w:tc>
              <w:tc>
                <w:tcPr>
                  <w:tcW w:w="848" w:type="dxa"/>
                </w:tcPr>
                <w:p w14:paraId="2040B089" w14:textId="77777777" w:rsidR="00036214" w:rsidRPr="00505285" w:rsidRDefault="00036214">
                  <w:pPr>
                    <w:spacing w:after="0"/>
                    <w:ind w:right="-115"/>
                    <w:jc w:val="center"/>
                    <w:rPr>
                      <w:rFonts w:eastAsia="Times New Roman" w:cs="Arial"/>
                      <w:szCs w:val="20"/>
                    </w:rPr>
                  </w:pPr>
                  <w:r w:rsidRPr="00505285">
                    <w:rPr>
                      <w:rFonts w:eastAsia="Times New Roman" w:cs="Arial"/>
                      <w:szCs w:val="20"/>
                    </w:rPr>
                    <w:t>244</w:t>
                  </w:r>
                </w:p>
              </w:tc>
            </w:tr>
          </w:tbl>
          <w:p w14:paraId="4B346F95" w14:textId="77777777" w:rsidR="00036214" w:rsidRPr="00505285" w:rsidRDefault="00036214">
            <w:pPr>
              <w:spacing w:after="0"/>
              <w:ind w:right="-134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Age groupings for core food group and AGHE 98 modelling: 4-7yrs; 8-11yrs; 12-18yrs</w:t>
            </w:r>
          </w:p>
        </w:tc>
      </w:tr>
      <w:tr w:rsidR="00036214" w:rsidRPr="00505285" w14:paraId="0F7A8D7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tcPr>
          <w:p w14:paraId="431BB7E3" w14:textId="77777777" w:rsidR="00036214" w:rsidRPr="00505285" w:rsidRDefault="00036214">
            <w:pPr>
              <w:rPr>
                <w:rFonts w:eastAsia="Arial" w:cs="Arial"/>
                <w:szCs w:val="20"/>
              </w:rPr>
            </w:pPr>
            <w:r w:rsidRPr="00505285">
              <w:rPr>
                <w:rFonts w:eastAsia="Arial" w:cs="Arial"/>
                <w:szCs w:val="20"/>
              </w:rPr>
              <w:lastRenderedPageBreak/>
              <w:t>Resource impacts</w:t>
            </w:r>
          </w:p>
        </w:tc>
        <w:tc>
          <w:tcPr>
            <w:tcW w:w="5889" w:type="dxa"/>
            <w:tcBorders>
              <w:left w:val="single" w:sz="4" w:space="0" w:color="77BCD9"/>
            </w:tcBorders>
          </w:tcPr>
          <w:p w14:paraId="196A5051" w14:textId="77777777" w:rsidR="00036214" w:rsidRPr="00505285" w:rsidRDefault="00036214">
            <w:pPr>
              <w:spacing w:before="120" w:after="0"/>
              <w:ind w:right="-114"/>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If current values for children and adolescents are retained -including additional values aligned with school-age groupings- it is expected to have minimal implications for regulators, including FSANZ (food and food products) and TGA (supplements). .</w:t>
            </w:r>
          </w:p>
        </w:tc>
        <w:tc>
          <w:tcPr>
            <w:tcW w:w="0" w:type="dxa"/>
          </w:tcPr>
          <w:p w14:paraId="1E97E687" w14:textId="19DA321E" w:rsidR="00036214" w:rsidRPr="00505285" w:rsidRDefault="00036214">
            <w:pPr>
              <w:spacing w:before="120" w:after="0"/>
              <w:ind w:right="31"/>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 xml:space="preserve">The proposed change </w:t>
            </w:r>
            <w:r w:rsidR="00667A3D">
              <w:rPr>
                <w:rFonts w:eastAsia="Times New Roman" w:cs="Arial"/>
                <w:szCs w:val="20"/>
              </w:rPr>
              <w:t>I</w:t>
            </w:r>
            <w:r w:rsidRPr="00505285">
              <w:rPr>
                <w:rFonts w:eastAsia="Times New Roman" w:cs="Arial"/>
                <w:szCs w:val="20"/>
              </w:rPr>
              <w:t xml:space="preserve">s nominal, </w:t>
            </w:r>
            <w:proofErr w:type="spellStart"/>
            <w:proofErr w:type="gramStart"/>
            <w:r w:rsidRPr="00505285">
              <w:rPr>
                <w:rFonts w:eastAsia="Times New Roman" w:cs="Arial"/>
                <w:szCs w:val="20"/>
              </w:rPr>
              <w:t>re</w:t>
            </w:r>
            <w:r w:rsidR="00667A3D">
              <w:rPr>
                <w:rFonts w:eastAsia="Times New Roman" w:cs="Arial"/>
                <w:szCs w:val="20"/>
              </w:rPr>
              <w:t>”</w:t>
            </w:r>
            <w:r w:rsidRPr="00505285">
              <w:rPr>
                <w:rFonts w:eastAsia="Times New Roman" w:cs="Arial"/>
                <w:szCs w:val="20"/>
              </w:rPr>
              <w:t>laci</w:t>
            </w:r>
            <w:r w:rsidR="00667A3D">
              <w:rPr>
                <w:rFonts w:eastAsia="Times New Roman" w:cs="Arial"/>
                <w:szCs w:val="20"/>
              </w:rPr>
              <w:t>’</w:t>
            </w:r>
            <w:r w:rsidRPr="00505285">
              <w:rPr>
                <w:rFonts w:eastAsia="Times New Roman" w:cs="Arial"/>
                <w:szCs w:val="20"/>
              </w:rPr>
              <w:t>g</w:t>
            </w:r>
            <w:proofErr w:type="spellEnd"/>
            <w:proofErr w:type="gramEnd"/>
            <w:r w:rsidRPr="00505285">
              <w:rPr>
                <w:rFonts w:eastAsia="Times New Roman" w:cs="Arial"/>
                <w:szCs w:val="20"/>
              </w:rPr>
              <w:t xml:space="preserve"> the current EAR and RDI with an AI to reflect uncertainty in the evidence </w:t>
            </w:r>
            <w:proofErr w:type="gramStart"/>
            <w:r w:rsidRPr="00505285">
              <w:rPr>
                <w:rFonts w:eastAsia="Times New Roman" w:cs="Arial"/>
                <w:szCs w:val="20"/>
              </w:rPr>
              <w:t>base, and</w:t>
            </w:r>
            <w:proofErr w:type="gramEnd"/>
            <w:r w:rsidRPr="00505285">
              <w:rPr>
                <w:rFonts w:eastAsia="Times New Roman" w:cs="Arial"/>
                <w:szCs w:val="20"/>
              </w:rPr>
              <w:t xml:space="preserve"> adjusting recommendations to align with new age groupings. </w:t>
            </w:r>
          </w:p>
          <w:p w14:paraId="44739E3D" w14:textId="77777777" w:rsidR="00036214" w:rsidRPr="00505285" w:rsidRDefault="00036214">
            <w:pPr>
              <w:spacing w:before="120" w:after="0"/>
              <w:ind w:right="172"/>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 xml:space="preserve">While small, these changes may have significant implications for regulators, including FSANZ (food and food products) and the TGA (supplements). </w:t>
            </w:r>
            <w:proofErr w:type="gramStart"/>
            <w:r w:rsidRPr="00505285">
              <w:rPr>
                <w:rFonts w:eastAsia="Times New Roman" w:cs="Arial"/>
                <w:szCs w:val="20"/>
              </w:rPr>
              <w:t>In particular, removal</w:t>
            </w:r>
            <w:proofErr w:type="gramEnd"/>
            <w:r w:rsidRPr="00505285">
              <w:rPr>
                <w:rFonts w:eastAsia="Times New Roman" w:cs="Arial"/>
                <w:szCs w:val="20"/>
              </w:rPr>
              <w:t xml:space="preserve"> of the EAR may preclude analysis comparing dietary intake modelling data against the EAR. Preliminary discussions with FSANZ have indicated that removal of the EAR would be problematic for ongoing monitoring of the mandatory fortification program.</w:t>
            </w:r>
          </w:p>
          <w:p w14:paraId="228A51CB" w14:textId="77777777" w:rsidR="00036214" w:rsidRPr="00505285" w:rsidRDefault="00036214">
            <w:pPr>
              <w:spacing w:before="120" w:after="0"/>
              <w:ind w:right="181"/>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 xml:space="preserve">The FSANZ regulatory RDI for iodine for ages 1-3 is 70µg/day (current RDI and proposed AI 90 µg/day). </w:t>
            </w:r>
          </w:p>
          <w:p w14:paraId="2F70A519" w14:textId="77777777" w:rsidR="00036214" w:rsidRPr="00505285" w:rsidRDefault="00036214">
            <w:pPr>
              <w:spacing w:before="120" w:after="0"/>
              <w:ind w:right="181"/>
              <w:cnfStyle w:val="000000010000" w:firstRow="0" w:lastRow="0" w:firstColumn="0" w:lastColumn="0" w:oddVBand="0" w:evenVBand="0" w:oddHBand="0" w:evenHBand="1" w:firstRowFirstColumn="0" w:firstRowLastColumn="0" w:lastRowFirstColumn="0" w:lastRowLastColumn="0"/>
              <w:rPr>
                <w:rFonts w:eastAsia="Times New Roman" w:cs="Arial"/>
                <w:i/>
                <w:iCs/>
                <w:szCs w:val="20"/>
              </w:rPr>
            </w:pPr>
            <w:r w:rsidRPr="00505285">
              <w:rPr>
                <w:rFonts w:eastAsia="Times New Roman" w:cs="Arial"/>
                <w:szCs w:val="20"/>
              </w:rPr>
              <w:t xml:space="preserve">Views will be sought during targeted/stakeholder consultation and considered when developing final NRVs.  </w:t>
            </w:r>
          </w:p>
        </w:tc>
      </w:tr>
      <w:tr w:rsidR="00036214" w:rsidRPr="00505285" w14:paraId="37D906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tcPr>
          <w:p w14:paraId="6B910E53" w14:textId="77777777" w:rsidR="00036214" w:rsidRPr="00505285" w:rsidRDefault="00036214">
            <w:pPr>
              <w:rPr>
                <w:rFonts w:eastAsia="Arial" w:cs="Arial"/>
                <w:szCs w:val="20"/>
              </w:rPr>
            </w:pPr>
            <w:r w:rsidRPr="00505285">
              <w:rPr>
                <w:rFonts w:eastAsia="Arial" w:cs="Arial"/>
                <w:szCs w:val="20"/>
              </w:rPr>
              <w:t>Other factors (health equity impacts, sustainability)</w:t>
            </w:r>
          </w:p>
        </w:tc>
        <w:tc>
          <w:tcPr>
            <w:tcW w:w="12551" w:type="dxa"/>
            <w:gridSpan w:val="2"/>
            <w:tcBorders>
              <w:left w:val="single" w:sz="4" w:space="0" w:color="77BCD9"/>
            </w:tcBorders>
          </w:tcPr>
          <w:p w14:paraId="36DF8408" w14:textId="77777777" w:rsidR="00036214" w:rsidRPr="00505285" w:rsidRDefault="00036214">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iCs/>
                <w:szCs w:val="20"/>
              </w:rPr>
              <w:t xml:space="preserve">Groups at risk of deficiency </w:t>
            </w:r>
            <w:proofErr w:type="gramStart"/>
            <w:r w:rsidRPr="00505285">
              <w:rPr>
                <w:rFonts w:eastAsia="Times New Roman" w:cs="Arial"/>
                <w:iCs/>
                <w:szCs w:val="20"/>
              </w:rPr>
              <w:t>include:</w:t>
            </w:r>
            <w:proofErr w:type="gramEnd"/>
            <w:r w:rsidRPr="00505285">
              <w:rPr>
                <w:rFonts w:eastAsia="Times New Roman" w:cs="Arial"/>
                <w:iCs/>
                <w:szCs w:val="20"/>
              </w:rPr>
              <w:t xml:space="preserve"> vegans or vegetarians; individuals with low consumption of dairy, commercial bread, or iodised salt; and smokers of both tobacco and electronic cigarettes. </w:t>
            </w:r>
            <w:r w:rsidRPr="00505285">
              <w:rPr>
                <w:rFonts w:eastAsia="Times New Roman" w:cs="Times New Roman"/>
                <w:szCs w:val="20"/>
              </w:rPr>
              <w:t xml:space="preserve">Reduced consumption of commercial bread and bread products in Australia (ABS 2025b) and </w:t>
            </w:r>
            <w:r w:rsidRPr="00505285">
              <w:rPr>
                <w:rFonts w:eastAsia="Times New Roman" w:cs="Arial"/>
                <w:iCs/>
                <w:szCs w:val="20"/>
              </w:rPr>
              <w:t>increasing interest in predominantly plant-based diets (</w:t>
            </w:r>
            <w:r w:rsidRPr="00505285">
              <w:rPr>
                <w:rFonts w:eastAsia="Times New Roman" w:cs="Times New Roman"/>
                <w:szCs w:val="20"/>
              </w:rPr>
              <w:t xml:space="preserve">Roy Morgan 2016; Kantar 2022; Riverola et al. 2023) </w:t>
            </w:r>
            <w:r w:rsidRPr="00505285">
              <w:rPr>
                <w:rFonts w:eastAsia="Times New Roman" w:cs="Arial"/>
                <w:iCs/>
                <w:szCs w:val="20"/>
              </w:rPr>
              <w:t>has the potential to reduce population iodine intake and should be closely monitored. Increasing use of e-cigarettes among youth (AIHW 2024) may also impact on iodine uptake from diet.</w:t>
            </w:r>
          </w:p>
        </w:tc>
      </w:tr>
      <w:tr w:rsidR="00036214" w:rsidRPr="00505285" w14:paraId="7E56576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single" w:sz="4" w:space="0" w:color="77BCD9"/>
              <w:left w:val="single" w:sz="4" w:space="0" w:color="77BCD9"/>
              <w:bottom w:val="single" w:sz="4" w:space="0" w:color="77BCD9"/>
              <w:right w:val="single" w:sz="4" w:space="0" w:color="77BCD9"/>
            </w:tcBorders>
          </w:tcPr>
          <w:p w14:paraId="1BE466B7" w14:textId="77777777" w:rsidR="00036214" w:rsidRPr="00505285" w:rsidRDefault="00036214">
            <w:pPr>
              <w:rPr>
                <w:rFonts w:eastAsia="Arial" w:cs="Arial"/>
                <w:szCs w:val="20"/>
              </w:rPr>
            </w:pPr>
            <w:r w:rsidRPr="00505285">
              <w:rPr>
                <w:rFonts w:eastAsia="Arial" w:cs="Arial"/>
                <w:szCs w:val="20"/>
              </w:rPr>
              <w:t>Decision</w:t>
            </w:r>
          </w:p>
        </w:tc>
        <w:tc>
          <w:tcPr>
            <w:tcW w:w="12551" w:type="dxa"/>
            <w:gridSpan w:val="2"/>
            <w:tcBorders>
              <w:left w:val="single" w:sz="4" w:space="0" w:color="77BCD9"/>
            </w:tcBorders>
          </w:tcPr>
          <w:p w14:paraId="24453D18" w14:textId="77777777" w:rsidR="00036214" w:rsidRPr="00505285" w:rsidRDefault="00036214">
            <w:pPr>
              <w:spacing w:before="120" w:after="0"/>
              <w:ind w:right="-1346"/>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Retain EAR and RDI, derived by scaling / extrapolation by new age groupings. Rationale:</w:t>
            </w:r>
          </w:p>
          <w:p w14:paraId="0F45878E" w14:textId="77777777" w:rsidR="00036214" w:rsidRPr="00505285" w:rsidRDefault="00036214">
            <w:pPr>
              <w:spacing w:before="120" w:after="0"/>
              <w:ind w:right="181"/>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The benefits of having an EAR for public health evaluation outweigh the benefits of acknowledging uncertainty in the underlying evidence base</w:t>
            </w:r>
          </w:p>
          <w:p w14:paraId="796E1126" w14:textId="77777777" w:rsidR="00036214" w:rsidRPr="00505285" w:rsidRDefault="00036214">
            <w:pPr>
              <w:spacing w:before="120" w:after="0"/>
              <w:ind w:right="181"/>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Available evidence in children and adolescents is very limited, and evidence used to derive current EAR from small balance studies or select individuals within a broader study sample is not sufficiently robust. Scaling / extrapolation of adult values to child / adolescent populations is considered a more appropriate approach.</w:t>
            </w:r>
          </w:p>
          <w:p w14:paraId="0E94D259" w14:textId="77777777" w:rsidR="00036214" w:rsidRPr="00505285" w:rsidRDefault="00036214">
            <w:pPr>
              <w:spacing w:before="120" w:after="0"/>
              <w:ind w:right="181"/>
              <w:cnfStyle w:val="000000010000" w:firstRow="0" w:lastRow="0" w:firstColumn="0" w:lastColumn="0" w:oddVBand="0" w:evenVBand="0" w:oddHBand="0" w:evenHBand="1" w:firstRowFirstColumn="0" w:firstRowLastColumn="0" w:lastRowFirstColumn="0" w:lastRowLastColumn="0"/>
              <w:rPr>
                <w:rFonts w:eastAsia="Times New Roman" w:cs="Arial"/>
                <w:szCs w:val="20"/>
              </w:rPr>
            </w:pPr>
            <w:r w:rsidRPr="00505285">
              <w:rPr>
                <w:rFonts w:eastAsia="Times New Roman" w:cs="Arial"/>
                <w:szCs w:val="20"/>
              </w:rPr>
              <w:t xml:space="preserve">There is no evidence that the current recommendations are inaccurate or unsuitable for children and adolescents. </w:t>
            </w:r>
          </w:p>
        </w:tc>
      </w:tr>
    </w:tbl>
    <w:p w14:paraId="2404093D" w14:textId="1DFD7C1F" w:rsidR="00794C15" w:rsidRDefault="00794C15" w:rsidP="00036214"/>
    <w:p w14:paraId="208F7BA9" w14:textId="77777777" w:rsidR="00794C15" w:rsidRDefault="00794C15">
      <w:pPr>
        <w:spacing w:line="240" w:lineRule="atLeast"/>
      </w:pPr>
      <w:r>
        <w:br w:type="page"/>
      </w:r>
    </w:p>
    <w:p w14:paraId="6AB12123" w14:textId="77777777" w:rsidR="00794C15" w:rsidRPr="00346B6E" w:rsidRDefault="00794C15" w:rsidP="00794C15">
      <w:pPr>
        <w:pStyle w:val="Heading3"/>
        <w:rPr>
          <w:rFonts w:eastAsia="SimHei" w:cs="Times New Roman"/>
          <w:color w:val="09002E"/>
        </w:rPr>
      </w:pPr>
      <w:bookmarkStart w:id="202" w:name="_Toc210406421"/>
      <w:bookmarkStart w:id="203" w:name="_Toc212567924"/>
      <w:r w:rsidRPr="00794C15">
        <w:lastRenderedPageBreak/>
        <w:t>References</w:t>
      </w:r>
      <w:bookmarkEnd w:id="202"/>
      <w:bookmarkEnd w:id="203"/>
    </w:p>
    <w:p w14:paraId="28512B82" w14:textId="77777777" w:rsidR="00794C15" w:rsidRPr="00BB3C9A" w:rsidRDefault="00794C15" w:rsidP="00794C15">
      <w:pPr>
        <w:rPr>
          <w:rFonts w:eastAsia="Arial"/>
        </w:rPr>
      </w:pPr>
      <w:r w:rsidRPr="00BB3C9A">
        <w:rPr>
          <w:rFonts w:eastAsia="Arial"/>
        </w:rPr>
        <w:t xml:space="preserve">Andersen SL, Moller M and Laurberg P. 2014. Iodine concentrations in milk and in urine during breastfeeding are differently affected by maternal fluid intake. </w:t>
      </w:r>
      <w:r w:rsidRPr="00BB3C9A">
        <w:rPr>
          <w:rFonts w:eastAsia="Arial"/>
          <w:i/>
          <w:iCs/>
        </w:rPr>
        <w:t>Thyroid</w:t>
      </w:r>
      <w:r w:rsidRPr="00BB3C9A">
        <w:rPr>
          <w:rFonts w:eastAsia="Arial"/>
        </w:rPr>
        <w:t>, 24: 764-772</w:t>
      </w:r>
    </w:p>
    <w:p w14:paraId="4CFEF45D" w14:textId="77777777" w:rsidR="00794C15" w:rsidRPr="00BB3C9A" w:rsidRDefault="00794C15" w:rsidP="00794C15">
      <w:pPr>
        <w:rPr>
          <w:rFonts w:eastAsia="Arial"/>
        </w:rPr>
      </w:pPr>
      <w:proofErr w:type="spellStart"/>
      <w:r w:rsidRPr="00BB3C9A">
        <w:rPr>
          <w:rFonts w:eastAsia="Arial"/>
        </w:rPr>
        <w:t>Aquaron</w:t>
      </w:r>
      <w:proofErr w:type="spellEnd"/>
      <w:r w:rsidRPr="00BB3C9A">
        <w:rPr>
          <w:rFonts w:eastAsia="Arial"/>
        </w:rPr>
        <w:t xml:space="preserve"> R, Delange F, Marchal P, </w:t>
      </w:r>
      <w:proofErr w:type="spellStart"/>
      <w:r w:rsidRPr="00BB3C9A">
        <w:rPr>
          <w:rFonts w:eastAsia="Arial"/>
        </w:rPr>
        <w:t>Lognone</w:t>
      </w:r>
      <w:proofErr w:type="spellEnd"/>
      <w:r w:rsidRPr="00BB3C9A">
        <w:rPr>
          <w:rFonts w:eastAsia="Arial"/>
        </w:rPr>
        <w:t xml:space="preserve"> V and </w:t>
      </w:r>
      <w:proofErr w:type="spellStart"/>
      <w:r w:rsidRPr="00BB3C9A">
        <w:rPr>
          <w:rFonts w:eastAsia="Arial"/>
        </w:rPr>
        <w:t>Ninane</w:t>
      </w:r>
      <w:proofErr w:type="spellEnd"/>
      <w:r w:rsidRPr="00BB3C9A">
        <w:rPr>
          <w:rFonts w:eastAsia="Arial"/>
        </w:rPr>
        <w:t xml:space="preserve"> L, 2002. Bioavailability of seaweed iodine in human beings. Cellular and Molecular Biology, 48, 563-569.</w:t>
      </w:r>
    </w:p>
    <w:p w14:paraId="6BF18154" w14:textId="77777777" w:rsidR="00794C15" w:rsidRPr="00BB3C9A" w:rsidRDefault="00794C15" w:rsidP="00794C15">
      <w:pPr>
        <w:rPr>
          <w:rFonts w:eastAsia="Arial"/>
        </w:rPr>
      </w:pPr>
      <w:r w:rsidRPr="00BB3C9A">
        <w:rPr>
          <w:rFonts w:eastAsia="Arial" w:cs="Open Sans"/>
          <w:color w:val="000000"/>
          <w:shd w:val="clear" w:color="auto" w:fill="FFFFFF"/>
        </w:rPr>
        <w:t>Australian Bureau of Statistics (ABS) 2013. </w:t>
      </w:r>
      <w:r w:rsidRPr="00BB3C9A">
        <w:rPr>
          <w:rFonts w:eastAsia="Arial" w:cs="Open Sans"/>
          <w:i/>
          <w:iCs/>
          <w:color w:val="000000"/>
          <w:shd w:val="clear" w:color="auto" w:fill="FFFFFF"/>
        </w:rPr>
        <w:t>Iodine</w:t>
      </w:r>
      <w:r w:rsidRPr="00BB3C9A">
        <w:rPr>
          <w:rFonts w:eastAsia="Arial" w:cs="Open Sans"/>
          <w:color w:val="000000"/>
          <w:shd w:val="clear" w:color="auto" w:fill="FFFFFF"/>
        </w:rPr>
        <w:t xml:space="preserve"> [Internet]. Data source: 2011-12 National Health Measures Survey. Canberra: December 11 [accessed 22 July 2024]. Available from: </w:t>
      </w:r>
      <w:hyperlink r:id="rId94" w:history="1">
        <w:r w:rsidRPr="00BB3C9A">
          <w:rPr>
            <w:rFonts w:eastAsia="Arial" w:cs="Open Sans"/>
            <w:color w:val="0070C0"/>
            <w:u w:val="single"/>
            <w:shd w:val="clear" w:color="auto" w:fill="FFFFFF"/>
          </w:rPr>
          <w:t>https://www.abs.gov.au/articles/iodine</w:t>
        </w:r>
      </w:hyperlink>
    </w:p>
    <w:p w14:paraId="2AFB62C9" w14:textId="77777777" w:rsidR="00794C15" w:rsidRPr="00BB3C9A" w:rsidRDefault="00794C15" w:rsidP="00794C15">
      <w:pPr>
        <w:rPr>
          <w:rFonts w:eastAsia="Arial"/>
          <w:highlight w:val="yellow"/>
        </w:rPr>
      </w:pPr>
      <w:r w:rsidRPr="00BB3C9A">
        <w:rPr>
          <w:rFonts w:eastAsia="Arial"/>
        </w:rPr>
        <w:t xml:space="preserve">Australian Bureau of Statistics (ABS). 2015. 2011-13 Australian Health Survey: Usual Nutrient Intakes. Released 06/03/2015. Available from: </w:t>
      </w:r>
      <w:hyperlink r:id="rId95" w:history="1">
        <w:r w:rsidRPr="00BB3C9A">
          <w:rPr>
            <w:rFonts w:eastAsia="Arial"/>
            <w:color w:val="0070C0"/>
            <w:u w:val="single"/>
          </w:rPr>
          <w:t>https://www.abs.gov.au/statistics/health/health-conditions-and-risks/usual-nutrient-intakes/latest-release</w:t>
        </w:r>
      </w:hyperlink>
      <w:r w:rsidRPr="00BB3C9A">
        <w:rPr>
          <w:rFonts w:eastAsia="Arial"/>
        </w:rPr>
        <w:t xml:space="preserve"> [Accessed 2 June 2025]</w:t>
      </w:r>
    </w:p>
    <w:p w14:paraId="090988D2" w14:textId="77777777" w:rsidR="00794C15" w:rsidRPr="00BB3C9A" w:rsidRDefault="00794C15" w:rsidP="00794C15">
      <w:pPr>
        <w:rPr>
          <w:rFonts w:eastAsia="Arial"/>
        </w:rPr>
      </w:pPr>
      <w:r w:rsidRPr="00BB3C9A">
        <w:rPr>
          <w:rFonts w:eastAsia="Arial"/>
        </w:rPr>
        <w:t xml:space="preserve">Australian Bureau of Statistics (ABS). 2025a. 2022-24 National Health Measures Survey: Nutrient biomarkers. Released 31/03/2025. Available from </w:t>
      </w:r>
      <w:hyperlink r:id="rId96" w:anchor="nutrient-biomarkers" w:history="1">
        <w:r w:rsidRPr="00BB3C9A">
          <w:rPr>
            <w:rFonts w:eastAsia="Arial"/>
            <w:color w:val="0070C0"/>
            <w:u w:val="single"/>
          </w:rPr>
          <w:t>https://www.abs.gov.au/statistics/health/health-conditions-and-risks/national-health-measures-survey/latest-release#nutrient-biomarkers</w:t>
        </w:r>
      </w:hyperlink>
      <w:r w:rsidRPr="00BB3C9A">
        <w:rPr>
          <w:rFonts w:eastAsia="Arial"/>
        </w:rPr>
        <w:t xml:space="preserve"> </w:t>
      </w:r>
    </w:p>
    <w:p w14:paraId="4DD2A4EC" w14:textId="77777777" w:rsidR="00794C15" w:rsidRPr="00BB3C9A" w:rsidRDefault="00794C15" w:rsidP="00794C15">
      <w:pPr>
        <w:rPr>
          <w:rFonts w:eastAsia="Arial"/>
        </w:rPr>
      </w:pPr>
      <w:r w:rsidRPr="00BB3C9A">
        <w:rPr>
          <w:rFonts w:eastAsia="Arial"/>
        </w:rPr>
        <w:t xml:space="preserve">Australian Bureau of Statistics (ABS). 2025b. 2023-24 Apparent Consumption of Selected Foodstuffs, Australia. Released 281/03/2025. Available from </w:t>
      </w:r>
      <w:hyperlink r:id="rId97" w:history="1">
        <w:r w:rsidRPr="00BB3C9A">
          <w:rPr>
            <w:rFonts w:eastAsia="Arial"/>
            <w:color w:val="0070C0"/>
            <w:u w:val="single"/>
          </w:rPr>
          <w:t>https://www.abs.gov.au/statistics/health/health-conditions-and-risks/apparent-consumption-selected-foodstuffs-australia/2023-24</w:t>
        </w:r>
      </w:hyperlink>
      <w:r w:rsidRPr="00BB3C9A">
        <w:rPr>
          <w:rFonts w:eastAsia="Arial"/>
        </w:rPr>
        <w:t xml:space="preserve"> </w:t>
      </w:r>
    </w:p>
    <w:p w14:paraId="250DDA43" w14:textId="77777777" w:rsidR="00794C15" w:rsidRPr="00BB3C9A" w:rsidRDefault="00794C15" w:rsidP="00794C15">
      <w:pPr>
        <w:rPr>
          <w:rFonts w:eastAsia="Arial"/>
        </w:rPr>
      </w:pPr>
      <w:r w:rsidRPr="00BB3C9A">
        <w:rPr>
          <w:rFonts w:eastAsia="Arial"/>
        </w:rPr>
        <w:t xml:space="preserve">Australian Bureau of Statistics (ABS). 2025c. 2023 National Nutrition and Physical Activity Survey (NNPAS). Released 05/09/2025. Available from: </w:t>
      </w:r>
      <w:hyperlink r:id="rId98" w:anchor="selected-micronutrients-and-caffeine" w:history="1">
        <w:r w:rsidRPr="00BB3C9A">
          <w:rPr>
            <w:rFonts w:eastAsia="Arial"/>
            <w:color w:val="0070C0"/>
            <w:u w:val="single"/>
          </w:rPr>
          <w:t>https://www.abs.gov.au/statistics/health/food-and-nutrition/food-and-nutrients/2023#selected-micronutrients-and-caffeine</w:t>
        </w:r>
      </w:hyperlink>
      <w:r w:rsidRPr="00BB3C9A">
        <w:rPr>
          <w:rFonts w:eastAsia="Arial"/>
        </w:rPr>
        <w:t xml:space="preserve"> [Accessed 15 September 2025]</w:t>
      </w:r>
    </w:p>
    <w:p w14:paraId="1F7AFEBB" w14:textId="3096EE50" w:rsidR="00794C15" w:rsidRPr="00BB3C9A" w:rsidRDefault="00794C15" w:rsidP="00794C15">
      <w:pPr>
        <w:rPr>
          <w:rFonts w:eastAsia="Arial"/>
        </w:rPr>
      </w:pPr>
      <w:r w:rsidRPr="00BB3C9A">
        <w:rPr>
          <w:rFonts w:eastAsia="Arial"/>
        </w:rPr>
        <w:t xml:space="preserve">Australian Institute of Health and Welfare (AIHW) 2016. Monitoring the health impacts of mandatory folic acid and iodine fortification. Cat. </w:t>
      </w:r>
      <w:r w:rsidR="00667A3D" w:rsidRPr="00BB3C9A">
        <w:rPr>
          <w:rFonts w:eastAsia="Arial"/>
        </w:rPr>
        <w:t>N</w:t>
      </w:r>
      <w:r w:rsidRPr="00BB3C9A">
        <w:rPr>
          <w:rFonts w:eastAsia="Arial"/>
        </w:rPr>
        <w:t>o. PHE 208. Canberra: AIHW</w:t>
      </w:r>
    </w:p>
    <w:p w14:paraId="4C8AFCDD" w14:textId="77777777" w:rsidR="00794C15" w:rsidRPr="00BB3C9A" w:rsidRDefault="00794C15" w:rsidP="00794C15">
      <w:pPr>
        <w:rPr>
          <w:rFonts w:eastAsia="Arial"/>
        </w:rPr>
      </w:pPr>
      <w:r w:rsidRPr="00BB3C9A">
        <w:rPr>
          <w:rFonts w:eastAsia="Arial"/>
        </w:rPr>
        <w:t>Australian Institute of Health and Welfare (AIHW) 2024. National Drug Strategy Household Survey, 2022-2023. Cat no. PHE 340. Canberra: AIHW.</w:t>
      </w:r>
    </w:p>
    <w:p w14:paraId="0B137538" w14:textId="77777777" w:rsidR="00794C15" w:rsidRPr="00BB3C9A" w:rsidRDefault="00794C15" w:rsidP="00794C15">
      <w:pPr>
        <w:rPr>
          <w:rFonts w:eastAsia="Arial"/>
        </w:rPr>
      </w:pPr>
      <w:proofErr w:type="spellStart"/>
      <w:r w:rsidRPr="00BB3C9A">
        <w:rPr>
          <w:rFonts w:eastAsia="Arial"/>
        </w:rPr>
        <w:t>Blomhoff</w:t>
      </w:r>
      <w:proofErr w:type="spellEnd"/>
      <w:r w:rsidRPr="00BB3C9A">
        <w:rPr>
          <w:rFonts w:eastAsia="Arial"/>
        </w:rPr>
        <w:t xml:space="preserve"> R, Andersen R, Arnesen, E et al. 2023. Nordic Nutrition Recommendations 2023. Nordic Council of Ministers, Copenhagen. Available from </w:t>
      </w:r>
      <w:hyperlink r:id="rId99" w:history="1">
        <w:r w:rsidRPr="00BB3C9A">
          <w:rPr>
            <w:rFonts w:eastAsia="Arial"/>
            <w:color w:val="0070C0"/>
            <w:u w:val="single"/>
          </w:rPr>
          <w:t>https://pub.norden.org/nord2023-003/nord2023-003.pdf</w:t>
        </w:r>
      </w:hyperlink>
      <w:r w:rsidRPr="00BB3C9A">
        <w:rPr>
          <w:rFonts w:eastAsia="Arial"/>
        </w:rPr>
        <w:t>. [Accessed 5 December 2024]</w:t>
      </w:r>
    </w:p>
    <w:p w14:paraId="04848B09" w14:textId="48473611" w:rsidR="00794C15" w:rsidRPr="00BB3C9A" w:rsidRDefault="00794C15" w:rsidP="00794C15">
      <w:pPr>
        <w:rPr>
          <w:rFonts w:eastAsia="Times New Roman"/>
        </w:rPr>
      </w:pPr>
      <w:r w:rsidRPr="00BB3C9A">
        <w:rPr>
          <w:rFonts w:eastAsia="Times New Roman"/>
        </w:rPr>
        <w:t xml:space="preserve">Chen W, Wang W, Gao M, Chen Y, Guo W, et. </w:t>
      </w:r>
      <w:r w:rsidR="00667A3D" w:rsidRPr="00BB3C9A">
        <w:rPr>
          <w:rFonts w:eastAsia="Times New Roman"/>
        </w:rPr>
        <w:t>A</w:t>
      </w:r>
      <w:r w:rsidRPr="00BB3C9A">
        <w:rPr>
          <w:rFonts w:eastAsia="Times New Roman"/>
        </w:rPr>
        <w:t xml:space="preserve">l. 2023. Iodine Intakes of &lt;150 </w:t>
      </w:r>
      <w:proofErr w:type="spellStart"/>
      <w:r w:rsidRPr="00BB3C9A">
        <w:rPr>
          <w:rFonts w:eastAsia="Times New Roman"/>
        </w:rPr>
        <w:t>μg</w:t>
      </w:r>
      <w:proofErr w:type="spellEnd"/>
      <w:r w:rsidRPr="00BB3C9A">
        <w:rPr>
          <w:rFonts w:eastAsia="Times New Roman"/>
        </w:rPr>
        <w:t xml:space="preserve">/day or &gt;550 </w:t>
      </w:r>
      <w:proofErr w:type="spellStart"/>
      <w:r w:rsidRPr="00BB3C9A">
        <w:rPr>
          <w:rFonts w:eastAsia="Times New Roman"/>
        </w:rPr>
        <w:t>μg</w:t>
      </w:r>
      <w:proofErr w:type="spellEnd"/>
      <w:r w:rsidRPr="00BB3C9A">
        <w:rPr>
          <w:rFonts w:eastAsia="Times New Roman"/>
        </w:rPr>
        <w:t xml:space="preserve">/day are Not Recommended during Pregnancy: A Balance Study. </w:t>
      </w:r>
      <w:r w:rsidRPr="00BB3C9A">
        <w:rPr>
          <w:rFonts w:eastAsia="Times New Roman"/>
          <w:i/>
          <w:iCs/>
        </w:rPr>
        <w:t xml:space="preserve">The Journal of Nutrition, </w:t>
      </w:r>
      <w:r w:rsidRPr="00BB3C9A">
        <w:rPr>
          <w:rFonts w:eastAsia="Times New Roman"/>
        </w:rPr>
        <w:t xml:space="preserve">153 (7), pp. 2041-2050 </w:t>
      </w:r>
    </w:p>
    <w:p w14:paraId="6BD699C1" w14:textId="06F37F50" w:rsidR="00794C15" w:rsidRPr="00BB3C9A" w:rsidRDefault="00794C15" w:rsidP="00794C15">
      <w:pPr>
        <w:rPr>
          <w:rFonts w:eastAsia="Times New Roman"/>
        </w:rPr>
      </w:pPr>
      <w:proofErr w:type="spellStart"/>
      <w:proofErr w:type="gramStart"/>
      <w:r w:rsidRPr="00BB3C9A">
        <w:rPr>
          <w:rFonts w:eastAsia="Times New Roman"/>
        </w:rPr>
        <w:t>Colzani</w:t>
      </w:r>
      <w:proofErr w:type="spellEnd"/>
      <w:r w:rsidRPr="00BB3C9A">
        <w:rPr>
          <w:rFonts w:eastAsia="Times New Roman"/>
        </w:rPr>
        <w:t xml:space="preserve">  </w:t>
      </w:r>
      <w:proofErr w:type="spellStart"/>
      <w:r w:rsidRPr="00BB3C9A">
        <w:rPr>
          <w:rFonts w:eastAsia="Times New Roman"/>
        </w:rPr>
        <w:t>R</w:t>
      </w:r>
      <w:r w:rsidR="00667A3D" w:rsidRPr="00BB3C9A">
        <w:rPr>
          <w:rFonts w:eastAsia="Times New Roman"/>
        </w:rPr>
        <w:t>f</w:t>
      </w:r>
      <w:r w:rsidRPr="00BB3C9A">
        <w:rPr>
          <w:rFonts w:eastAsia="Times New Roman"/>
        </w:rPr>
        <w:t>ang</w:t>
      </w:r>
      <w:proofErr w:type="spellEnd"/>
      <w:proofErr w:type="gramEnd"/>
      <w:r w:rsidRPr="00BB3C9A">
        <w:rPr>
          <w:rFonts w:eastAsia="Times New Roman"/>
        </w:rPr>
        <w:t xml:space="preserve">  </w:t>
      </w:r>
      <w:proofErr w:type="spellStart"/>
      <w:proofErr w:type="gramStart"/>
      <w:r w:rsidRPr="00BB3C9A">
        <w:rPr>
          <w:rFonts w:eastAsia="Times New Roman"/>
        </w:rPr>
        <w:t>SLAlex</w:t>
      </w:r>
      <w:proofErr w:type="spellEnd"/>
      <w:r w:rsidRPr="00BB3C9A">
        <w:rPr>
          <w:rFonts w:eastAsia="Times New Roman"/>
        </w:rPr>
        <w:t xml:space="preserve">  </w:t>
      </w:r>
      <w:proofErr w:type="spellStart"/>
      <w:r w:rsidRPr="00BB3C9A">
        <w:rPr>
          <w:rFonts w:eastAsia="Times New Roman"/>
        </w:rPr>
        <w:t>S</w:t>
      </w:r>
      <w:r w:rsidR="00667A3D" w:rsidRPr="00BB3C9A">
        <w:rPr>
          <w:rFonts w:eastAsia="Times New Roman"/>
        </w:rPr>
        <w:t>b</w:t>
      </w:r>
      <w:r w:rsidRPr="00BB3C9A">
        <w:rPr>
          <w:rFonts w:eastAsia="Times New Roman"/>
        </w:rPr>
        <w:t>raverman</w:t>
      </w:r>
      <w:proofErr w:type="spellEnd"/>
      <w:proofErr w:type="gramEnd"/>
      <w:r w:rsidRPr="00BB3C9A">
        <w:rPr>
          <w:rFonts w:eastAsia="Times New Roman"/>
        </w:rPr>
        <w:t xml:space="preserve">  LE The effect of nicotine on thyroid function in rats. </w:t>
      </w:r>
      <w:r w:rsidRPr="00BB3C9A">
        <w:rPr>
          <w:rFonts w:eastAsia="Times New Roman"/>
          <w:i/>
          <w:iCs/>
        </w:rPr>
        <w:t> Metabolism.</w:t>
      </w:r>
      <w:r w:rsidRPr="00BB3C9A">
        <w:rPr>
          <w:rFonts w:eastAsia="Times New Roman"/>
        </w:rPr>
        <w:t> 1998;47154- 157</w:t>
      </w:r>
    </w:p>
    <w:p w14:paraId="22D577E0" w14:textId="77777777" w:rsidR="00794C15" w:rsidRPr="00BB3C9A" w:rsidRDefault="00794C15" w:rsidP="00794C15">
      <w:pPr>
        <w:rPr>
          <w:rFonts w:eastAsia="Times New Roman"/>
        </w:rPr>
      </w:pPr>
      <w:r w:rsidRPr="00BB3C9A">
        <w:rPr>
          <w:rFonts w:eastAsia="Times New Roman"/>
        </w:rPr>
        <w:lastRenderedPageBreak/>
        <w:t>D-A-CH (2015). German Nutrition Society, Austrian Nutrition Society, Swiss Nutrition Society (eds.). Dietary Reference Values. 2</w:t>
      </w:r>
      <w:r w:rsidRPr="00667A3D">
        <w:rPr>
          <w:rFonts w:eastAsia="Times New Roman"/>
          <w:vertAlign w:val="superscript"/>
        </w:rPr>
        <w:t>nd</w:t>
      </w:r>
      <w:r w:rsidRPr="00BB3C9A">
        <w:rPr>
          <w:rFonts w:eastAsia="Times New Roman"/>
        </w:rPr>
        <w:t xml:space="preserve"> version of the 1</w:t>
      </w:r>
      <w:r w:rsidRPr="00667A3D">
        <w:rPr>
          <w:rFonts w:eastAsia="Times New Roman"/>
          <w:vertAlign w:val="superscript"/>
        </w:rPr>
        <w:t>st</w:t>
      </w:r>
      <w:r w:rsidRPr="00BB3C9A">
        <w:rPr>
          <w:rFonts w:eastAsia="Times New Roman"/>
        </w:rPr>
        <w:t xml:space="preserve"> edition 2015, Neuer </w:t>
      </w:r>
      <w:proofErr w:type="spellStart"/>
      <w:r w:rsidRPr="00BB3C9A">
        <w:rPr>
          <w:rFonts w:eastAsia="Times New Roman"/>
        </w:rPr>
        <w:t>Umschau</w:t>
      </w:r>
      <w:proofErr w:type="spellEnd"/>
      <w:r w:rsidRPr="00BB3C9A">
        <w:rPr>
          <w:rFonts w:eastAsia="Times New Roman"/>
        </w:rPr>
        <w:t xml:space="preserve"> </w:t>
      </w:r>
      <w:proofErr w:type="spellStart"/>
      <w:r w:rsidRPr="00BB3C9A">
        <w:rPr>
          <w:rFonts w:eastAsia="Times New Roman"/>
        </w:rPr>
        <w:t>Buchverlag</w:t>
      </w:r>
      <w:proofErr w:type="spellEnd"/>
      <w:r w:rsidRPr="00BB3C9A">
        <w:rPr>
          <w:rFonts w:eastAsia="Times New Roman"/>
        </w:rPr>
        <w:t xml:space="preserve">. </w:t>
      </w:r>
    </w:p>
    <w:p w14:paraId="7264A277" w14:textId="77777777" w:rsidR="00794C15" w:rsidRPr="00BB3C9A" w:rsidRDefault="00794C15" w:rsidP="00794C15">
      <w:pPr>
        <w:rPr>
          <w:rFonts w:eastAsia="Times New Roman"/>
        </w:rPr>
      </w:pPr>
      <w:r w:rsidRPr="00BB3C9A">
        <w:rPr>
          <w:rFonts w:eastAsia="Times New Roman"/>
        </w:rPr>
        <w:t xml:space="preserve">Delange F, </w:t>
      </w:r>
      <w:proofErr w:type="spellStart"/>
      <w:r w:rsidRPr="00BB3C9A">
        <w:rPr>
          <w:rFonts w:eastAsia="Times New Roman"/>
        </w:rPr>
        <w:t>Bourdoux</w:t>
      </w:r>
      <w:proofErr w:type="spellEnd"/>
      <w:r w:rsidRPr="00BB3C9A">
        <w:rPr>
          <w:rFonts w:eastAsia="Times New Roman"/>
        </w:rPr>
        <w:t xml:space="preserve"> P, Vo </w:t>
      </w:r>
      <w:proofErr w:type="spellStart"/>
      <w:r w:rsidRPr="00BB3C9A">
        <w:rPr>
          <w:rFonts w:eastAsia="Times New Roman"/>
        </w:rPr>
        <w:t>Thi</w:t>
      </w:r>
      <w:proofErr w:type="spellEnd"/>
      <w:r w:rsidRPr="00BB3C9A">
        <w:rPr>
          <w:rFonts w:eastAsia="Times New Roman"/>
        </w:rPr>
        <w:t xml:space="preserve"> LD, </w:t>
      </w:r>
      <w:proofErr w:type="spellStart"/>
      <w:r w:rsidRPr="00BB3C9A">
        <w:rPr>
          <w:rFonts w:eastAsia="Times New Roman"/>
        </w:rPr>
        <w:t>Ermans</w:t>
      </w:r>
      <w:proofErr w:type="spellEnd"/>
      <w:r w:rsidRPr="00BB3C9A">
        <w:rPr>
          <w:rFonts w:eastAsia="Times New Roman"/>
        </w:rPr>
        <w:t xml:space="preserve"> AM, </w:t>
      </w:r>
      <w:proofErr w:type="spellStart"/>
      <w:r w:rsidRPr="00BB3C9A">
        <w:rPr>
          <w:rFonts w:eastAsia="Times New Roman"/>
        </w:rPr>
        <w:t>Senterre</w:t>
      </w:r>
      <w:proofErr w:type="spellEnd"/>
      <w:r w:rsidRPr="00BB3C9A">
        <w:rPr>
          <w:rFonts w:eastAsia="Times New Roman"/>
        </w:rPr>
        <w:t xml:space="preserve"> J. 1984. Negative iodine balance in preterm infants. </w:t>
      </w:r>
      <w:r w:rsidRPr="00BB3C9A">
        <w:rPr>
          <w:rFonts w:eastAsia="Times New Roman"/>
          <w:i/>
          <w:iCs/>
        </w:rPr>
        <w:t>Ann Endocrinol</w:t>
      </w:r>
      <w:r w:rsidRPr="00BB3C9A">
        <w:rPr>
          <w:rFonts w:eastAsia="Times New Roman"/>
        </w:rPr>
        <w:t> 45:77.</w:t>
      </w:r>
    </w:p>
    <w:p w14:paraId="19B9A41F" w14:textId="77777777" w:rsidR="00794C15" w:rsidRPr="00BB3C9A" w:rsidRDefault="00794C15" w:rsidP="00794C15">
      <w:pPr>
        <w:rPr>
          <w:rFonts w:eastAsia="Arial"/>
        </w:rPr>
      </w:pPr>
      <w:r w:rsidRPr="00BB3C9A">
        <w:rPr>
          <w:rFonts w:eastAsia="Arial"/>
        </w:rPr>
        <w:t>Delange F, Burgi H. 1989. Iodine deficiency disorders in Europe. </w:t>
      </w:r>
      <w:r w:rsidRPr="00BB3C9A">
        <w:rPr>
          <w:rFonts w:eastAsia="Arial"/>
          <w:i/>
          <w:iCs/>
        </w:rPr>
        <w:t>Bull World Health Organ</w:t>
      </w:r>
      <w:r w:rsidRPr="00BB3C9A">
        <w:rPr>
          <w:rFonts w:eastAsia="Arial"/>
        </w:rPr>
        <w:t xml:space="preserve"> 67:317</w:t>
      </w:r>
      <w:r>
        <w:rPr>
          <w:rFonts w:eastAsia="Arial"/>
        </w:rPr>
        <w:t>-</w:t>
      </w:r>
      <w:r w:rsidRPr="00BB3C9A">
        <w:rPr>
          <w:rFonts w:eastAsia="Arial"/>
        </w:rPr>
        <w:t xml:space="preserve">325. </w:t>
      </w:r>
    </w:p>
    <w:p w14:paraId="01D9FA87" w14:textId="18DD5ECA" w:rsidR="00794C15" w:rsidRPr="00BB3C9A" w:rsidRDefault="00794C15" w:rsidP="00794C15">
      <w:pPr>
        <w:rPr>
          <w:rFonts w:eastAsia="Arial"/>
        </w:rPr>
      </w:pPr>
      <w:r w:rsidRPr="00BB3C9A">
        <w:rPr>
          <w:rFonts w:eastAsia="Arial"/>
        </w:rPr>
        <w:t xml:space="preserve">Delange F, </w:t>
      </w:r>
      <w:proofErr w:type="spellStart"/>
      <w:r w:rsidRPr="00BB3C9A">
        <w:rPr>
          <w:rFonts w:eastAsia="Arial"/>
        </w:rPr>
        <w:t>Ermans</w:t>
      </w:r>
      <w:proofErr w:type="spellEnd"/>
      <w:r w:rsidRPr="00BB3C9A">
        <w:rPr>
          <w:rFonts w:eastAsia="Arial"/>
        </w:rPr>
        <w:t xml:space="preserve"> AM. 1991.Iodine deficiency. In: Braverman LE, </w:t>
      </w:r>
      <w:proofErr w:type="gramStart"/>
      <w:r w:rsidRPr="00BB3C9A">
        <w:rPr>
          <w:rFonts w:eastAsia="Arial"/>
        </w:rPr>
        <w:t xml:space="preserve">editor;  </w:t>
      </w:r>
      <w:proofErr w:type="spellStart"/>
      <w:r w:rsidRPr="00BB3C9A">
        <w:rPr>
          <w:rFonts w:eastAsia="Arial"/>
        </w:rPr>
        <w:t>Utiger</w:t>
      </w:r>
      <w:proofErr w:type="spellEnd"/>
      <w:proofErr w:type="gramEnd"/>
      <w:r w:rsidRPr="00BB3C9A">
        <w:rPr>
          <w:rFonts w:eastAsia="Arial"/>
        </w:rPr>
        <w:t xml:space="preserve"> RD, editor</w:t>
      </w:r>
      <w:proofErr w:type="gramStart"/>
      <w:r w:rsidRPr="00BB3C9A">
        <w:rPr>
          <w:rFonts w:eastAsia="Arial"/>
        </w:rPr>
        <w:t>. ,</w:t>
      </w:r>
      <w:proofErr w:type="gramEnd"/>
      <w:r w:rsidRPr="00BB3C9A">
        <w:rPr>
          <w:rFonts w:eastAsia="Arial"/>
        </w:rPr>
        <w:t xml:space="preserve"> eds. </w:t>
      </w:r>
      <w:r w:rsidRPr="00BB3C9A">
        <w:rPr>
          <w:rFonts w:eastAsia="Arial"/>
          <w:i/>
          <w:iCs/>
        </w:rPr>
        <w:t>Werner and Ingbar</w:t>
      </w:r>
      <w:r w:rsidR="00667A3D">
        <w:rPr>
          <w:rFonts w:eastAsia="Arial"/>
          <w:i/>
          <w:iCs/>
        </w:rPr>
        <w:t>’</w:t>
      </w:r>
      <w:r w:rsidRPr="00BB3C9A">
        <w:rPr>
          <w:rFonts w:eastAsia="Arial"/>
          <w:i/>
          <w:iCs/>
        </w:rPr>
        <w:t xml:space="preserve">s the Thyroid: A Fundamental and Clinical </w:t>
      </w:r>
      <w:proofErr w:type="gramStart"/>
      <w:r w:rsidRPr="00BB3C9A">
        <w:rPr>
          <w:rFonts w:eastAsia="Arial"/>
          <w:i/>
          <w:iCs/>
        </w:rPr>
        <w:t>Text</w:t>
      </w:r>
      <w:r w:rsidRPr="00BB3C9A">
        <w:rPr>
          <w:rFonts w:eastAsia="Arial"/>
        </w:rPr>
        <w:t> </w:t>
      </w:r>
      <w:r w:rsidRPr="00BB3C9A">
        <w:rPr>
          <w:rFonts w:eastAsia="Arial"/>
          <w:i/>
          <w:iCs/>
        </w:rPr>
        <w:t>,</w:t>
      </w:r>
      <w:proofErr w:type="gramEnd"/>
      <w:r w:rsidRPr="00BB3C9A">
        <w:rPr>
          <w:rFonts w:eastAsia="Arial"/>
          <w:i/>
          <w:iCs/>
        </w:rPr>
        <w:t> </w:t>
      </w:r>
      <w:r w:rsidRPr="00BB3C9A">
        <w:rPr>
          <w:rFonts w:eastAsia="Arial"/>
        </w:rPr>
        <w:t>6</w:t>
      </w:r>
      <w:r w:rsidRPr="00667A3D">
        <w:rPr>
          <w:rFonts w:eastAsia="Arial"/>
          <w:vertAlign w:val="superscript"/>
        </w:rPr>
        <w:t>th</w:t>
      </w:r>
      <w:r w:rsidRPr="00BB3C9A">
        <w:rPr>
          <w:rFonts w:eastAsia="Arial"/>
        </w:rPr>
        <w:t xml:space="preserve"> ed. Philadelphia: JD Lippincott.</w:t>
      </w:r>
    </w:p>
    <w:p w14:paraId="226CC88A" w14:textId="72B199DD" w:rsidR="00794C15" w:rsidRPr="00BB3C9A" w:rsidRDefault="00794C15" w:rsidP="00794C15">
      <w:pPr>
        <w:rPr>
          <w:rFonts w:eastAsia="Arial"/>
        </w:rPr>
      </w:pPr>
      <w:r w:rsidRPr="00BB3C9A">
        <w:rPr>
          <w:rFonts w:eastAsia="Arial"/>
        </w:rPr>
        <w:t xml:space="preserve">Delange F, Benker G, Caron P, Eber O, Ott W, Peter F, Podoba J, </w:t>
      </w:r>
      <w:proofErr w:type="spellStart"/>
      <w:r w:rsidRPr="00BB3C9A">
        <w:rPr>
          <w:rFonts w:eastAsia="Arial"/>
        </w:rPr>
        <w:t>Simescu</w:t>
      </w:r>
      <w:proofErr w:type="spellEnd"/>
      <w:r w:rsidRPr="00BB3C9A">
        <w:rPr>
          <w:rFonts w:eastAsia="Arial"/>
        </w:rPr>
        <w:t xml:space="preserve"> M, </w:t>
      </w:r>
      <w:proofErr w:type="spellStart"/>
      <w:r w:rsidRPr="00BB3C9A">
        <w:rPr>
          <w:rFonts w:eastAsia="Arial"/>
        </w:rPr>
        <w:t>Szybinsky</w:t>
      </w:r>
      <w:proofErr w:type="spellEnd"/>
      <w:r w:rsidRPr="00BB3C9A">
        <w:rPr>
          <w:rFonts w:eastAsia="Arial"/>
        </w:rPr>
        <w:t xml:space="preserve"> Z, </w:t>
      </w:r>
      <w:proofErr w:type="spellStart"/>
      <w:r w:rsidRPr="00BB3C9A">
        <w:rPr>
          <w:rFonts w:eastAsia="Arial"/>
        </w:rPr>
        <w:t>Vertongen</w:t>
      </w:r>
      <w:proofErr w:type="spellEnd"/>
      <w:r w:rsidRPr="00BB3C9A">
        <w:rPr>
          <w:rFonts w:eastAsia="Arial"/>
        </w:rPr>
        <w:t xml:space="preserve"> F, Vitti P, </w:t>
      </w:r>
      <w:proofErr w:type="spellStart"/>
      <w:r w:rsidRPr="00BB3C9A">
        <w:rPr>
          <w:rFonts w:eastAsia="Arial"/>
        </w:rPr>
        <w:t>Wiersinga</w:t>
      </w:r>
      <w:proofErr w:type="spellEnd"/>
      <w:r w:rsidRPr="00BB3C9A">
        <w:rPr>
          <w:rFonts w:eastAsia="Arial"/>
        </w:rPr>
        <w:t xml:space="preserve"> W, </w:t>
      </w:r>
      <w:proofErr w:type="spellStart"/>
      <w:r w:rsidRPr="00BB3C9A">
        <w:rPr>
          <w:rFonts w:eastAsia="Arial"/>
        </w:rPr>
        <w:t>Zamrazil</w:t>
      </w:r>
      <w:proofErr w:type="spellEnd"/>
      <w:r w:rsidRPr="00BB3C9A">
        <w:rPr>
          <w:rFonts w:eastAsia="Arial"/>
        </w:rPr>
        <w:t xml:space="preserve"> V. Thyroid volume and urinary iodine in European schoolchildren: standardization of values for assessment of iodine deficiency. </w:t>
      </w:r>
      <w:proofErr w:type="spellStart"/>
      <w:r w:rsidRPr="00BB3C9A">
        <w:rPr>
          <w:rFonts w:eastAsia="Arial"/>
        </w:rPr>
        <w:t>Eur</w:t>
      </w:r>
      <w:proofErr w:type="spellEnd"/>
      <w:r w:rsidRPr="00BB3C9A">
        <w:rPr>
          <w:rFonts w:eastAsia="Arial"/>
        </w:rPr>
        <w:t xml:space="preserve"> J Endocrinol. 1997 Feb;136(2):180-7. </w:t>
      </w:r>
      <w:r w:rsidR="00667A3D" w:rsidRPr="00BB3C9A">
        <w:rPr>
          <w:rFonts w:eastAsia="Arial"/>
        </w:rPr>
        <w:t>D</w:t>
      </w:r>
      <w:r w:rsidRPr="00BB3C9A">
        <w:rPr>
          <w:rFonts w:eastAsia="Arial"/>
        </w:rPr>
        <w:t xml:space="preserve">oi: 10.1530/eje.0.1360180. PMID: 9116913. </w:t>
      </w:r>
    </w:p>
    <w:p w14:paraId="42561227" w14:textId="77777777" w:rsidR="00794C15" w:rsidRPr="00BB3C9A" w:rsidRDefault="00794C15" w:rsidP="00794C15">
      <w:pPr>
        <w:rPr>
          <w:rFonts w:eastAsia="Arial"/>
        </w:rPr>
      </w:pPr>
      <w:proofErr w:type="spellStart"/>
      <w:r w:rsidRPr="00BB3C9A">
        <w:rPr>
          <w:rFonts w:eastAsia="Arial"/>
        </w:rPr>
        <w:t>Dineva</w:t>
      </w:r>
      <w:proofErr w:type="spellEnd"/>
      <w:r w:rsidRPr="00BB3C9A">
        <w:rPr>
          <w:rFonts w:eastAsia="Arial"/>
        </w:rPr>
        <w:t xml:space="preserve"> M, Fishpool H, Rayman MP, Mendis J, Bath SC. 2020. Systematic review and meta-analysis of the effects of iodine supplementation on thyroid function and child neurodevelopment in mildly-to-moderately iodine-deficient pregnant women. </w:t>
      </w:r>
      <w:r w:rsidRPr="00BB3C9A">
        <w:rPr>
          <w:rFonts w:eastAsia="Arial"/>
          <w:i/>
          <w:iCs/>
        </w:rPr>
        <w:t>Am J Clin Nutr.</w:t>
      </w:r>
      <w:r w:rsidRPr="00BB3C9A">
        <w:rPr>
          <w:rFonts w:eastAsia="Arial"/>
        </w:rPr>
        <w:t xml:space="preserve"> 112(2):389-412. </w:t>
      </w:r>
    </w:p>
    <w:p w14:paraId="7B033F9A" w14:textId="77777777" w:rsidR="00794C15" w:rsidRPr="00BB3C9A" w:rsidRDefault="00794C15" w:rsidP="00794C15">
      <w:pPr>
        <w:rPr>
          <w:rFonts w:eastAsia="Arial"/>
        </w:rPr>
      </w:pPr>
      <w:r w:rsidRPr="00BB3C9A">
        <w:rPr>
          <w:rFonts w:eastAsia="Arial"/>
        </w:rPr>
        <w:t xml:space="preserve">Dold S, Zimmermann MB, Baumgartner </w:t>
      </w:r>
      <w:proofErr w:type="spellStart"/>
      <w:proofErr w:type="gramStart"/>
      <w:r w:rsidRPr="00BB3C9A">
        <w:rPr>
          <w:rFonts w:eastAsia="Arial"/>
        </w:rPr>
        <w:t>J,Davaz</w:t>
      </w:r>
      <w:proofErr w:type="spellEnd"/>
      <w:proofErr w:type="gramEnd"/>
      <w:r w:rsidRPr="00BB3C9A">
        <w:rPr>
          <w:rFonts w:eastAsia="Arial"/>
        </w:rPr>
        <w:t xml:space="preserve"> T, Galetti V, Braegger C, Andersson M. A dose-response crossover iodine balance study to determine iodine requirements in early infancy. Am J Clin </w:t>
      </w:r>
      <w:proofErr w:type="spellStart"/>
      <w:r w:rsidRPr="00BB3C9A">
        <w:rPr>
          <w:rFonts w:eastAsia="Arial"/>
        </w:rPr>
        <w:t>Nutr</w:t>
      </w:r>
      <w:proofErr w:type="spellEnd"/>
      <w:r w:rsidRPr="00BB3C9A">
        <w:rPr>
          <w:rFonts w:eastAsia="Arial"/>
        </w:rPr>
        <w:t xml:space="preserve"> </w:t>
      </w:r>
      <w:proofErr w:type="gramStart"/>
      <w:r w:rsidRPr="00BB3C9A">
        <w:rPr>
          <w:rFonts w:eastAsia="Arial"/>
        </w:rPr>
        <w:t>2016;104:620</w:t>
      </w:r>
      <w:proofErr w:type="gramEnd"/>
      <w:r>
        <w:rPr>
          <w:rFonts w:eastAsia="Arial"/>
        </w:rPr>
        <w:t>-</w:t>
      </w:r>
      <w:r w:rsidRPr="00BB3C9A">
        <w:rPr>
          <w:rFonts w:eastAsia="Arial"/>
        </w:rPr>
        <w:t>8.</w:t>
      </w:r>
    </w:p>
    <w:p w14:paraId="46ABE431" w14:textId="77777777" w:rsidR="00794C15" w:rsidRPr="00BB3C9A" w:rsidRDefault="00794C15" w:rsidP="00794C15">
      <w:pPr>
        <w:rPr>
          <w:rFonts w:eastAsia="Arial"/>
        </w:rPr>
      </w:pPr>
      <w:r w:rsidRPr="00BB3C9A">
        <w:rPr>
          <w:rFonts w:eastAsia="Arial"/>
        </w:rPr>
        <w:t xml:space="preserve">Dror DK, Allen LH. Overview of Nutrients in Human Milk. Adv </w:t>
      </w:r>
      <w:proofErr w:type="spellStart"/>
      <w:r w:rsidRPr="00BB3C9A">
        <w:rPr>
          <w:rFonts w:eastAsia="Arial"/>
        </w:rPr>
        <w:t>Nutr</w:t>
      </w:r>
      <w:proofErr w:type="spellEnd"/>
      <w:r w:rsidRPr="00BB3C9A">
        <w:rPr>
          <w:rFonts w:eastAsia="Arial"/>
        </w:rPr>
        <w:t xml:space="preserve">. 2018 May 1;9(suppl_1):278S-294S. </w:t>
      </w:r>
      <w:proofErr w:type="spellStart"/>
      <w:r w:rsidRPr="00BB3C9A">
        <w:rPr>
          <w:rFonts w:eastAsia="Arial"/>
        </w:rPr>
        <w:t>doi</w:t>
      </w:r>
      <w:proofErr w:type="spellEnd"/>
      <w:r w:rsidRPr="00BB3C9A">
        <w:rPr>
          <w:rFonts w:eastAsia="Arial"/>
        </w:rPr>
        <w:t>: 10.1093/advances/nmy022. PMID: 29846526; PMCID: PMC6008960.</w:t>
      </w:r>
    </w:p>
    <w:p w14:paraId="4B5DFF58" w14:textId="77777777" w:rsidR="00794C15" w:rsidRPr="00BB3C9A" w:rsidRDefault="00794C15" w:rsidP="00794C15">
      <w:pPr>
        <w:rPr>
          <w:rFonts w:eastAsia="Arial"/>
        </w:rPr>
      </w:pPr>
      <w:r w:rsidRPr="00BB3C9A">
        <w:rPr>
          <w:rFonts w:eastAsia="Arial"/>
        </w:rPr>
        <w:t xml:space="preserve">Dworkin HJ, Jacquez JA, </w:t>
      </w:r>
      <w:proofErr w:type="spellStart"/>
      <w:r w:rsidRPr="00BB3C9A">
        <w:rPr>
          <w:rFonts w:eastAsia="Arial"/>
        </w:rPr>
        <w:t>Beierwaltes</w:t>
      </w:r>
      <w:proofErr w:type="spellEnd"/>
      <w:r w:rsidRPr="00BB3C9A">
        <w:rPr>
          <w:rFonts w:eastAsia="Arial"/>
        </w:rPr>
        <w:t xml:space="preserve"> WH. 1966. Relationship of iodine ingestion to iodine excretion in pregnancy. </w:t>
      </w:r>
      <w:r w:rsidRPr="00BB3C9A">
        <w:rPr>
          <w:rFonts w:eastAsia="Arial"/>
          <w:i/>
          <w:iCs/>
        </w:rPr>
        <w:t xml:space="preserve">J Clin Endocrinol </w:t>
      </w:r>
      <w:proofErr w:type="spellStart"/>
      <w:r w:rsidRPr="00BB3C9A">
        <w:rPr>
          <w:rFonts w:eastAsia="Arial"/>
          <w:i/>
          <w:iCs/>
        </w:rPr>
        <w:t>Metab</w:t>
      </w:r>
      <w:proofErr w:type="spellEnd"/>
      <w:r w:rsidRPr="00BB3C9A">
        <w:rPr>
          <w:rFonts w:eastAsia="Arial"/>
        </w:rPr>
        <w:t> 26:1329</w:t>
      </w:r>
      <w:r>
        <w:rPr>
          <w:rFonts w:eastAsia="Arial"/>
        </w:rPr>
        <w:t>-</w:t>
      </w:r>
      <w:r w:rsidRPr="00BB3C9A">
        <w:rPr>
          <w:rFonts w:eastAsia="Arial"/>
        </w:rPr>
        <w:t>1342.</w:t>
      </w:r>
    </w:p>
    <w:p w14:paraId="7019C11C" w14:textId="77777777" w:rsidR="00794C15" w:rsidRPr="00BB3C9A" w:rsidRDefault="00794C15" w:rsidP="00794C15">
      <w:pPr>
        <w:rPr>
          <w:rFonts w:eastAsia="Arial"/>
        </w:rPr>
      </w:pPr>
      <w:r w:rsidRPr="00BB3C9A">
        <w:rPr>
          <w:rFonts w:eastAsia="Arial"/>
        </w:rPr>
        <w:t xml:space="preserve">El-mani S, Charlton KE, Flood VM and Mullan J. Folic acid and iodine supplementation in pregnant women. </w:t>
      </w:r>
      <w:r w:rsidRPr="00BB3C9A">
        <w:rPr>
          <w:rFonts w:eastAsia="Arial"/>
          <w:i/>
          <w:iCs/>
        </w:rPr>
        <w:t>Nutrition &amp; Dietetics,</w:t>
      </w:r>
      <w:r w:rsidRPr="00BB3C9A">
        <w:rPr>
          <w:rFonts w:eastAsia="Arial"/>
        </w:rPr>
        <w:t xml:space="preserve"> 2014. 71: 236-244. </w:t>
      </w:r>
      <w:hyperlink r:id="rId100" w:history="1">
        <w:r w:rsidRPr="00BB3C9A">
          <w:rPr>
            <w:rFonts w:eastAsia="Arial"/>
            <w:color w:val="0070C0"/>
            <w:u w:val="single"/>
          </w:rPr>
          <w:t>https://doi.org/10.1111/1747-0080.12132</w:t>
        </w:r>
      </w:hyperlink>
    </w:p>
    <w:p w14:paraId="27124FD3" w14:textId="77777777" w:rsidR="00794C15" w:rsidRPr="00BB3C9A" w:rsidRDefault="00794C15" w:rsidP="00794C15">
      <w:pPr>
        <w:rPr>
          <w:rFonts w:eastAsia="Arial"/>
        </w:rPr>
      </w:pPr>
      <w:r w:rsidRPr="00BB3C9A">
        <w:rPr>
          <w:rFonts w:eastAsia="Arial"/>
        </w:rPr>
        <w:t xml:space="preserve">European Food Safety Authority (EFSA) Panel on Panel on Dietetic Products Nutrition and Allergies, 2014. Scientific Opinion on Dietary Reference Values for iodine. EFSA Journal 2014;12(5):3660, 57 pp. </w:t>
      </w:r>
      <w:proofErr w:type="gramStart"/>
      <w:r w:rsidRPr="00BB3C9A">
        <w:rPr>
          <w:rFonts w:eastAsia="Arial"/>
        </w:rPr>
        <w:t>doi:10.2903/j.efsa</w:t>
      </w:r>
      <w:proofErr w:type="gramEnd"/>
      <w:r w:rsidRPr="00BB3C9A">
        <w:rPr>
          <w:rFonts w:eastAsia="Arial"/>
        </w:rPr>
        <w:t>.2014.3660</w:t>
      </w:r>
    </w:p>
    <w:p w14:paraId="048D26DA" w14:textId="77777777" w:rsidR="00794C15" w:rsidRPr="00BB3C9A" w:rsidRDefault="00794C15" w:rsidP="00794C15">
      <w:pPr>
        <w:rPr>
          <w:rFonts w:eastAsia="Arial"/>
          <w:noProof/>
        </w:rPr>
      </w:pPr>
      <w:r w:rsidRPr="00BB3C9A">
        <w:rPr>
          <w:rFonts w:eastAsia="Arial"/>
          <w:noProof/>
        </w:rPr>
        <w:t xml:space="preserve">Food and Agricultural Organization of the United Nations: World Health Organization (FAO:WHO). 2001. Human vitamin and mineral requirements. Report of a joint FAO:WHO expert consultation, </w:t>
      </w:r>
      <w:r w:rsidRPr="00BB3C9A">
        <w:rPr>
          <w:rFonts w:eastAsia="Arial"/>
          <w:i/>
          <w:iCs/>
          <w:noProof/>
        </w:rPr>
        <w:t>Bangkok, Thailand. Rome: Food and Agricultural Organization of the United Nations</w:t>
      </w:r>
    </w:p>
    <w:p w14:paraId="36181A77" w14:textId="77777777" w:rsidR="00794C15" w:rsidRPr="00BB3C9A" w:rsidRDefault="00794C15" w:rsidP="00794C15">
      <w:pPr>
        <w:rPr>
          <w:rFonts w:eastAsia="Arial"/>
          <w:noProof/>
        </w:rPr>
      </w:pPr>
      <w:r w:rsidRPr="00BB3C9A">
        <w:rPr>
          <w:rFonts w:eastAsia="Arial"/>
          <w:noProof/>
        </w:rPr>
        <w:t>Fisher DA and Oddie TH, 1969a. Thyroid iodine content and turnover in euthyroid subjects: validityof estimation of thyroid iodine accumulation from short-term clearance studies. Journal of ClinicalEndocrinology and Metabolism, 29, 721-727.</w:t>
      </w:r>
    </w:p>
    <w:p w14:paraId="55BC1395" w14:textId="77777777" w:rsidR="00794C15" w:rsidRPr="00BB3C9A" w:rsidRDefault="00794C15" w:rsidP="00794C15">
      <w:pPr>
        <w:rPr>
          <w:rFonts w:eastAsia="Arial"/>
          <w:noProof/>
        </w:rPr>
      </w:pPr>
      <w:r w:rsidRPr="00BB3C9A">
        <w:rPr>
          <w:rFonts w:eastAsia="Arial"/>
          <w:noProof/>
        </w:rPr>
        <w:lastRenderedPageBreak/>
        <w:t xml:space="preserve">Fisher DA and Oddie TH, 1969b. Thyroidal radioiodine clearance and thryoid iodine accumulation:contrast between random daily variation and population data. Journal of Clinical Endocrinologyand Metabolism, 29, 111-115. </w:t>
      </w:r>
    </w:p>
    <w:p w14:paraId="2B48187E" w14:textId="256A17C8" w:rsidR="00794C15" w:rsidRPr="00BB3C9A" w:rsidRDefault="00794C15" w:rsidP="00794C15">
      <w:pPr>
        <w:rPr>
          <w:rFonts w:eastAsia="Times New Roman"/>
        </w:rPr>
      </w:pPr>
      <w:r w:rsidRPr="00BB3C9A">
        <w:rPr>
          <w:rFonts w:eastAsia="Times New Roman"/>
        </w:rPr>
        <w:t xml:space="preserve">Flieger J, Kawka J, </w:t>
      </w:r>
      <w:proofErr w:type="spellStart"/>
      <w:r w:rsidRPr="00BB3C9A">
        <w:rPr>
          <w:rFonts w:eastAsia="Times New Roman"/>
        </w:rPr>
        <w:t>Tatarczak-Michalewska</w:t>
      </w:r>
      <w:proofErr w:type="spellEnd"/>
      <w:r w:rsidRPr="00BB3C9A">
        <w:rPr>
          <w:rFonts w:eastAsia="Times New Roman"/>
        </w:rPr>
        <w:t xml:space="preserve"> M. Levels of the Thiocyanate in the Saliva of Tobacco Smokers in Comparison to e-Cigarette Smokers and Nonsmokers Measured by HPLC on a Phosphatidylcholine Column. Molecules. 2019 Oct 21;24(20):3790. </w:t>
      </w:r>
      <w:r w:rsidR="00667A3D" w:rsidRPr="00BB3C9A">
        <w:rPr>
          <w:rFonts w:eastAsia="Times New Roman"/>
        </w:rPr>
        <w:t>D</w:t>
      </w:r>
      <w:r w:rsidRPr="00BB3C9A">
        <w:rPr>
          <w:rFonts w:eastAsia="Times New Roman"/>
        </w:rPr>
        <w:t xml:space="preserve">oi: 10.3390/molecules24203790. PMID: 31640293; PMCID: PMC6832790. </w:t>
      </w:r>
    </w:p>
    <w:p w14:paraId="07E059B1" w14:textId="77777777" w:rsidR="00794C15" w:rsidRPr="00BB3C9A" w:rsidRDefault="00794C15" w:rsidP="00794C15">
      <w:pPr>
        <w:rPr>
          <w:rFonts w:eastAsia="Arial"/>
        </w:rPr>
      </w:pPr>
      <w:r w:rsidRPr="00BB3C9A">
        <w:rPr>
          <w:rFonts w:eastAsia="Arial"/>
        </w:rPr>
        <w:t xml:space="preserve">Gibson RS. Principles of nutritional assessment. New York: Oxford University Press. 1991:749-766. </w:t>
      </w:r>
    </w:p>
    <w:p w14:paraId="44DD8C74" w14:textId="77777777" w:rsidR="00794C15" w:rsidRPr="00BB3C9A" w:rsidRDefault="00794C15" w:rsidP="00794C15">
      <w:pPr>
        <w:rPr>
          <w:rFonts w:eastAsia="Arial"/>
        </w:rPr>
      </w:pPr>
      <w:proofErr w:type="spellStart"/>
      <w:r w:rsidRPr="00BB3C9A">
        <w:rPr>
          <w:rFonts w:eastAsia="Arial"/>
        </w:rPr>
        <w:t>Glinoer</w:t>
      </w:r>
      <w:proofErr w:type="spellEnd"/>
      <w:r w:rsidRPr="00BB3C9A">
        <w:rPr>
          <w:rFonts w:eastAsia="Arial"/>
        </w:rPr>
        <w:t xml:space="preserve"> D. 1998. Iodine supplementation during pregnancy: Importance and biochemical assessment. </w:t>
      </w:r>
      <w:r w:rsidRPr="00BB3C9A">
        <w:rPr>
          <w:rFonts w:eastAsia="Arial"/>
          <w:i/>
          <w:iCs/>
        </w:rPr>
        <w:t>Exp Clin Endocrinol Diabetes</w:t>
      </w:r>
      <w:r w:rsidRPr="00BB3C9A">
        <w:rPr>
          <w:rFonts w:eastAsia="Arial"/>
        </w:rPr>
        <w:t> </w:t>
      </w:r>
      <w:proofErr w:type="gramStart"/>
      <w:r w:rsidRPr="00BB3C9A">
        <w:rPr>
          <w:rFonts w:eastAsia="Arial"/>
        </w:rPr>
        <w:t>106:S</w:t>
      </w:r>
      <w:proofErr w:type="gramEnd"/>
      <w:r w:rsidRPr="00BB3C9A">
        <w:rPr>
          <w:rFonts w:eastAsia="Arial"/>
        </w:rPr>
        <w:t>21</w:t>
      </w:r>
    </w:p>
    <w:p w14:paraId="02621DFA" w14:textId="77777777" w:rsidR="00794C15" w:rsidRPr="00BB3C9A" w:rsidRDefault="00794C15" w:rsidP="00794C15">
      <w:pPr>
        <w:rPr>
          <w:rFonts w:eastAsia="Arial"/>
        </w:rPr>
      </w:pPr>
      <w:r w:rsidRPr="00BB3C9A">
        <w:rPr>
          <w:rFonts w:eastAsia="Arial"/>
        </w:rPr>
        <w:t xml:space="preserve">Guess K, Malek L, Anderson A, Makrides M, Zhou SJ. Knowledge and practices regarding iodine supplementation: A national survey of healthcare providers. </w:t>
      </w:r>
      <w:r w:rsidRPr="00BB3C9A">
        <w:rPr>
          <w:rFonts w:eastAsia="Arial"/>
          <w:i/>
          <w:iCs/>
        </w:rPr>
        <w:t xml:space="preserve">Women and Birth, </w:t>
      </w:r>
      <w:r w:rsidRPr="00BB3C9A">
        <w:rPr>
          <w:rFonts w:eastAsia="Arial"/>
        </w:rPr>
        <w:t>2017. Vol. 30 (1), pp. e56-e60.</w:t>
      </w:r>
    </w:p>
    <w:p w14:paraId="0924BF83" w14:textId="77777777" w:rsidR="00794C15" w:rsidRPr="00BB3C9A" w:rsidRDefault="00794C15" w:rsidP="00794C15">
      <w:pPr>
        <w:rPr>
          <w:rFonts w:eastAsia="Arial"/>
        </w:rPr>
      </w:pPr>
      <w:proofErr w:type="spellStart"/>
      <w:r w:rsidRPr="00BB3C9A">
        <w:rPr>
          <w:rFonts w:eastAsia="Arial"/>
        </w:rPr>
        <w:t>Gushurst</w:t>
      </w:r>
      <w:proofErr w:type="spellEnd"/>
      <w:r w:rsidRPr="00BB3C9A">
        <w:rPr>
          <w:rFonts w:eastAsia="Arial"/>
        </w:rPr>
        <w:t xml:space="preserve"> CA, Mueller JA, Green JA, Sedor F. 1984. Breast milk iodine: Reassessment in the 1980s. </w:t>
      </w:r>
      <w:proofErr w:type="spellStart"/>
      <w:r w:rsidRPr="00BB3C9A">
        <w:rPr>
          <w:rFonts w:eastAsia="Arial"/>
          <w:i/>
          <w:iCs/>
        </w:rPr>
        <w:t>Pediatrics</w:t>
      </w:r>
      <w:proofErr w:type="spellEnd"/>
      <w:r w:rsidRPr="00BB3C9A">
        <w:rPr>
          <w:rFonts w:eastAsia="Arial"/>
        </w:rPr>
        <w:t> 73:354</w:t>
      </w:r>
      <w:r>
        <w:rPr>
          <w:rFonts w:eastAsia="Arial"/>
        </w:rPr>
        <w:t>-</w:t>
      </w:r>
      <w:r w:rsidRPr="00BB3C9A">
        <w:rPr>
          <w:rFonts w:eastAsia="Arial"/>
        </w:rPr>
        <w:t>357</w:t>
      </w:r>
    </w:p>
    <w:p w14:paraId="61D3C734" w14:textId="2C670942" w:rsidR="00794C15" w:rsidRPr="00BB3C9A" w:rsidRDefault="00794C15" w:rsidP="00794C15">
      <w:pPr>
        <w:rPr>
          <w:rFonts w:eastAsia="Arial"/>
        </w:rPr>
      </w:pPr>
      <w:r w:rsidRPr="00BB3C9A">
        <w:rPr>
          <w:rFonts w:eastAsia="Arial"/>
        </w:rPr>
        <w:t xml:space="preserve">Guttikonda K, Travers CA, Lewis PR, </w:t>
      </w:r>
      <w:proofErr w:type="spellStart"/>
      <w:r w:rsidRPr="00BB3C9A">
        <w:rPr>
          <w:rFonts w:eastAsia="Arial"/>
        </w:rPr>
        <w:t>Boyages</w:t>
      </w:r>
      <w:proofErr w:type="spellEnd"/>
      <w:r w:rsidRPr="00BB3C9A">
        <w:rPr>
          <w:rFonts w:eastAsia="Arial"/>
        </w:rPr>
        <w:t xml:space="preserve"> S. Iodine deficiency in urban primary school children: a cross-sectional analysis. Med J Aust. 2003 Oct 6;179(7):346-8. </w:t>
      </w:r>
      <w:r w:rsidR="00667A3D" w:rsidRPr="00BB3C9A">
        <w:rPr>
          <w:rFonts w:eastAsia="Arial"/>
        </w:rPr>
        <w:t>D</w:t>
      </w:r>
      <w:r w:rsidRPr="00BB3C9A">
        <w:rPr>
          <w:rFonts w:eastAsia="Arial"/>
        </w:rPr>
        <w:t>oi: 10.5694/j.1326-</w:t>
      </w:r>
      <w:proofErr w:type="gramStart"/>
      <w:r w:rsidRPr="00BB3C9A">
        <w:rPr>
          <w:rFonts w:eastAsia="Arial"/>
        </w:rPr>
        <w:t>5377.2003.tb05589.x.</w:t>
      </w:r>
      <w:proofErr w:type="gramEnd"/>
      <w:r w:rsidRPr="00BB3C9A">
        <w:rPr>
          <w:rFonts w:eastAsia="Arial"/>
        </w:rPr>
        <w:t xml:space="preserve"> PMID: 14503896.</w:t>
      </w:r>
    </w:p>
    <w:p w14:paraId="148DF2B8" w14:textId="77777777" w:rsidR="00794C15" w:rsidRPr="00BB3C9A" w:rsidRDefault="00794C15" w:rsidP="00794C15">
      <w:pPr>
        <w:rPr>
          <w:rFonts w:eastAsia="Arial"/>
        </w:rPr>
      </w:pPr>
      <w:r w:rsidRPr="00BB3C9A">
        <w:rPr>
          <w:rFonts w:eastAsia="Arial"/>
        </w:rPr>
        <w:t>Harding KB, Peña-Rosas JP, Webster AC, Yap CM, Payne BA, Ota E, De-</w:t>
      </w:r>
      <w:proofErr w:type="spellStart"/>
      <w:r w:rsidRPr="00BB3C9A">
        <w:rPr>
          <w:rFonts w:eastAsia="Arial"/>
        </w:rPr>
        <w:t>Regil</w:t>
      </w:r>
      <w:proofErr w:type="spellEnd"/>
      <w:r w:rsidRPr="00BB3C9A">
        <w:rPr>
          <w:rFonts w:eastAsia="Arial"/>
        </w:rPr>
        <w:t xml:space="preserve"> LM. 2017. Iodine supplementation for women during the preconception, pregnancy and postpartum period. </w:t>
      </w:r>
      <w:r w:rsidRPr="00BB3C9A">
        <w:rPr>
          <w:rFonts w:eastAsia="Arial"/>
          <w:i/>
          <w:iCs/>
        </w:rPr>
        <w:t xml:space="preserve">Cochrane Database Syst Rev. </w:t>
      </w:r>
      <w:r w:rsidRPr="00BB3C9A">
        <w:rPr>
          <w:rFonts w:eastAsia="Arial"/>
        </w:rPr>
        <w:t xml:space="preserve">3(3):CD011761. </w:t>
      </w:r>
    </w:p>
    <w:p w14:paraId="24A5496C" w14:textId="77777777" w:rsidR="00794C15" w:rsidRPr="00BB3C9A" w:rsidRDefault="00794C15" w:rsidP="00794C15">
      <w:pPr>
        <w:rPr>
          <w:rFonts w:eastAsia="Arial"/>
        </w:rPr>
      </w:pPr>
      <w:r w:rsidRPr="00BB3C9A">
        <w:rPr>
          <w:rFonts w:eastAsia="Arial"/>
        </w:rPr>
        <w:t xml:space="preserve">Hine T, Zhao Y, Begley A, </w:t>
      </w:r>
      <w:proofErr w:type="spellStart"/>
      <w:r w:rsidRPr="00BB3C9A">
        <w:rPr>
          <w:rFonts w:eastAsia="Arial"/>
        </w:rPr>
        <w:t>Skeaff</w:t>
      </w:r>
      <w:proofErr w:type="spellEnd"/>
      <w:r w:rsidRPr="00BB3C9A">
        <w:rPr>
          <w:rFonts w:eastAsia="Arial"/>
        </w:rPr>
        <w:t xml:space="preserve"> S, Sherriff J. Iodine-containing supplement use by pregnant women attending antenatal clinics in Western Australia. Aust N Z J </w:t>
      </w:r>
      <w:proofErr w:type="spellStart"/>
      <w:r w:rsidRPr="00BB3C9A">
        <w:rPr>
          <w:rFonts w:eastAsia="Arial"/>
        </w:rPr>
        <w:t>Obstet</w:t>
      </w:r>
      <w:proofErr w:type="spellEnd"/>
      <w:r w:rsidRPr="00BB3C9A">
        <w:rPr>
          <w:rFonts w:eastAsia="Arial"/>
        </w:rPr>
        <w:t xml:space="preserve"> </w:t>
      </w:r>
      <w:proofErr w:type="spellStart"/>
      <w:r w:rsidRPr="00BB3C9A">
        <w:rPr>
          <w:rFonts w:eastAsia="Arial"/>
        </w:rPr>
        <w:t>Gynaecol</w:t>
      </w:r>
      <w:proofErr w:type="spellEnd"/>
      <w:r w:rsidRPr="00BB3C9A">
        <w:rPr>
          <w:rFonts w:eastAsia="Arial"/>
        </w:rPr>
        <w:t>. 2018 Dec;58(6):636-642</w:t>
      </w:r>
    </w:p>
    <w:p w14:paraId="73FE8022" w14:textId="32EE42C3" w:rsidR="00794C15" w:rsidRPr="00BB3C9A" w:rsidRDefault="00794C15" w:rsidP="00794C15">
      <w:pPr>
        <w:rPr>
          <w:rFonts w:eastAsia="Arial"/>
        </w:rPr>
      </w:pPr>
      <w:r w:rsidRPr="00BB3C9A">
        <w:rPr>
          <w:rFonts w:eastAsia="Arial"/>
        </w:rPr>
        <w:t>Hurley, S., Eastman, C. J., &amp; Gallego, G. (2019). The impact of mandatory iodine fortification and supplementation on pregnant and lactating women in Australia. Asia Pacific Journal of Clinical Nutrition, 28(1), 15</w:t>
      </w:r>
      <w:r>
        <w:rPr>
          <w:rFonts w:eastAsia="Arial"/>
        </w:rPr>
        <w:t>-</w:t>
      </w:r>
      <w:r w:rsidRPr="00BB3C9A">
        <w:rPr>
          <w:rFonts w:eastAsia="Arial"/>
        </w:rPr>
        <w:t xml:space="preserve">22. </w:t>
      </w:r>
      <w:hyperlink r:id="rId101" w:history="1">
        <w:r w:rsidR="00667A3D" w:rsidRPr="00DA7383">
          <w:rPr>
            <w:rStyle w:val="Hyperlink"/>
            <w:rFonts w:eastAsia="Arial"/>
          </w:rPr>
          <w:t>https://search</w:t>
        </w:r>
      </w:hyperlink>
      <w:r w:rsidRPr="00BB3C9A">
        <w:rPr>
          <w:rFonts w:eastAsia="Arial"/>
        </w:rPr>
        <w:t>.informit.org/doi/10.3316/ielapa.264165338344088</w:t>
      </w:r>
    </w:p>
    <w:p w14:paraId="058698A2" w14:textId="5646CAA7" w:rsidR="00794C15" w:rsidRPr="00BB3C9A" w:rsidRDefault="00794C15" w:rsidP="00794C15">
      <w:pPr>
        <w:rPr>
          <w:rFonts w:eastAsia="Arial"/>
        </w:rPr>
      </w:pPr>
      <w:r w:rsidRPr="00BB3C9A">
        <w:rPr>
          <w:rFonts w:eastAsia="Arial"/>
        </w:rPr>
        <w:t xml:space="preserve">Hynes KL, </w:t>
      </w:r>
      <w:proofErr w:type="spellStart"/>
      <w:r w:rsidRPr="00BB3C9A">
        <w:rPr>
          <w:rFonts w:eastAsia="Arial"/>
        </w:rPr>
        <w:t>Otahal</w:t>
      </w:r>
      <w:proofErr w:type="spellEnd"/>
      <w:r w:rsidRPr="00BB3C9A">
        <w:rPr>
          <w:rFonts w:eastAsia="Arial"/>
        </w:rPr>
        <w:t xml:space="preserve"> P, Burgess JR, Oddy WH, Hay I. Reduced Educational Outcomes Persist into Adolescence Following Mild Iodine Deficiency in Utero, Despite Adequacy in Childhood: 15-Year Follow-Up of the Gestational Iodine Cohort Investigating Auditory Processing Speed and Working Memory. Nutrients. 2017 Dec 13;9(12):1354. </w:t>
      </w:r>
      <w:r w:rsidR="00667A3D" w:rsidRPr="00BB3C9A">
        <w:rPr>
          <w:rFonts w:eastAsia="Arial"/>
        </w:rPr>
        <w:t>D</w:t>
      </w:r>
      <w:r w:rsidRPr="00BB3C9A">
        <w:rPr>
          <w:rFonts w:eastAsia="Arial"/>
        </w:rPr>
        <w:t xml:space="preserve">oi: 10.3390/nu9121354. </w:t>
      </w:r>
    </w:p>
    <w:p w14:paraId="179A3122" w14:textId="066525EB" w:rsidR="00794C15" w:rsidRPr="00BB3C9A" w:rsidRDefault="00794C15" w:rsidP="00794C15">
      <w:pPr>
        <w:rPr>
          <w:rFonts w:eastAsia="Arial"/>
        </w:rPr>
      </w:pPr>
      <w:r w:rsidRPr="00BB3C9A">
        <w:rPr>
          <w:rFonts w:eastAsia="Arial"/>
        </w:rPr>
        <w:t xml:space="preserve">Hynes KL, Seal JA, </w:t>
      </w:r>
      <w:proofErr w:type="spellStart"/>
      <w:r w:rsidRPr="00BB3C9A">
        <w:rPr>
          <w:rFonts w:eastAsia="Arial"/>
        </w:rPr>
        <w:t>Otahal</w:t>
      </w:r>
      <w:proofErr w:type="spellEnd"/>
      <w:r w:rsidRPr="00BB3C9A">
        <w:rPr>
          <w:rFonts w:eastAsia="Arial"/>
        </w:rPr>
        <w:t xml:space="preserve"> P, Oddy WH &amp; Burgess JR. Women remain at risk of iodine deficiency during pregnancy: the importance of iodine supplementation before conception and throughout gestation. </w:t>
      </w:r>
      <w:r w:rsidRPr="00BB3C9A">
        <w:rPr>
          <w:rFonts w:eastAsia="Arial"/>
          <w:i/>
          <w:iCs/>
        </w:rPr>
        <w:t xml:space="preserve">Nutrients </w:t>
      </w:r>
      <w:r w:rsidRPr="00BB3C9A">
        <w:rPr>
          <w:rFonts w:eastAsia="Arial"/>
        </w:rPr>
        <w:t xml:space="preserve">2019 </w:t>
      </w:r>
      <w:r w:rsidRPr="00BB3C9A">
        <w:rPr>
          <w:rFonts w:eastAsia="Arial"/>
          <w:b/>
          <w:bCs/>
        </w:rPr>
        <w:t xml:space="preserve">11 </w:t>
      </w:r>
      <w:r w:rsidRPr="00BB3C9A">
        <w:rPr>
          <w:rFonts w:eastAsia="Arial"/>
        </w:rPr>
        <w:t>172. (</w:t>
      </w:r>
      <w:hyperlink r:id="rId102" w:history="1">
        <w:r w:rsidR="00667A3D" w:rsidRPr="00DA7383">
          <w:rPr>
            <w:rStyle w:val="Hyperlink"/>
            <w:rFonts w:eastAsia="Arial"/>
          </w:rPr>
          <w:t>https://doi</w:t>
        </w:r>
      </w:hyperlink>
      <w:r w:rsidRPr="00BB3C9A">
        <w:rPr>
          <w:rFonts w:eastAsia="Arial"/>
        </w:rPr>
        <w:t xml:space="preserve">.org/10.3390/ nu11010172) </w:t>
      </w:r>
    </w:p>
    <w:p w14:paraId="115B9443" w14:textId="77777777" w:rsidR="00794C15" w:rsidRPr="00BB3C9A" w:rsidRDefault="00794C15" w:rsidP="00794C15">
      <w:pPr>
        <w:rPr>
          <w:rFonts w:eastAsia="Arial"/>
        </w:rPr>
      </w:pPr>
      <w:proofErr w:type="spellStart"/>
      <w:r w:rsidRPr="00BB3C9A">
        <w:rPr>
          <w:rFonts w:eastAsia="Arial"/>
        </w:rPr>
        <w:t>Ingenbleek</w:t>
      </w:r>
      <w:proofErr w:type="spellEnd"/>
      <w:r w:rsidRPr="00BB3C9A">
        <w:rPr>
          <w:rFonts w:eastAsia="Arial"/>
        </w:rPr>
        <w:t xml:space="preserve"> Y, </w:t>
      </w:r>
      <w:proofErr w:type="spellStart"/>
      <w:r w:rsidRPr="00BB3C9A">
        <w:rPr>
          <w:rFonts w:eastAsia="Arial"/>
        </w:rPr>
        <w:t>Malvaux</w:t>
      </w:r>
      <w:proofErr w:type="spellEnd"/>
      <w:r w:rsidRPr="00BB3C9A">
        <w:rPr>
          <w:rFonts w:eastAsia="Arial"/>
        </w:rPr>
        <w:t xml:space="preserve"> P. 1974. Iodine balance studies in protein-calorie malnutrition. </w:t>
      </w:r>
      <w:r w:rsidRPr="00BB3C9A">
        <w:rPr>
          <w:rFonts w:eastAsia="Arial"/>
          <w:i/>
          <w:iCs/>
        </w:rPr>
        <w:t>Arch Dis Child</w:t>
      </w:r>
      <w:r w:rsidRPr="00BB3C9A">
        <w:rPr>
          <w:rFonts w:eastAsia="Arial"/>
        </w:rPr>
        <w:t> 49:305</w:t>
      </w:r>
      <w:r>
        <w:rPr>
          <w:rFonts w:eastAsia="Arial"/>
        </w:rPr>
        <w:t>-</w:t>
      </w:r>
      <w:r w:rsidRPr="00BB3C9A">
        <w:rPr>
          <w:rFonts w:eastAsia="Arial"/>
        </w:rPr>
        <w:t>309.</w:t>
      </w:r>
    </w:p>
    <w:p w14:paraId="01537695" w14:textId="657C8075" w:rsidR="00794C15" w:rsidRPr="00BB3C9A" w:rsidRDefault="00794C15" w:rsidP="00794C15">
      <w:pPr>
        <w:rPr>
          <w:rFonts w:eastAsia="Arial"/>
        </w:rPr>
      </w:pPr>
      <w:r w:rsidRPr="00BB3C9A">
        <w:rPr>
          <w:rFonts w:eastAsia="Arial"/>
        </w:rPr>
        <w:t xml:space="preserve">Jahreis G, Hausmann W, Kiessling G, Franke K and </w:t>
      </w:r>
      <w:proofErr w:type="spellStart"/>
      <w:r w:rsidRPr="00BB3C9A">
        <w:rPr>
          <w:rFonts w:eastAsia="Arial"/>
        </w:rPr>
        <w:t>Leiterer</w:t>
      </w:r>
      <w:proofErr w:type="spellEnd"/>
      <w:r w:rsidRPr="00BB3C9A">
        <w:rPr>
          <w:rFonts w:eastAsia="Arial"/>
        </w:rPr>
        <w:t xml:space="preserve"> M, 2001. Bioavailability of iodine from normal diets rich in dairy products</w:t>
      </w:r>
      <w:r w:rsidR="00667A3D">
        <w:rPr>
          <w:rFonts w:eastAsia="Arial"/>
        </w:rPr>
        <w:t>–</w:t>
      </w:r>
      <w:r w:rsidRPr="00BB3C9A">
        <w:rPr>
          <w:rFonts w:eastAsia="Arial"/>
        </w:rPr>
        <w:t>results of balance studies in women. Experimental and Clinical Endocrinology and Diabetes, 109, 163-167.</w:t>
      </w:r>
    </w:p>
    <w:p w14:paraId="79F8D3FE" w14:textId="77777777" w:rsidR="00794C15" w:rsidRPr="00BB3C9A" w:rsidRDefault="00794C15" w:rsidP="00794C15">
      <w:pPr>
        <w:rPr>
          <w:rFonts w:eastAsia="Arial"/>
        </w:rPr>
      </w:pPr>
      <w:r w:rsidRPr="00BB3C9A">
        <w:rPr>
          <w:rFonts w:eastAsia="Arial"/>
        </w:rPr>
        <w:lastRenderedPageBreak/>
        <w:t xml:space="preserve">Jin Y, Coad J, Zhou SJ, </w:t>
      </w:r>
      <w:proofErr w:type="spellStart"/>
      <w:r w:rsidRPr="00BB3C9A">
        <w:rPr>
          <w:rFonts w:eastAsia="Arial"/>
        </w:rPr>
        <w:t>Skeaff</w:t>
      </w:r>
      <w:proofErr w:type="spellEnd"/>
      <w:r w:rsidRPr="00BB3C9A">
        <w:rPr>
          <w:rFonts w:eastAsia="Arial"/>
        </w:rPr>
        <w:t xml:space="preserve"> S, Benn C, Brough L. 2021. Use of Iodine Supplements by Breastfeeding Mothers Is Associated with Better Maternal and Infant Iodine Status. </w:t>
      </w:r>
      <w:r w:rsidRPr="00BB3C9A">
        <w:rPr>
          <w:rFonts w:eastAsia="Arial"/>
          <w:i/>
          <w:iCs/>
        </w:rPr>
        <w:t>Biol Trace Elem Res.</w:t>
      </w:r>
      <w:r w:rsidRPr="00BB3C9A">
        <w:rPr>
          <w:rFonts w:eastAsia="Arial"/>
        </w:rPr>
        <w:t>199(8):2893-2903.</w:t>
      </w:r>
    </w:p>
    <w:p w14:paraId="59E9BB5F" w14:textId="77777777" w:rsidR="00794C15" w:rsidRPr="00BB3C9A" w:rsidRDefault="00794C15" w:rsidP="00794C15">
      <w:pPr>
        <w:rPr>
          <w:rFonts w:eastAsia="Times New Roman"/>
        </w:rPr>
      </w:pPr>
      <w:r w:rsidRPr="00BB3C9A">
        <w:rPr>
          <w:rFonts w:eastAsia="Times New Roman"/>
        </w:rPr>
        <w:t xml:space="preserve">Johnson LA, Ford HC, Doran JM, Richardson VF. A survey of the iodide concentration of human milk. NZ Med J </w:t>
      </w:r>
      <w:proofErr w:type="gramStart"/>
      <w:r w:rsidRPr="00BB3C9A">
        <w:rPr>
          <w:rFonts w:eastAsia="Times New Roman"/>
        </w:rPr>
        <w:t>1990;103:393</w:t>
      </w:r>
      <w:proofErr w:type="gramEnd"/>
      <w:r>
        <w:rPr>
          <w:rFonts w:eastAsia="Times New Roman"/>
        </w:rPr>
        <w:t>-</w:t>
      </w:r>
      <w:r w:rsidRPr="00BB3C9A">
        <w:rPr>
          <w:rFonts w:eastAsia="Times New Roman"/>
        </w:rPr>
        <w:t>4</w:t>
      </w:r>
    </w:p>
    <w:p w14:paraId="76C619E1" w14:textId="77777777" w:rsidR="00794C15" w:rsidRPr="00BB3C9A" w:rsidRDefault="00794C15" w:rsidP="00794C15">
      <w:pPr>
        <w:rPr>
          <w:rFonts w:eastAsia="Arial"/>
        </w:rPr>
      </w:pPr>
      <w:r w:rsidRPr="00BB3C9A">
        <w:rPr>
          <w:rFonts w:eastAsia="Arial"/>
        </w:rPr>
        <w:t xml:space="preserve">Jones E, McLean R, Davies B, Hawkins R, Meiklejohn E, Ma ZF, </w:t>
      </w:r>
      <w:proofErr w:type="spellStart"/>
      <w:r w:rsidRPr="00BB3C9A">
        <w:rPr>
          <w:rFonts w:eastAsia="Arial"/>
        </w:rPr>
        <w:t>Skeaff</w:t>
      </w:r>
      <w:proofErr w:type="spellEnd"/>
      <w:r w:rsidRPr="00BB3C9A">
        <w:rPr>
          <w:rFonts w:eastAsia="Arial"/>
        </w:rPr>
        <w:t xml:space="preserve"> S. Adequate Iodine Status in New Zealand School Children Post-Fortification of Bread with Iodised Salt. Nutrients. 2016 May 16;8(5</w:t>
      </w:r>
      <w:proofErr w:type="gramStart"/>
      <w:r w:rsidRPr="00BB3C9A">
        <w:rPr>
          <w:rFonts w:eastAsia="Arial"/>
        </w:rPr>
        <w:t>):298..</w:t>
      </w:r>
      <w:proofErr w:type="gramEnd"/>
      <w:r w:rsidRPr="00BB3C9A">
        <w:rPr>
          <w:rFonts w:eastAsia="Arial"/>
        </w:rPr>
        <w:t xml:space="preserve"> </w:t>
      </w:r>
    </w:p>
    <w:p w14:paraId="28DBBBEF" w14:textId="77777777" w:rsidR="00794C15" w:rsidRPr="00BB3C9A" w:rsidRDefault="00794C15" w:rsidP="00794C15">
      <w:pPr>
        <w:rPr>
          <w:rFonts w:eastAsia="Arial"/>
        </w:rPr>
      </w:pPr>
      <w:r w:rsidRPr="00BB3C9A">
        <w:rPr>
          <w:rFonts w:eastAsia="Arial"/>
        </w:rPr>
        <w:t>Kantar (2022) Better Futures 2022; available at </w:t>
      </w:r>
      <w:hyperlink r:id="rId103" w:tgtFrame="_blank" w:history="1">
        <w:r w:rsidRPr="00BB3C9A">
          <w:rPr>
            <w:rFonts w:eastAsia="Arial"/>
            <w:color w:val="0070C0"/>
            <w:u w:val="single"/>
          </w:rPr>
          <w:t>https://www.sbc.org.nz/wp-content/uploads/2022/07/2022-Better-Futures-Report-Version-23-March-FINAL.pdf</w:t>
        </w:r>
      </w:hyperlink>
      <w:r w:rsidRPr="00BB3C9A">
        <w:rPr>
          <w:rFonts w:eastAsia="Arial"/>
        </w:rPr>
        <w:t> (accessed 1 July 2025).</w:t>
      </w:r>
    </w:p>
    <w:p w14:paraId="10C58895" w14:textId="158AA69F" w:rsidR="00794C15" w:rsidRPr="00BB3C9A" w:rsidRDefault="00794C15" w:rsidP="00794C15">
      <w:pPr>
        <w:rPr>
          <w:rFonts w:eastAsia="Arial"/>
        </w:rPr>
      </w:pPr>
      <w:r w:rsidRPr="00BB3C9A">
        <w:rPr>
          <w:rFonts w:eastAsia="Arial"/>
        </w:rPr>
        <w:t xml:space="preserve">Knudsen N, Bülow I, Laurberg P, Ovesen L, Perrild H, Jørgensen T. Association of Tobacco Smoking </w:t>
      </w:r>
      <w:proofErr w:type="gramStart"/>
      <w:r w:rsidRPr="00BB3C9A">
        <w:rPr>
          <w:rFonts w:eastAsia="Arial"/>
        </w:rPr>
        <w:t>With</w:t>
      </w:r>
      <w:proofErr w:type="gramEnd"/>
      <w:r w:rsidRPr="00BB3C9A">
        <w:rPr>
          <w:rFonts w:eastAsia="Arial"/>
        </w:rPr>
        <w:t xml:space="preserve"> </w:t>
      </w:r>
      <w:proofErr w:type="spellStart"/>
      <w:r w:rsidRPr="00BB3C9A">
        <w:rPr>
          <w:rFonts w:eastAsia="Arial"/>
        </w:rPr>
        <w:t>Goiter</w:t>
      </w:r>
      <w:proofErr w:type="spellEnd"/>
      <w:r w:rsidRPr="00BB3C9A">
        <w:rPr>
          <w:rFonts w:eastAsia="Arial"/>
        </w:rPr>
        <w:t xml:space="preserve"> in a Low-Iodine-Intake Area. </w:t>
      </w:r>
      <w:r w:rsidRPr="00BB3C9A">
        <w:rPr>
          <w:rFonts w:eastAsia="Arial"/>
          <w:i/>
          <w:iCs/>
        </w:rPr>
        <w:t>Arch Intern Med.</w:t>
      </w:r>
      <w:r w:rsidRPr="00BB3C9A">
        <w:rPr>
          <w:rFonts w:eastAsia="Arial"/>
        </w:rPr>
        <w:t> 2002;162(4):439</w:t>
      </w:r>
      <w:r>
        <w:rPr>
          <w:rFonts w:eastAsia="Arial"/>
        </w:rPr>
        <w:t>-</w:t>
      </w:r>
      <w:r w:rsidRPr="00BB3C9A">
        <w:rPr>
          <w:rFonts w:eastAsia="Arial"/>
        </w:rPr>
        <w:t xml:space="preserve">443. </w:t>
      </w:r>
      <w:r w:rsidR="00667A3D" w:rsidRPr="00BB3C9A">
        <w:rPr>
          <w:rFonts w:eastAsia="Arial"/>
        </w:rPr>
        <w:t>D</w:t>
      </w:r>
      <w:r w:rsidRPr="00BB3C9A">
        <w:rPr>
          <w:rFonts w:eastAsia="Arial"/>
        </w:rPr>
        <w:t>oi:10.1001/archinte.162.4.439</w:t>
      </w:r>
    </w:p>
    <w:p w14:paraId="05157DEB" w14:textId="77777777" w:rsidR="00794C15" w:rsidRPr="00BB3C9A" w:rsidRDefault="00794C15" w:rsidP="00794C15">
      <w:pPr>
        <w:rPr>
          <w:rFonts w:eastAsia="Arial"/>
        </w:rPr>
      </w:pPr>
      <w:r w:rsidRPr="00BB3C9A">
        <w:rPr>
          <w:rFonts w:eastAsia="Arial"/>
        </w:rPr>
        <w:t xml:space="preserve">Kohrle, J. (1999). The trace element selenium and the thyroid gland. </w:t>
      </w:r>
      <w:proofErr w:type="spellStart"/>
      <w:r w:rsidRPr="00BB3C9A">
        <w:rPr>
          <w:rFonts w:eastAsia="Arial"/>
          <w:i/>
          <w:iCs/>
        </w:rPr>
        <w:t>Biochimie</w:t>
      </w:r>
      <w:proofErr w:type="spellEnd"/>
      <w:r w:rsidRPr="00BB3C9A">
        <w:rPr>
          <w:rFonts w:eastAsia="Arial"/>
        </w:rPr>
        <w:t>. 81:527</w:t>
      </w:r>
      <w:r>
        <w:rPr>
          <w:rFonts w:eastAsia="Arial"/>
        </w:rPr>
        <w:t>-</w:t>
      </w:r>
      <w:r w:rsidRPr="00BB3C9A">
        <w:rPr>
          <w:rFonts w:eastAsia="Arial"/>
        </w:rPr>
        <w:t>533.</w:t>
      </w:r>
    </w:p>
    <w:p w14:paraId="248C6648" w14:textId="77777777" w:rsidR="00794C15" w:rsidRPr="00BB3C9A" w:rsidRDefault="00794C15" w:rsidP="00794C15">
      <w:pPr>
        <w:rPr>
          <w:rFonts w:eastAsia="Arial"/>
        </w:rPr>
      </w:pPr>
      <w:r w:rsidRPr="00BB3C9A">
        <w:rPr>
          <w:rFonts w:eastAsia="Arial"/>
        </w:rPr>
        <w:t xml:space="preserve">Lucas CJ, Charlton KE, Brown L, Brock E and Cummins L. Antenatal shared care: Are pregnant women being adequately informed about iodine and nutritional </w:t>
      </w:r>
      <w:proofErr w:type="gramStart"/>
      <w:r w:rsidRPr="00BB3C9A">
        <w:rPr>
          <w:rFonts w:eastAsia="Arial"/>
        </w:rPr>
        <w:t>supplementation?.</w:t>
      </w:r>
      <w:proofErr w:type="gramEnd"/>
      <w:r w:rsidRPr="00BB3C9A">
        <w:rPr>
          <w:rFonts w:eastAsia="Arial"/>
        </w:rPr>
        <w:t xml:space="preserve"> </w:t>
      </w:r>
      <w:r w:rsidRPr="00BB3C9A">
        <w:rPr>
          <w:rFonts w:eastAsia="Arial"/>
          <w:i/>
          <w:iCs/>
        </w:rPr>
        <w:t xml:space="preserve">Aust N Z J </w:t>
      </w:r>
      <w:proofErr w:type="spellStart"/>
      <w:r w:rsidRPr="00BB3C9A">
        <w:rPr>
          <w:rFonts w:eastAsia="Arial"/>
          <w:i/>
          <w:iCs/>
        </w:rPr>
        <w:t>Obstet</w:t>
      </w:r>
      <w:proofErr w:type="spellEnd"/>
      <w:r w:rsidRPr="00BB3C9A">
        <w:rPr>
          <w:rFonts w:eastAsia="Arial"/>
          <w:i/>
          <w:iCs/>
        </w:rPr>
        <w:t xml:space="preserve"> </w:t>
      </w:r>
      <w:proofErr w:type="spellStart"/>
      <w:r w:rsidRPr="00BB3C9A">
        <w:rPr>
          <w:rFonts w:eastAsia="Arial"/>
          <w:i/>
          <w:iCs/>
        </w:rPr>
        <w:t>Gynaecol</w:t>
      </w:r>
      <w:proofErr w:type="spellEnd"/>
      <w:r w:rsidRPr="00BB3C9A">
        <w:rPr>
          <w:rFonts w:eastAsia="Arial"/>
        </w:rPr>
        <w:t xml:space="preserve">, </w:t>
      </w:r>
      <w:proofErr w:type="gramStart"/>
      <w:r w:rsidRPr="00BB3C9A">
        <w:rPr>
          <w:rFonts w:eastAsia="Arial"/>
        </w:rPr>
        <w:t>2014,  54</w:t>
      </w:r>
      <w:proofErr w:type="gramEnd"/>
      <w:r w:rsidRPr="00BB3C9A">
        <w:rPr>
          <w:rFonts w:eastAsia="Arial"/>
        </w:rPr>
        <w:t>: 515-521</w:t>
      </w:r>
    </w:p>
    <w:p w14:paraId="393C9DB1" w14:textId="037EDA75" w:rsidR="00794C15" w:rsidRPr="00BB3C9A" w:rsidRDefault="00794C15" w:rsidP="00794C15">
      <w:pPr>
        <w:rPr>
          <w:rFonts w:eastAsia="Arial"/>
        </w:rPr>
      </w:pPr>
      <w:r w:rsidRPr="00BB3C9A">
        <w:rPr>
          <w:rFonts w:eastAsia="Arial"/>
        </w:rPr>
        <w:t xml:space="preserve">Malek L, Umberger W, Makrides M, Zhou SJ. Poor adherence to folic acid and iodine supplement recommendations in preconception and pregnancy: a cross-sectional analysis. Aust N Z J Public Health. 2016 Oct;40(5):424-429. </w:t>
      </w:r>
      <w:r w:rsidR="00667A3D" w:rsidRPr="00BB3C9A">
        <w:rPr>
          <w:rFonts w:eastAsia="Arial"/>
        </w:rPr>
        <w:t>D</w:t>
      </w:r>
      <w:r w:rsidRPr="00BB3C9A">
        <w:rPr>
          <w:rFonts w:eastAsia="Arial"/>
        </w:rPr>
        <w:t xml:space="preserve">oi: 10.1111/1753-6405.12552. </w:t>
      </w:r>
      <w:proofErr w:type="spellStart"/>
      <w:r w:rsidRPr="00BB3C9A">
        <w:rPr>
          <w:rFonts w:eastAsia="Arial"/>
        </w:rPr>
        <w:t>Epub</w:t>
      </w:r>
      <w:proofErr w:type="spellEnd"/>
      <w:r w:rsidRPr="00BB3C9A">
        <w:rPr>
          <w:rFonts w:eastAsia="Arial"/>
        </w:rPr>
        <w:t xml:space="preserve"> 2016 Aug 14. PMID: 27523027.</w:t>
      </w:r>
    </w:p>
    <w:p w14:paraId="657A585B" w14:textId="77777777" w:rsidR="00794C15" w:rsidRPr="00BB3C9A" w:rsidRDefault="00794C15" w:rsidP="00794C15">
      <w:pPr>
        <w:rPr>
          <w:rFonts w:eastAsia="Arial"/>
        </w:rPr>
      </w:pPr>
      <w:proofErr w:type="spellStart"/>
      <w:r w:rsidRPr="00BB3C9A">
        <w:rPr>
          <w:rFonts w:eastAsia="Arial"/>
        </w:rPr>
        <w:t>Malvaux</w:t>
      </w:r>
      <w:proofErr w:type="spellEnd"/>
      <w:r w:rsidRPr="00BB3C9A">
        <w:rPr>
          <w:rFonts w:eastAsia="Arial"/>
        </w:rPr>
        <w:t xml:space="preserve"> P, Beckers C, de Visscher M. 1969. Iodine balance studies in </w:t>
      </w:r>
      <w:proofErr w:type="spellStart"/>
      <w:r w:rsidRPr="00BB3C9A">
        <w:rPr>
          <w:rFonts w:eastAsia="Arial"/>
        </w:rPr>
        <w:t>nongoitrous</w:t>
      </w:r>
      <w:proofErr w:type="spellEnd"/>
      <w:r w:rsidRPr="00BB3C9A">
        <w:rPr>
          <w:rFonts w:eastAsia="Arial"/>
        </w:rPr>
        <w:t xml:space="preserve"> children and in adolescents on low iodine intake. J Clin Endocrinol </w:t>
      </w:r>
      <w:proofErr w:type="spellStart"/>
      <w:r w:rsidRPr="00BB3C9A">
        <w:rPr>
          <w:rFonts w:eastAsia="Arial"/>
        </w:rPr>
        <w:t>Metab</w:t>
      </w:r>
      <w:proofErr w:type="spellEnd"/>
      <w:r w:rsidRPr="00BB3C9A">
        <w:rPr>
          <w:rFonts w:eastAsia="Arial"/>
        </w:rPr>
        <w:t> 29:79</w:t>
      </w:r>
      <w:r>
        <w:rPr>
          <w:rFonts w:eastAsia="Arial"/>
        </w:rPr>
        <w:t>-</w:t>
      </w:r>
      <w:r w:rsidRPr="00BB3C9A">
        <w:rPr>
          <w:rFonts w:eastAsia="Arial"/>
        </w:rPr>
        <w:t>84.</w:t>
      </w:r>
    </w:p>
    <w:p w14:paraId="219C78B9" w14:textId="77777777" w:rsidR="00794C15" w:rsidRPr="00BB3C9A" w:rsidRDefault="00794C15" w:rsidP="00794C15">
      <w:pPr>
        <w:rPr>
          <w:rFonts w:eastAsia="Arial"/>
        </w:rPr>
      </w:pPr>
      <w:r w:rsidRPr="00BB3C9A">
        <w:rPr>
          <w:rFonts w:eastAsia="Arial"/>
        </w:rPr>
        <w:t xml:space="preserve">Martin JC, </w:t>
      </w:r>
      <w:proofErr w:type="spellStart"/>
      <w:r w:rsidRPr="00BB3C9A">
        <w:rPr>
          <w:rFonts w:eastAsia="Arial"/>
        </w:rPr>
        <w:t>Savige</w:t>
      </w:r>
      <w:proofErr w:type="spellEnd"/>
      <w:r w:rsidRPr="00BB3C9A">
        <w:rPr>
          <w:rFonts w:eastAsia="Arial"/>
        </w:rPr>
        <w:t xml:space="preserve"> GS and Mitchell EKL. Health knowledge and iodine intake in pregnancy. </w:t>
      </w:r>
      <w:r w:rsidRPr="00BB3C9A">
        <w:rPr>
          <w:rFonts w:eastAsia="Arial"/>
          <w:i/>
          <w:iCs/>
        </w:rPr>
        <w:t xml:space="preserve">Aust N Z J </w:t>
      </w:r>
      <w:proofErr w:type="spellStart"/>
      <w:r w:rsidRPr="00BB3C9A">
        <w:rPr>
          <w:rFonts w:eastAsia="Arial"/>
          <w:i/>
          <w:iCs/>
        </w:rPr>
        <w:t>Obstet</w:t>
      </w:r>
      <w:proofErr w:type="spellEnd"/>
      <w:r w:rsidRPr="00BB3C9A">
        <w:rPr>
          <w:rFonts w:eastAsia="Arial"/>
          <w:i/>
          <w:iCs/>
        </w:rPr>
        <w:t xml:space="preserve"> </w:t>
      </w:r>
      <w:proofErr w:type="spellStart"/>
      <w:r w:rsidRPr="00BB3C9A">
        <w:rPr>
          <w:rFonts w:eastAsia="Arial"/>
          <w:i/>
          <w:iCs/>
        </w:rPr>
        <w:t>Gynaecol</w:t>
      </w:r>
      <w:proofErr w:type="spellEnd"/>
      <w:r w:rsidRPr="00BB3C9A">
        <w:rPr>
          <w:rFonts w:eastAsia="Arial"/>
          <w:i/>
          <w:iCs/>
        </w:rPr>
        <w:t xml:space="preserve">, </w:t>
      </w:r>
      <w:r w:rsidRPr="00BB3C9A">
        <w:rPr>
          <w:rFonts w:eastAsia="Arial"/>
        </w:rPr>
        <w:t>2014. 54: 312-316. </w:t>
      </w:r>
      <w:hyperlink r:id="rId104" w:history="1">
        <w:r w:rsidRPr="00BB3C9A">
          <w:rPr>
            <w:rFonts w:eastAsia="Arial"/>
            <w:color w:val="0070C0"/>
            <w:u w:val="single"/>
          </w:rPr>
          <w:t>https://doi.org/10.1111/ajo.12201</w:t>
        </w:r>
      </w:hyperlink>
    </w:p>
    <w:p w14:paraId="0AD006A2" w14:textId="77777777" w:rsidR="00794C15" w:rsidRPr="00BB3C9A" w:rsidRDefault="00794C15" w:rsidP="00794C15">
      <w:pPr>
        <w:rPr>
          <w:rFonts w:eastAsia="Arial"/>
        </w:rPr>
      </w:pPr>
      <w:r w:rsidRPr="00BB3C9A">
        <w:rPr>
          <w:rFonts w:eastAsia="Arial"/>
        </w:rPr>
        <w:t xml:space="preserve">McDonnell CM, Harris M and </w:t>
      </w:r>
      <w:proofErr w:type="spellStart"/>
      <w:r w:rsidRPr="00BB3C9A">
        <w:rPr>
          <w:rFonts w:eastAsia="Arial"/>
        </w:rPr>
        <w:t>Zacharin</w:t>
      </w:r>
      <w:proofErr w:type="spellEnd"/>
      <w:r w:rsidRPr="00BB3C9A">
        <w:rPr>
          <w:rFonts w:eastAsia="Arial"/>
        </w:rPr>
        <w:t xml:space="preserve"> MR. 2003. Iodine deficiency and goitre in schoolchildren in Melbourne, 2001. </w:t>
      </w:r>
      <w:r w:rsidRPr="00BB3C9A">
        <w:rPr>
          <w:rFonts w:eastAsia="Arial"/>
          <w:i/>
          <w:iCs/>
        </w:rPr>
        <w:t>Med J Aust</w:t>
      </w:r>
      <w:r w:rsidRPr="00BB3C9A">
        <w:rPr>
          <w:rFonts w:eastAsia="Arial"/>
        </w:rPr>
        <w:t xml:space="preserve"> 178 (4): 159-162. Published online: 17 February 2003</w:t>
      </w:r>
    </w:p>
    <w:p w14:paraId="699B3BE2" w14:textId="7D755F1B" w:rsidR="00794C15" w:rsidRPr="00BB3C9A" w:rsidRDefault="00794C15" w:rsidP="00794C15">
      <w:pPr>
        <w:rPr>
          <w:rFonts w:eastAsia="Arial"/>
        </w:rPr>
      </w:pPr>
      <w:r w:rsidRPr="00BB3C9A">
        <w:rPr>
          <w:rFonts w:eastAsia="Arial"/>
        </w:rPr>
        <w:t xml:space="preserve">Monaghan AM, Mulhern MS, McSorley EM, Strain JJ, Dyer M, van Wijngaarden E, Yeates AJ. Associations between maternal urinary iodine assessment, dietary iodine intakes and neurodevelopmental outcomes in the child: a systematic review. Thyroid Res. 2021 Jun 7;14(1):14. </w:t>
      </w:r>
      <w:r w:rsidR="00667A3D" w:rsidRPr="00BB3C9A">
        <w:rPr>
          <w:rFonts w:eastAsia="Arial"/>
        </w:rPr>
        <w:t>D</w:t>
      </w:r>
      <w:r w:rsidRPr="00BB3C9A">
        <w:rPr>
          <w:rFonts w:eastAsia="Arial"/>
        </w:rPr>
        <w:t>oi: 10.1186/s13044-021-00105-1. PMID: 34099006; PMCID: PMC8182912.</w:t>
      </w:r>
    </w:p>
    <w:p w14:paraId="03552E70" w14:textId="77777777" w:rsidR="00794C15" w:rsidRPr="00BB3C9A" w:rsidRDefault="00794C15" w:rsidP="00794C15">
      <w:pPr>
        <w:rPr>
          <w:rFonts w:eastAsia="Arial"/>
        </w:rPr>
      </w:pPr>
      <w:r w:rsidRPr="00BB3C9A">
        <w:rPr>
          <w:rFonts w:eastAsia="Arial"/>
        </w:rPr>
        <w:t xml:space="preserve">National Health and Medical Research Council (NHMRC), 2010. Public Statement: Iodine supplementation for Pregnant and Breastfeeding Women, available from: </w:t>
      </w:r>
      <w:hyperlink r:id="rId105" w:history="1">
        <w:r w:rsidRPr="00BB3C9A">
          <w:rPr>
            <w:rFonts w:eastAsia="Arial"/>
            <w:color w:val="0070C0"/>
            <w:u w:val="single"/>
          </w:rPr>
          <w:t>https://www.nhmrc.gov.au/about-us/publications/iodine-supplementation-pregnant-and-breastfeeding-women</w:t>
        </w:r>
      </w:hyperlink>
      <w:r w:rsidRPr="00BB3C9A">
        <w:rPr>
          <w:rFonts w:eastAsia="Arial"/>
        </w:rPr>
        <w:t xml:space="preserve"> [Accessed: 30 July 2024]</w:t>
      </w:r>
    </w:p>
    <w:p w14:paraId="75E33049" w14:textId="77777777" w:rsidR="00794C15" w:rsidRPr="00BB3C9A" w:rsidRDefault="00794C15" w:rsidP="00794C15">
      <w:pPr>
        <w:rPr>
          <w:rFonts w:eastAsia="Arial"/>
        </w:rPr>
      </w:pPr>
      <w:r w:rsidRPr="00BB3C9A">
        <w:rPr>
          <w:rFonts w:eastAsia="Arial"/>
        </w:rPr>
        <w:lastRenderedPageBreak/>
        <w:t xml:space="preserve">National Health and Medical Research Council. 2011 [Report prepared by Byron A, </w:t>
      </w:r>
      <w:proofErr w:type="spellStart"/>
      <w:r w:rsidRPr="00BB3C9A">
        <w:rPr>
          <w:rFonts w:eastAsia="Arial"/>
        </w:rPr>
        <w:t>Baghurst</w:t>
      </w:r>
      <w:proofErr w:type="spellEnd"/>
      <w:r w:rsidRPr="00BB3C9A">
        <w:rPr>
          <w:rFonts w:eastAsia="Arial"/>
        </w:rPr>
        <w:t xml:space="preserve"> K, </w:t>
      </w:r>
      <w:proofErr w:type="spellStart"/>
      <w:r w:rsidRPr="00BB3C9A">
        <w:rPr>
          <w:rFonts w:eastAsia="Arial"/>
        </w:rPr>
        <w:t>Cobiac</w:t>
      </w:r>
      <w:proofErr w:type="spellEnd"/>
      <w:r w:rsidRPr="00BB3C9A">
        <w:rPr>
          <w:rFonts w:eastAsia="Arial"/>
        </w:rPr>
        <w:t xml:space="preserve"> L, </w:t>
      </w:r>
      <w:proofErr w:type="spellStart"/>
      <w:r w:rsidRPr="00BB3C9A">
        <w:rPr>
          <w:rFonts w:eastAsia="Arial"/>
        </w:rPr>
        <w:t>Baghurst</w:t>
      </w:r>
      <w:proofErr w:type="spellEnd"/>
      <w:r w:rsidRPr="00BB3C9A">
        <w:rPr>
          <w:rFonts w:eastAsia="Arial"/>
        </w:rPr>
        <w:t xml:space="preserve"> P, Magarey A on behalf of Dietitians Association of Australia]. 2008. A modelling system to inform the revision of the Australian Guide to Healthy Eating. Available from: </w:t>
      </w:r>
      <w:hyperlink r:id="rId106" w:history="1">
        <w:r w:rsidRPr="00BB3C9A">
          <w:rPr>
            <w:rFonts w:eastAsia="Arial"/>
            <w:color w:val="0070C0"/>
            <w:u w:val="single"/>
          </w:rPr>
          <w:t>https://www.eatforhealth.gov.au/sites/default/files/files/the_guidelines/n55c_dietary_guidelines_food_modelling.pdf</w:t>
        </w:r>
      </w:hyperlink>
      <w:r w:rsidRPr="00BB3C9A">
        <w:rPr>
          <w:rFonts w:eastAsia="Arial"/>
        </w:rPr>
        <w:t xml:space="preserve"> [Accessed 2 June 2025]</w:t>
      </w:r>
    </w:p>
    <w:p w14:paraId="27C06A2B" w14:textId="77777777" w:rsidR="00794C15" w:rsidRPr="00BB3C9A" w:rsidRDefault="00794C15" w:rsidP="00794C15">
      <w:pPr>
        <w:rPr>
          <w:rFonts w:eastAsia="Arial"/>
        </w:rPr>
      </w:pPr>
      <w:r w:rsidRPr="00BB3C9A">
        <w:rPr>
          <w:rFonts w:eastAsia="Arial"/>
        </w:rPr>
        <w:t xml:space="preserve">Nazeri P, Shariat M, Azizi F. 2021. Effects of iodine supplementation during pregnancy on pregnant women and their offspring: a systematic review and meta-analysis of trials over the past 3 decades. </w:t>
      </w:r>
      <w:proofErr w:type="spellStart"/>
      <w:r w:rsidRPr="00BB3C9A">
        <w:rPr>
          <w:rFonts w:eastAsia="Arial"/>
          <w:i/>
          <w:iCs/>
        </w:rPr>
        <w:t>Eur</w:t>
      </w:r>
      <w:proofErr w:type="spellEnd"/>
      <w:r w:rsidRPr="00BB3C9A">
        <w:rPr>
          <w:rFonts w:eastAsia="Arial"/>
          <w:i/>
          <w:iCs/>
        </w:rPr>
        <w:t xml:space="preserve"> J Endocrinol</w:t>
      </w:r>
      <w:r w:rsidRPr="00BB3C9A">
        <w:rPr>
          <w:rFonts w:eastAsia="Arial"/>
        </w:rPr>
        <w:t xml:space="preserve">. 184(1):91-106. </w:t>
      </w:r>
    </w:p>
    <w:p w14:paraId="1BB5B197" w14:textId="7ED76463" w:rsidR="00794C15" w:rsidRPr="00BB3C9A" w:rsidRDefault="00794C15" w:rsidP="00794C15">
      <w:pPr>
        <w:rPr>
          <w:rFonts w:eastAsia="Arial"/>
        </w:rPr>
      </w:pPr>
      <w:r w:rsidRPr="00BB3C9A">
        <w:rPr>
          <w:rFonts w:eastAsia="Arial"/>
        </w:rPr>
        <w:t xml:space="preserve">New Zealand Ministry of Health (NZ MoH), 2020. Biomedical Data Explorer 2014/15: New Zealand Health Survey </w:t>
      </w:r>
      <w:r w:rsidR="00667A3D">
        <w:rPr>
          <w:rFonts w:eastAsia="Arial"/>
        </w:rPr>
        <w:t>–</w:t>
      </w:r>
      <w:r w:rsidRPr="00BB3C9A">
        <w:rPr>
          <w:rFonts w:eastAsia="Arial"/>
        </w:rPr>
        <w:t xml:space="preserve"> Iodine data files, available from: </w:t>
      </w:r>
      <w:hyperlink r:id="rId107" w:history="1">
        <w:r w:rsidRPr="00BB3C9A">
          <w:rPr>
            <w:rFonts w:eastAsia="Arial"/>
            <w:color w:val="0070C0"/>
            <w:u w:val="single"/>
          </w:rPr>
          <w:t>minhealthnz.shinyapps.io/nz-health-survey-2014-15-biomedical/</w:t>
        </w:r>
      </w:hyperlink>
      <w:r w:rsidRPr="00BB3C9A">
        <w:rPr>
          <w:rFonts w:eastAsia="Arial"/>
        </w:rPr>
        <w:t xml:space="preserve"> (accessed 30 July 2024)</w:t>
      </w:r>
    </w:p>
    <w:p w14:paraId="246AA9A6" w14:textId="77777777" w:rsidR="00794C15" w:rsidRPr="00BB3C9A" w:rsidRDefault="00794C15" w:rsidP="00794C15">
      <w:pPr>
        <w:rPr>
          <w:rFonts w:eastAsia="Arial"/>
        </w:rPr>
      </w:pPr>
      <w:r w:rsidRPr="00BB3C9A">
        <w:rPr>
          <w:rFonts w:eastAsia="Arial"/>
        </w:rPr>
        <w:t xml:space="preserve">Nolan, M; Gorsuch, C; Graham, A; Hynes, Kristen; Reardon, M. 2022. Barriers and enablers to maternal iodine supplement use in Tasmania. University Of Tasmania. Report. </w:t>
      </w:r>
      <w:hyperlink r:id="rId108" w:history="1">
        <w:r w:rsidRPr="00BB3C9A">
          <w:rPr>
            <w:rFonts w:eastAsia="Arial"/>
            <w:color w:val="0070C0"/>
            <w:u w:val="single"/>
          </w:rPr>
          <w:t>https://figshare.utas.edu.au/articles/report/Barriers_and_enablers_to_maternal_iodine_supplement_use_in_Tasm</w:t>
        </w:r>
      </w:hyperlink>
      <w:r w:rsidRPr="00BB3C9A">
        <w:rPr>
          <w:rFonts w:eastAsia="Arial"/>
        </w:rPr>
        <w:t xml:space="preserve"> (accessed 12 August 2025)</w:t>
      </w:r>
    </w:p>
    <w:p w14:paraId="2AFB1D32" w14:textId="77777777" w:rsidR="00794C15" w:rsidRPr="00BB3C9A" w:rsidRDefault="00794C15" w:rsidP="00794C15">
      <w:pPr>
        <w:rPr>
          <w:rFonts w:eastAsia="Arial"/>
        </w:rPr>
      </w:pPr>
      <w:r w:rsidRPr="00BB3C9A">
        <w:rPr>
          <w:rFonts w:eastAsia="Arial"/>
        </w:rPr>
        <w:t>Pedersen KM, Laurberg P, Iversen E, Knudsen PR, Gregersen HE, Rasmussen OS, Larsen KR, Eriksen GM, Johannesen PL. 1993. Amelioration of some pregnancy-associated variations in thyroid function by iodine supplementation. </w:t>
      </w:r>
      <w:r w:rsidRPr="00BB3C9A">
        <w:rPr>
          <w:rFonts w:eastAsia="Arial"/>
          <w:i/>
          <w:iCs/>
        </w:rPr>
        <w:t xml:space="preserve">J Clin Endocrinol </w:t>
      </w:r>
      <w:proofErr w:type="spellStart"/>
      <w:r w:rsidRPr="00BB3C9A">
        <w:rPr>
          <w:rFonts w:eastAsia="Arial"/>
          <w:i/>
          <w:iCs/>
        </w:rPr>
        <w:t>Metab</w:t>
      </w:r>
      <w:proofErr w:type="spellEnd"/>
      <w:r w:rsidRPr="00BB3C9A">
        <w:rPr>
          <w:rFonts w:eastAsia="Arial"/>
        </w:rPr>
        <w:t> 77:1078</w:t>
      </w:r>
      <w:r>
        <w:rPr>
          <w:rFonts w:eastAsia="Arial"/>
        </w:rPr>
        <w:t>-</w:t>
      </w:r>
      <w:r w:rsidRPr="00BB3C9A">
        <w:rPr>
          <w:rFonts w:eastAsia="Arial"/>
        </w:rPr>
        <w:t>1083. </w:t>
      </w:r>
    </w:p>
    <w:p w14:paraId="7E9BE379" w14:textId="0EC40450" w:rsidR="00794C15" w:rsidRPr="00BB3C9A" w:rsidRDefault="00794C15" w:rsidP="00794C15">
      <w:pPr>
        <w:rPr>
          <w:rFonts w:eastAsia="Arial"/>
        </w:rPr>
      </w:pPr>
      <w:proofErr w:type="spellStart"/>
      <w:r w:rsidRPr="00BB3C9A">
        <w:rPr>
          <w:rFonts w:eastAsia="Arial"/>
        </w:rPr>
        <w:t>Peniamina</w:t>
      </w:r>
      <w:proofErr w:type="spellEnd"/>
      <w:r w:rsidRPr="00BB3C9A">
        <w:rPr>
          <w:rFonts w:eastAsia="Arial"/>
        </w:rPr>
        <w:t xml:space="preserve"> R, </w:t>
      </w:r>
      <w:proofErr w:type="spellStart"/>
      <w:r w:rsidRPr="00BB3C9A">
        <w:rPr>
          <w:rFonts w:eastAsia="Arial"/>
        </w:rPr>
        <w:t>Skeaff</w:t>
      </w:r>
      <w:proofErr w:type="spellEnd"/>
      <w:r w:rsidRPr="00BB3C9A">
        <w:rPr>
          <w:rFonts w:eastAsia="Arial"/>
        </w:rPr>
        <w:t xml:space="preserve"> S, Haszard JJ, McLean R. Comparison of 24-h Diet Records, 24-h Urine, and Duplicate Diets for Estimating Dietary Intakes of Potassium, Sodium, and Iodine in Children. </w:t>
      </w:r>
      <w:r w:rsidRPr="00BB3C9A">
        <w:rPr>
          <w:rFonts w:eastAsia="Arial"/>
          <w:i/>
          <w:iCs/>
        </w:rPr>
        <w:t>Nutrients</w:t>
      </w:r>
      <w:r w:rsidRPr="00BB3C9A">
        <w:rPr>
          <w:rFonts w:eastAsia="Arial"/>
        </w:rPr>
        <w:t xml:space="preserve">. 2019; 11(12):2927. </w:t>
      </w:r>
      <w:hyperlink r:id="rId109" w:history="1">
        <w:r w:rsidR="00667A3D" w:rsidRPr="00DA7383">
          <w:rPr>
            <w:rStyle w:val="Hyperlink"/>
            <w:rFonts w:eastAsia="Arial"/>
          </w:rPr>
          <w:t>https://doi</w:t>
        </w:r>
      </w:hyperlink>
      <w:r w:rsidRPr="00BB3C9A">
        <w:rPr>
          <w:rFonts w:eastAsia="Arial"/>
        </w:rPr>
        <w:t>.org/10.3390/nu</w:t>
      </w:r>
      <w:proofErr w:type="gramStart"/>
      <w:r w:rsidRPr="00BB3C9A">
        <w:rPr>
          <w:rFonts w:eastAsia="Arial"/>
        </w:rPr>
        <w:t>11122927 .</w:t>
      </w:r>
      <w:proofErr w:type="gramEnd"/>
    </w:p>
    <w:p w14:paraId="3D7290C5" w14:textId="77777777" w:rsidR="00794C15" w:rsidRPr="00BB3C9A" w:rsidRDefault="00794C15" w:rsidP="00794C15">
      <w:pPr>
        <w:rPr>
          <w:rFonts w:eastAsia="Arial"/>
        </w:rPr>
      </w:pPr>
      <w:r w:rsidRPr="00BB3C9A">
        <w:rPr>
          <w:rFonts w:eastAsia="Arial"/>
        </w:rPr>
        <w:t xml:space="preserve">Reynolds A and </w:t>
      </w:r>
      <w:proofErr w:type="spellStart"/>
      <w:r w:rsidRPr="00BB3C9A">
        <w:rPr>
          <w:rFonts w:eastAsia="Arial"/>
        </w:rPr>
        <w:t>Skeaff</w:t>
      </w:r>
      <w:proofErr w:type="spellEnd"/>
      <w:r w:rsidRPr="00BB3C9A">
        <w:rPr>
          <w:rFonts w:eastAsia="Arial"/>
        </w:rPr>
        <w:t xml:space="preserve"> SA. Maternal adherence with recommendations for folic acid and iodine supplements: A cross-sectional survey. </w:t>
      </w:r>
      <w:r w:rsidRPr="00BB3C9A">
        <w:rPr>
          <w:rFonts w:eastAsia="Arial"/>
          <w:i/>
          <w:iCs/>
        </w:rPr>
        <w:t xml:space="preserve">Aust N Z </w:t>
      </w:r>
      <w:proofErr w:type="spellStart"/>
      <w:r w:rsidRPr="00BB3C9A">
        <w:rPr>
          <w:rFonts w:eastAsia="Arial"/>
          <w:i/>
          <w:iCs/>
        </w:rPr>
        <w:t>Obstet</w:t>
      </w:r>
      <w:proofErr w:type="spellEnd"/>
      <w:r w:rsidRPr="00BB3C9A">
        <w:rPr>
          <w:rFonts w:eastAsia="Arial"/>
          <w:i/>
          <w:iCs/>
        </w:rPr>
        <w:t xml:space="preserve"> </w:t>
      </w:r>
      <w:proofErr w:type="spellStart"/>
      <w:r w:rsidRPr="00BB3C9A">
        <w:rPr>
          <w:rFonts w:eastAsia="Arial"/>
          <w:i/>
          <w:iCs/>
        </w:rPr>
        <w:t>Gynaecol</w:t>
      </w:r>
      <w:proofErr w:type="spellEnd"/>
      <w:r w:rsidRPr="00BB3C9A">
        <w:rPr>
          <w:rFonts w:eastAsia="Arial"/>
          <w:i/>
          <w:iCs/>
        </w:rPr>
        <w:t xml:space="preserve">, </w:t>
      </w:r>
      <w:r w:rsidRPr="00BB3C9A">
        <w:rPr>
          <w:rFonts w:eastAsia="Arial"/>
        </w:rPr>
        <w:t>2018. Vol 58, pp. 125-127.</w:t>
      </w:r>
    </w:p>
    <w:p w14:paraId="6F289A20" w14:textId="77777777" w:rsidR="00794C15" w:rsidRPr="00BB3C9A" w:rsidRDefault="00794C15" w:rsidP="00794C15">
      <w:pPr>
        <w:rPr>
          <w:rFonts w:eastAsia="Arial"/>
        </w:rPr>
      </w:pPr>
      <w:r w:rsidRPr="00BB3C9A">
        <w:rPr>
          <w:rFonts w:eastAsia="Arial"/>
        </w:rPr>
        <w:t xml:space="preserve">Riverola C, Harrington S, Ruby M, </w:t>
      </w:r>
      <w:proofErr w:type="spellStart"/>
      <w:r w:rsidRPr="00BB3C9A">
        <w:rPr>
          <w:rFonts w:eastAsia="Arial"/>
        </w:rPr>
        <w:t>Dedehayir</w:t>
      </w:r>
      <w:proofErr w:type="spellEnd"/>
      <w:r w:rsidRPr="00BB3C9A">
        <w:rPr>
          <w:rFonts w:eastAsia="Arial"/>
        </w:rPr>
        <w:t xml:space="preserve"> O, Morris R, Laurence C. 2023. Consumer views on plant-based </w:t>
      </w:r>
      <w:proofErr w:type="gramStart"/>
      <w:r w:rsidRPr="00BB3C9A">
        <w:rPr>
          <w:rFonts w:eastAsia="Arial"/>
        </w:rPr>
        <w:t>foods :</w:t>
      </w:r>
      <w:proofErr w:type="gramEnd"/>
      <w:r w:rsidRPr="00BB3C9A">
        <w:rPr>
          <w:rFonts w:eastAsia="Arial"/>
        </w:rPr>
        <w:t xml:space="preserve"> Australian sample. Griffith Research Repository, available from: </w:t>
      </w:r>
      <w:hyperlink r:id="rId110" w:history="1">
        <w:r w:rsidRPr="00BB3C9A">
          <w:rPr>
            <w:rFonts w:eastAsia="Arial"/>
            <w:color w:val="0070C0"/>
            <w:u w:val="single"/>
          </w:rPr>
          <w:t>https://research-repository.griffith.edu.au/server/api/core/bitstreams/f238a2f5-7201-4af0-8159-09eb991fa604/content</w:t>
        </w:r>
      </w:hyperlink>
      <w:r w:rsidRPr="00BB3C9A">
        <w:rPr>
          <w:rFonts w:eastAsia="Arial"/>
        </w:rPr>
        <w:t xml:space="preserve"> (accessed 1 July 2025) </w:t>
      </w:r>
    </w:p>
    <w:p w14:paraId="03AD9F30" w14:textId="77777777" w:rsidR="00794C15" w:rsidRPr="00BB3C9A" w:rsidRDefault="00794C15" w:rsidP="00794C15">
      <w:pPr>
        <w:rPr>
          <w:rFonts w:eastAsia="Arial"/>
        </w:rPr>
      </w:pPr>
      <w:r w:rsidRPr="00BB3C9A">
        <w:rPr>
          <w:rFonts w:eastAsia="Arial"/>
        </w:rPr>
        <w:t>Roy Morgan Research (2016) Vegetarianism on the Rise in New Zealand [press release]; available at </w:t>
      </w:r>
      <w:hyperlink r:id="rId111" w:tgtFrame="_blank" w:history="1">
        <w:r w:rsidRPr="00BB3C9A">
          <w:rPr>
            <w:rFonts w:eastAsia="Arial"/>
            <w:color w:val="0070C0"/>
            <w:u w:val="single"/>
          </w:rPr>
          <w:t>https://www.roymorgan.com/findings/vegetarianism-on-the-rise-in-new-zealand</w:t>
        </w:r>
      </w:hyperlink>
      <w:r w:rsidRPr="00BB3C9A">
        <w:rPr>
          <w:rFonts w:eastAsia="Arial"/>
        </w:rPr>
        <w:t> (accessed 1 July 2025).</w:t>
      </w:r>
    </w:p>
    <w:p w14:paraId="36C094BC" w14:textId="665FA776" w:rsidR="00794C15" w:rsidRPr="00BB3C9A" w:rsidRDefault="00794C15" w:rsidP="00794C15">
      <w:pPr>
        <w:rPr>
          <w:rFonts w:eastAsia="Arial"/>
        </w:rPr>
      </w:pPr>
      <w:r w:rsidRPr="00BB3C9A">
        <w:rPr>
          <w:rFonts w:eastAsia="Arial"/>
        </w:rPr>
        <w:t xml:space="preserve">Shields B, Hill A, Bilous M, Knight B, Hattersley AT, Bilous RW, Vaidya B. Cigarette smoking during pregnancy is associated with alterations in maternal and </w:t>
      </w:r>
      <w:proofErr w:type="spellStart"/>
      <w:r w:rsidRPr="00BB3C9A">
        <w:rPr>
          <w:rFonts w:eastAsia="Arial"/>
        </w:rPr>
        <w:t>fetal</w:t>
      </w:r>
      <w:proofErr w:type="spellEnd"/>
      <w:r w:rsidRPr="00BB3C9A">
        <w:rPr>
          <w:rFonts w:eastAsia="Arial"/>
        </w:rPr>
        <w:t xml:space="preserve"> thyroid function. J Clin Endocrinol </w:t>
      </w:r>
      <w:proofErr w:type="spellStart"/>
      <w:r w:rsidRPr="00BB3C9A">
        <w:rPr>
          <w:rFonts w:eastAsia="Arial"/>
        </w:rPr>
        <w:t>Metab</w:t>
      </w:r>
      <w:proofErr w:type="spellEnd"/>
      <w:r w:rsidRPr="00BB3C9A">
        <w:rPr>
          <w:rFonts w:eastAsia="Arial"/>
        </w:rPr>
        <w:t xml:space="preserve">. 2009 Feb;94(2):570-4. </w:t>
      </w:r>
      <w:r w:rsidR="00667A3D" w:rsidRPr="00BB3C9A">
        <w:rPr>
          <w:rFonts w:eastAsia="Arial"/>
        </w:rPr>
        <w:t>D</w:t>
      </w:r>
      <w:r w:rsidRPr="00BB3C9A">
        <w:rPr>
          <w:rFonts w:eastAsia="Arial"/>
        </w:rPr>
        <w:t xml:space="preserve">oi: 10.1210/jc.2008-0380. </w:t>
      </w:r>
      <w:proofErr w:type="spellStart"/>
      <w:r w:rsidRPr="00BB3C9A">
        <w:rPr>
          <w:rFonts w:eastAsia="Arial"/>
        </w:rPr>
        <w:t>Epub</w:t>
      </w:r>
      <w:proofErr w:type="spellEnd"/>
      <w:r w:rsidRPr="00BB3C9A">
        <w:rPr>
          <w:rFonts w:eastAsia="Arial"/>
        </w:rPr>
        <w:t xml:space="preserve"> 2008 Nov 18. PMID: 19017761. </w:t>
      </w:r>
    </w:p>
    <w:p w14:paraId="1516AECA" w14:textId="17A6237A" w:rsidR="00794C15" w:rsidRPr="00BB3C9A" w:rsidRDefault="00794C15" w:rsidP="00794C15">
      <w:pPr>
        <w:rPr>
          <w:rFonts w:eastAsia="Arial"/>
        </w:rPr>
      </w:pPr>
      <w:proofErr w:type="spellStart"/>
      <w:r w:rsidRPr="00BB3C9A">
        <w:rPr>
          <w:rFonts w:eastAsia="Arial"/>
        </w:rPr>
        <w:t>Skeaff</w:t>
      </w:r>
      <w:proofErr w:type="spellEnd"/>
      <w:r w:rsidRPr="00BB3C9A">
        <w:rPr>
          <w:rFonts w:eastAsia="Arial"/>
        </w:rPr>
        <w:t xml:space="preserve"> SA, Lonsdale-Cooper E. Mandatory fortification of bread with iodised salt modestly improves iodine status in schoolchildren. Br J Nutr. 2013 Mar 28;109(6):1109-13. </w:t>
      </w:r>
      <w:r w:rsidR="00667A3D" w:rsidRPr="00BB3C9A">
        <w:rPr>
          <w:rFonts w:eastAsia="Arial"/>
        </w:rPr>
        <w:t>D</w:t>
      </w:r>
      <w:r w:rsidRPr="00BB3C9A">
        <w:rPr>
          <w:rFonts w:eastAsia="Arial"/>
        </w:rPr>
        <w:t xml:space="preserve">oi: 10.1017/S0007114512003236. </w:t>
      </w:r>
      <w:proofErr w:type="spellStart"/>
      <w:r w:rsidRPr="00BB3C9A">
        <w:rPr>
          <w:rFonts w:eastAsia="Arial"/>
        </w:rPr>
        <w:t>Epub</w:t>
      </w:r>
      <w:proofErr w:type="spellEnd"/>
      <w:r w:rsidRPr="00BB3C9A">
        <w:rPr>
          <w:rFonts w:eastAsia="Arial"/>
        </w:rPr>
        <w:t xml:space="preserve"> 2012 Jul 31. PMID: 22849786.</w:t>
      </w:r>
    </w:p>
    <w:p w14:paraId="223C4198" w14:textId="77777777" w:rsidR="00794C15" w:rsidRPr="00BB3C9A" w:rsidRDefault="00794C15" w:rsidP="00794C15">
      <w:pPr>
        <w:rPr>
          <w:rFonts w:eastAsia="Arial"/>
        </w:rPr>
      </w:pPr>
      <w:r w:rsidRPr="00BB3C9A">
        <w:rPr>
          <w:rFonts w:eastAsia="Arial"/>
        </w:rPr>
        <w:lastRenderedPageBreak/>
        <w:t xml:space="preserve">Sullivan TR, Best KP, Gould J, Zhou SJ, Makrides M, Green TJ. 2024. Too Much Too Little: Clarifying the Relationship Between Maternal Iodine Intake and Neurodevelopmental Outcomes, </w:t>
      </w:r>
      <w:r w:rsidRPr="00BB3C9A">
        <w:rPr>
          <w:rFonts w:eastAsia="Arial"/>
          <w:i/>
          <w:iCs/>
        </w:rPr>
        <w:t xml:space="preserve">The Journal of Nutrition, </w:t>
      </w:r>
      <w:r w:rsidRPr="00BB3C9A">
        <w:rPr>
          <w:rFonts w:eastAsia="Arial"/>
        </w:rPr>
        <w:t>154 (1): 185-190</w:t>
      </w:r>
    </w:p>
    <w:p w14:paraId="7CAD1F42" w14:textId="77777777" w:rsidR="00794C15" w:rsidRPr="00BB3C9A" w:rsidRDefault="00794C15" w:rsidP="00794C15">
      <w:pPr>
        <w:rPr>
          <w:rFonts w:eastAsia="Arial"/>
        </w:rPr>
      </w:pPr>
      <w:r w:rsidRPr="00BB3C9A">
        <w:rPr>
          <w:rFonts w:eastAsia="Arial"/>
        </w:rPr>
        <w:t xml:space="preserve">Tan L, Tian X, Wang W, Guo X, Sang Z, Li X, Zhang P, Sun Y, Tang C, Xu Z, Shen J, Zhang W. Exploration of the appropriate recommended nutrient intake of iodine in healthy Chinese women: an iodine balance experiment. Br J Nutr. 2019 Mar 14;121(5):519-528. </w:t>
      </w:r>
    </w:p>
    <w:p w14:paraId="18952C47" w14:textId="685566FB" w:rsidR="00794C15" w:rsidRPr="00BB3C9A" w:rsidRDefault="00794C15" w:rsidP="00794C15">
      <w:pPr>
        <w:rPr>
          <w:rFonts w:eastAsia="Arial"/>
        </w:rPr>
      </w:pPr>
      <w:r w:rsidRPr="00BB3C9A">
        <w:rPr>
          <w:rFonts w:eastAsia="Arial"/>
        </w:rPr>
        <w:t xml:space="preserve">Thomson CD, Smith TE, Butler KA, Packer MA. An evaluation of urinary measures of iodine and selenium status. J Trace Elem Med Biol. 1996 Dec;10(4):214-22. </w:t>
      </w:r>
      <w:r w:rsidR="00667A3D" w:rsidRPr="00BB3C9A">
        <w:rPr>
          <w:rFonts w:eastAsia="Arial"/>
        </w:rPr>
        <w:t>D</w:t>
      </w:r>
      <w:r w:rsidRPr="00BB3C9A">
        <w:rPr>
          <w:rFonts w:eastAsia="Arial"/>
        </w:rPr>
        <w:t>oi: 10.1016/S0946-672</w:t>
      </w:r>
      <w:proofErr w:type="gramStart"/>
      <w:r w:rsidRPr="00BB3C9A">
        <w:rPr>
          <w:rFonts w:eastAsia="Arial"/>
        </w:rPr>
        <w:t>X(</w:t>
      </w:r>
      <w:proofErr w:type="gramEnd"/>
      <w:r w:rsidRPr="00BB3C9A">
        <w:rPr>
          <w:rFonts w:eastAsia="Arial"/>
        </w:rPr>
        <w:t>96)80038-1. PMID: 9021672.)</w:t>
      </w:r>
    </w:p>
    <w:p w14:paraId="2DD058AA" w14:textId="620A6799" w:rsidR="00794C15" w:rsidRPr="00BB3C9A" w:rsidRDefault="00794C15" w:rsidP="00794C15">
      <w:pPr>
        <w:rPr>
          <w:rFonts w:eastAsia="Arial"/>
        </w:rPr>
      </w:pPr>
      <w:r w:rsidRPr="00BB3C9A">
        <w:rPr>
          <w:rFonts w:eastAsia="Arial"/>
        </w:rPr>
        <w:t xml:space="preserve">Thomson, C., </w:t>
      </w:r>
      <w:proofErr w:type="spellStart"/>
      <w:r w:rsidRPr="00BB3C9A">
        <w:rPr>
          <w:rFonts w:eastAsia="Arial"/>
        </w:rPr>
        <w:t>Woodruffe</w:t>
      </w:r>
      <w:proofErr w:type="spellEnd"/>
      <w:r w:rsidRPr="00BB3C9A">
        <w:rPr>
          <w:rFonts w:eastAsia="Arial"/>
        </w:rPr>
        <w:t>, S., Colls, A. </w:t>
      </w:r>
      <w:r w:rsidRPr="00BB3C9A">
        <w:rPr>
          <w:rFonts w:eastAsia="Arial"/>
          <w:i/>
          <w:iCs/>
        </w:rPr>
        <w:t>et al.</w:t>
      </w:r>
      <w:r w:rsidRPr="00BB3C9A">
        <w:rPr>
          <w:rFonts w:eastAsia="Arial"/>
        </w:rPr>
        <w:t> Urinary iodine and thyroid status of New Zealand residents. </w:t>
      </w:r>
      <w:proofErr w:type="spellStart"/>
      <w:r w:rsidRPr="00BB3C9A">
        <w:rPr>
          <w:rFonts w:eastAsia="Arial"/>
          <w:i/>
          <w:iCs/>
        </w:rPr>
        <w:t>Eur</w:t>
      </w:r>
      <w:proofErr w:type="spellEnd"/>
      <w:r w:rsidRPr="00BB3C9A">
        <w:rPr>
          <w:rFonts w:eastAsia="Arial"/>
          <w:i/>
          <w:iCs/>
        </w:rPr>
        <w:t xml:space="preserve"> J Clin Nutr</w:t>
      </w:r>
      <w:r w:rsidRPr="00BB3C9A">
        <w:rPr>
          <w:rFonts w:eastAsia="Arial"/>
        </w:rPr>
        <w:t> </w:t>
      </w:r>
      <w:r w:rsidRPr="00BB3C9A">
        <w:rPr>
          <w:rFonts w:eastAsia="Arial"/>
          <w:b/>
          <w:bCs/>
        </w:rPr>
        <w:t>55</w:t>
      </w:r>
      <w:r w:rsidRPr="00BB3C9A">
        <w:rPr>
          <w:rFonts w:eastAsia="Arial"/>
        </w:rPr>
        <w:t>, 387</w:t>
      </w:r>
      <w:r>
        <w:rPr>
          <w:rFonts w:eastAsia="Arial"/>
        </w:rPr>
        <w:t>-</w:t>
      </w:r>
      <w:r w:rsidRPr="00BB3C9A">
        <w:rPr>
          <w:rFonts w:eastAsia="Arial"/>
        </w:rPr>
        <w:t xml:space="preserve">392 (2001). </w:t>
      </w:r>
      <w:hyperlink r:id="rId112" w:history="1">
        <w:r w:rsidR="00667A3D" w:rsidRPr="00DA7383">
          <w:rPr>
            <w:rStyle w:val="Hyperlink"/>
            <w:rFonts w:eastAsia="Arial"/>
          </w:rPr>
          <w:t>https://doi</w:t>
        </w:r>
      </w:hyperlink>
      <w:r w:rsidRPr="00BB3C9A">
        <w:rPr>
          <w:rFonts w:eastAsia="Arial"/>
        </w:rPr>
        <w:t>.org/10.1038/sj.ejcn.1601170</w:t>
      </w:r>
    </w:p>
    <w:p w14:paraId="2CE6466E" w14:textId="4A0F918F" w:rsidR="00794C15" w:rsidRPr="00BB3C9A" w:rsidRDefault="00794C15" w:rsidP="00794C15">
      <w:pPr>
        <w:rPr>
          <w:rFonts w:eastAsia="Arial"/>
        </w:rPr>
      </w:pPr>
      <w:r w:rsidRPr="00BB3C9A">
        <w:rPr>
          <w:rFonts w:eastAsia="Arial"/>
        </w:rPr>
        <w:t xml:space="preserve">Thomson CD. Selenium and iodine intakes and status in New Zealand and Australia. Br J Nutr. 2004 May;91(5):661-72. </w:t>
      </w:r>
      <w:r w:rsidR="00667A3D" w:rsidRPr="00BB3C9A">
        <w:rPr>
          <w:rFonts w:eastAsia="Arial"/>
        </w:rPr>
        <w:t>D</w:t>
      </w:r>
      <w:r w:rsidRPr="00BB3C9A">
        <w:rPr>
          <w:rFonts w:eastAsia="Arial"/>
        </w:rPr>
        <w:t xml:space="preserve">oi: 10.1079/BJN20041110. PMID: 15137917. </w:t>
      </w:r>
    </w:p>
    <w:p w14:paraId="1928A72E" w14:textId="77777777" w:rsidR="00794C15" w:rsidRPr="00BB3C9A" w:rsidRDefault="00794C15" w:rsidP="00794C15">
      <w:pPr>
        <w:rPr>
          <w:rFonts w:eastAsia="Arial"/>
        </w:rPr>
      </w:pPr>
      <w:r w:rsidRPr="00BB3C9A">
        <w:rPr>
          <w:rFonts w:eastAsia="Arial"/>
        </w:rPr>
        <w:t xml:space="preserve">United Kingdom Scientific Advisory Committee on Nutrition (UK SACN), 2014. SACN Statement on Iodine and Health. </w:t>
      </w:r>
      <w:hyperlink r:id="rId113" w:history="1">
        <w:r w:rsidRPr="00BB3C9A">
          <w:rPr>
            <w:rFonts w:eastAsia="Arial"/>
            <w:color w:val="0070C0"/>
            <w:u w:val="single"/>
          </w:rPr>
          <w:t>https://assets.publishing.service.gov.uk/media/5a7e469ced915d74e62253f3/SACN_Iodine_and_Health_2014.pdf</w:t>
        </w:r>
      </w:hyperlink>
      <w:r w:rsidRPr="00BB3C9A">
        <w:rPr>
          <w:rFonts w:eastAsia="Arial"/>
        </w:rPr>
        <w:t xml:space="preserve"> [Accessed 22 July 2024]</w:t>
      </w:r>
    </w:p>
    <w:p w14:paraId="47A2528C" w14:textId="77777777" w:rsidR="00794C15" w:rsidRPr="00BB3C9A" w:rsidRDefault="00794C15" w:rsidP="00794C15">
      <w:pPr>
        <w:rPr>
          <w:rFonts w:eastAsia="Arial"/>
        </w:rPr>
      </w:pPr>
      <w:r w:rsidRPr="00BB3C9A">
        <w:rPr>
          <w:rFonts w:eastAsia="Arial"/>
        </w:rPr>
        <w:t>University of Otago and New Zealand Ministry of Health (</w:t>
      </w:r>
      <w:proofErr w:type="spellStart"/>
      <w:r w:rsidRPr="00BB3C9A">
        <w:rPr>
          <w:rFonts w:eastAsia="Arial"/>
        </w:rPr>
        <w:t>NZMoH</w:t>
      </w:r>
      <w:proofErr w:type="spellEnd"/>
      <w:r w:rsidRPr="00BB3C9A">
        <w:rPr>
          <w:rFonts w:eastAsia="Arial"/>
        </w:rPr>
        <w:t xml:space="preserve">). 2011. Methodology Report for the 2008/09 New Zealand Adult Nutrition Survey. Wellington: Ministry of Health. </w:t>
      </w:r>
      <w:hyperlink r:id="rId114" w:history="1">
        <w:r w:rsidRPr="00BB3C9A">
          <w:rPr>
            <w:rFonts w:eastAsia="Arial"/>
            <w:color w:val="0070C0"/>
            <w:u w:val="single"/>
          </w:rPr>
          <w:t>https://www.health.govt.nz/system/files/2011-10/methodology-report.pdf</w:t>
        </w:r>
      </w:hyperlink>
      <w:r w:rsidRPr="00BB3C9A">
        <w:rPr>
          <w:rFonts w:eastAsia="Arial"/>
        </w:rPr>
        <w:t xml:space="preserve"> (Accessed 11 August 2025)</w:t>
      </w:r>
    </w:p>
    <w:p w14:paraId="39459F99" w14:textId="04121DCB" w:rsidR="00794C15" w:rsidRPr="00BB3C9A" w:rsidRDefault="00794C15" w:rsidP="00794C15">
      <w:pPr>
        <w:rPr>
          <w:rFonts w:eastAsia="Arial"/>
        </w:rPr>
      </w:pPr>
      <w:r w:rsidRPr="00BB3C9A">
        <w:rPr>
          <w:rFonts w:eastAsia="Arial"/>
        </w:rPr>
        <w:t xml:space="preserve">US IOM (Institute of Medicine) Subcommittee on Interpretation and Uses of Dietary Reference Intakes. IoM Standing Committee on the Scientific Evaluation of Dietary Reference Intakes. DRI Dietary Reference Intakes: Applications in Dietary Assessment. Washington (DC): National Academies Press (US); 2000. 5, Using the Adequate Intake for Nutrient Assessment of Groups. Available from: </w:t>
      </w:r>
      <w:hyperlink r:id="rId115" w:history="1">
        <w:r w:rsidR="00667A3D" w:rsidRPr="00DA7383">
          <w:rPr>
            <w:rStyle w:val="Hyperlink"/>
            <w:rFonts w:eastAsia="Arial"/>
          </w:rPr>
          <w:t>https://www</w:t>
        </w:r>
      </w:hyperlink>
      <w:r w:rsidRPr="00BB3C9A">
        <w:rPr>
          <w:rFonts w:eastAsia="Arial"/>
        </w:rPr>
        <w:t>.ncbi.nlm.nih.gov/books/NBK222886/</w:t>
      </w:r>
    </w:p>
    <w:p w14:paraId="3F088926" w14:textId="77777777" w:rsidR="00794C15" w:rsidRPr="00BB3C9A" w:rsidRDefault="00794C15" w:rsidP="00794C15">
      <w:pPr>
        <w:rPr>
          <w:rFonts w:eastAsia="Arial"/>
        </w:rPr>
      </w:pPr>
      <w:r w:rsidRPr="00BB3C9A">
        <w:rPr>
          <w:rFonts w:eastAsia="Arial"/>
        </w:rPr>
        <w:t>US IOM (Institute of Medicine), 2001. Dietary Reference Intakes for vitamin A, vitamin K, arsenic, boron, chromium, copper, iodine, iron, manganese, molybdenum, nickel, silicon, vanadium, and zinc. National Academies Press, Washington DC, USA, 797 pp.</w:t>
      </w:r>
    </w:p>
    <w:p w14:paraId="4582451B" w14:textId="77777777" w:rsidR="00794C15" w:rsidRPr="00BB3C9A" w:rsidRDefault="00794C15" w:rsidP="00794C15">
      <w:pPr>
        <w:rPr>
          <w:rFonts w:eastAsia="Arial"/>
        </w:rPr>
      </w:pPr>
      <w:r w:rsidRPr="00BB3C9A">
        <w:rPr>
          <w:rFonts w:eastAsia="Arial"/>
        </w:rPr>
        <w:t xml:space="preserve">World Health Organization (WHO). </w:t>
      </w:r>
      <w:r w:rsidRPr="00BB3C9A">
        <w:rPr>
          <w:rFonts w:eastAsia="Arial" w:cs="Courier New"/>
        </w:rPr>
        <w:t>‎</w:t>
      </w:r>
      <w:r w:rsidRPr="00BB3C9A">
        <w:rPr>
          <w:rFonts w:eastAsia="Arial"/>
        </w:rPr>
        <w:t>2007</w:t>
      </w:r>
      <w:r w:rsidRPr="00BB3C9A">
        <w:rPr>
          <w:rFonts w:eastAsia="Arial" w:cs="Courier New"/>
        </w:rPr>
        <w:t>‎</w:t>
      </w:r>
      <w:r w:rsidRPr="00BB3C9A">
        <w:rPr>
          <w:rFonts w:eastAsia="Arial"/>
        </w:rPr>
        <w:t>.</w:t>
      </w:r>
      <w:r w:rsidRPr="00BB3C9A">
        <w:rPr>
          <w:rFonts w:eastAsia="Arial" w:cs="Gotham Book"/>
        </w:rPr>
        <w:t> </w:t>
      </w:r>
      <w:r w:rsidRPr="00BB3C9A">
        <w:rPr>
          <w:rFonts w:eastAsia="Arial"/>
        </w:rPr>
        <w:t xml:space="preserve">Assessment of iodine deficiency disorders and monitoring their </w:t>
      </w:r>
      <w:proofErr w:type="gramStart"/>
      <w:r w:rsidRPr="00BB3C9A">
        <w:rPr>
          <w:rFonts w:eastAsia="Arial"/>
        </w:rPr>
        <w:t>elimination :</w:t>
      </w:r>
      <w:proofErr w:type="gramEnd"/>
      <w:r w:rsidRPr="00BB3C9A">
        <w:rPr>
          <w:rFonts w:eastAsia="Arial"/>
        </w:rPr>
        <w:t xml:space="preserve"> a guide for programme managers, 3</w:t>
      </w:r>
      <w:r w:rsidRPr="00667A3D">
        <w:rPr>
          <w:rFonts w:eastAsia="Arial"/>
          <w:vertAlign w:val="superscript"/>
        </w:rPr>
        <w:t>rd</w:t>
      </w:r>
      <w:r w:rsidRPr="00BB3C9A">
        <w:rPr>
          <w:rFonts w:eastAsia="Arial"/>
        </w:rPr>
        <w:t xml:space="preserve"> ed.</w:t>
      </w:r>
      <w:r w:rsidRPr="00BB3C9A">
        <w:rPr>
          <w:rFonts w:eastAsia="Arial" w:cs="Gotham Book"/>
        </w:rPr>
        <w:t> </w:t>
      </w:r>
      <w:r w:rsidRPr="00BB3C9A">
        <w:rPr>
          <w:rFonts w:eastAsia="Arial"/>
        </w:rPr>
        <w:t>World Health Organization.</w:t>
      </w:r>
      <w:r w:rsidRPr="00BB3C9A">
        <w:rPr>
          <w:rFonts w:eastAsia="Arial" w:cs="Gotham Book"/>
        </w:rPr>
        <w:t> </w:t>
      </w:r>
      <w:hyperlink r:id="rId116" w:history="1">
        <w:r w:rsidRPr="00BB3C9A">
          <w:rPr>
            <w:rFonts w:eastAsia="Arial"/>
            <w:color w:val="0070C0"/>
            <w:u w:val="single"/>
          </w:rPr>
          <w:t>https://iris.who.int/handle/10665/43781</w:t>
        </w:r>
      </w:hyperlink>
      <w:r w:rsidRPr="00BB3C9A">
        <w:rPr>
          <w:rFonts w:eastAsia="Arial"/>
        </w:rPr>
        <w:t xml:space="preserve"> (Accessed 30 July 2024)</w:t>
      </w:r>
    </w:p>
    <w:p w14:paraId="31A1EF88" w14:textId="77777777" w:rsidR="00794C15" w:rsidRPr="00BB3C9A" w:rsidRDefault="00794C15" w:rsidP="00794C15">
      <w:pPr>
        <w:rPr>
          <w:rFonts w:eastAsia="Arial"/>
        </w:rPr>
      </w:pPr>
      <w:r w:rsidRPr="00BB3C9A">
        <w:rPr>
          <w:rFonts w:eastAsia="Arial"/>
        </w:rPr>
        <w:t xml:space="preserve">World Health Organization (WHO). 2013. Urinary iodine concentrations for determining iodine status in populations, Vitamin and Mineral Nutrition Information System. Geneva: </w:t>
      </w:r>
      <w:r w:rsidRPr="00BB3C9A">
        <w:rPr>
          <w:rFonts w:eastAsia="Arial"/>
          <w:i/>
          <w:iCs/>
        </w:rPr>
        <w:t>World Health Organization</w:t>
      </w:r>
      <w:r w:rsidRPr="00BB3C9A">
        <w:rPr>
          <w:rFonts w:eastAsia="Arial"/>
        </w:rPr>
        <w:t xml:space="preserve"> </w:t>
      </w:r>
      <w:hyperlink r:id="rId117" w:history="1">
        <w:r w:rsidRPr="00BB3C9A">
          <w:rPr>
            <w:rFonts w:eastAsia="Arial"/>
            <w:color w:val="0070C0"/>
            <w:u w:val="single"/>
          </w:rPr>
          <w:t>https://www.who.int/publications/i/item/WHO-NMH-NHD-EPG-13.1</w:t>
        </w:r>
      </w:hyperlink>
      <w:r w:rsidRPr="00BB3C9A">
        <w:rPr>
          <w:rFonts w:eastAsia="Arial"/>
        </w:rPr>
        <w:t xml:space="preserve"> (Accessed 31 July 2024)</w:t>
      </w:r>
    </w:p>
    <w:p w14:paraId="2C6EFC44" w14:textId="77777777" w:rsidR="00794C15" w:rsidRPr="00BB3C9A" w:rsidRDefault="00794C15" w:rsidP="00794C15">
      <w:pPr>
        <w:rPr>
          <w:rFonts w:eastAsia="Arial"/>
        </w:rPr>
      </w:pPr>
      <w:r w:rsidRPr="00BB3C9A">
        <w:rPr>
          <w:rFonts w:eastAsia="Arial"/>
        </w:rPr>
        <w:t xml:space="preserve">Yang, F. Y., Tang, B. D., Niu, C. L., et al. (1997). A study for endemic </w:t>
      </w:r>
      <w:proofErr w:type="spellStart"/>
      <w:r w:rsidRPr="00BB3C9A">
        <w:rPr>
          <w:rFonts w:eastAsia="Arial"/>
        </w:rPr>
        <w:t>goiter</w:t>
      </w:r>
      <w:proofErr w:type="spellEnd"/>
      <w:r w:rsidRPr="00BB3C9A">
        <w:rPr>
          <w:rFonts w:eastAsia="Arial"/>
        </w:rPr>
        <w:t xml:space="preserve"> control with combined iodine and selenium supplementation. </w:t>
      </w:r>
      <w:r w:rsidRPr="00BB3C9A">
        <w:rPr>
          <w:rFonts w:eastAsia="Arial"/>
          <w:i/>
          <w:iCs/>
        </w:rPr>
        <w:t>Chin. J. Contr. End. Dis</w:t>
      </w:r>
      <w:r w:rsidRPr="00BB3C9A">
        <w:rPr>
          <w:rFonts w:eastAsia="Arial"/>
        </w:rPr>
        <w:t>. 16:214</w:t>
      </w:r>
      <w:r>
        <w:rPr>
          <w:rFonts w:eastAsia="Arial"/>
        </w:rPr>
        <w:t>-</w:t>
      </w:r>
      <w:r w:rsidRPr="00BB3C9A">
        <w:rPr>
          <w:rFonts w:eastAsia="Arial"/>
        </w:rPr>
        <w:t>218.</w:t>
      </w:r>
    </w:p>
    <w:p w14:paraId="38D07799" w14:textId="77777777" w:rsidR="00794C15" w:rsidRPr="00BB3C9A" w:rsidRDefault="00794C15" w:rsidP="00794C15">
      <w:pPr>
        <w:rPr>
          <w:rFonts w:eastAsia="Arial"/>
        </w:rPr>
      </w:pPr>
      <w:r w:rsidRPr="00BB3C9A">
        <w:rPr>
          <w:rFonts w:eastAsia="Arial"/>
        </w:rPr>
        <w:lastRenderedPageBreak/>
        <w:t xml:space="preserve">Zimmermann, M., Adou, P., </w:t>
      </w:r>
      <w:proofErr w:type="spellStart"/>
      <w:r w:rsidRPr="00BB3C9A">
        <w:rPr>
          <w:rFonts w:eastAsia="Arial"/>
        </w:rPr>
        <w:t>Torresani</w:t>
      </w:r>
      <w:proofErr w:type="spellEnd"/>
      <w:r w:rsidRPr="00BB3C9A">
        <w:rPr>
          <w:rFonts w:eastAsia="Arial"/>
        </w:rPr>
        <w:t xml:space="preserve">, T., Zeder, C. and Hurrell, R. (2000). Persistence of </w:t>
      </w:r>
      <w:proofErr w:type="spellStart"/>
      <w:r w:rsidRPr="00BB3C9A">
        <w:rPr>
          <w:rFonts w:eastAsia="Arial"/>
        </w:rPr>
        <w:t>goiter</w:t>
      </w:r>
      <w:proofErr w:type="spellEnd"/>
      <w:r w:rsidRPr="00BB3C9A">
        <w:rPr>
          <w:rFonts w:eastAsia="Arial"/>
        </w:rPr>
        <w:t xml:space="preserve"> despite oral iodine supplementation in goitrous children with iron deficiency </w:t>
      </w:r>
      <w:proofErr w:type="spellStart"/>
      <w:r w:rsidRPr="00BB3C9A">
        <w:rPr>
          <w:rFonts w:eastAsia="Arial"/>
        </w:rPr>
        <w:t>anemia</w:t>
      </w:r>
      <w:proofErr w:type="spellEnd"/>
      <w:r w:rsidRPr="00BB3C9A">
        <w:rPr>
          <w:rFonts w:eastAsia="Arial"/>
        </w:rPr>
        <w:t xml:space="preserve"> in Cote d’Ivoire. </w:t>
      </w:r>
      <w:r w:rsidRPr="00BB3C9A">
        <w:rPr>
          <w:rFonts w:eastAsia="Arial"/>
          <w:i/>
          <w:iCs/>
        </w:rPr>
        <w:t xml:space="preserve">Am. J. Clin. </w:t>
      </w:r>
      <w:proofErr w:type="spellStart"/>
      <w:r w:rsidRPr="00BB3C9A">
        <w:rPr>
          <w:rFonts w:eastAsia="Arial"/>
          <w:i/>
          <w:iCs/>
        </w:rPr>
        <w:t>Nutr</w:t>
      </w:r>
      <w:proofErr w:type="spellEnd"/>
      <w:r w:rsidRPr="00BB3C9A">
        <w:rPr>
          <w:rFonts w:eastAsia="Arial"/>
        </w:rPr>
        <w:t>. 71: 88</w:t>
      </w:r>
      <w:r>
        <w:rPr>
          <w:rFonts w:eastAsia="Arial"/>
        </w:rPr>
        <w:t>-</w:t>
      </w:r>
      <w:r w:rsidRPr="00BB3C9A">
        <w:rPr>
          <w:rFonts w:eastAsia="Arial"/>
        </w:rPr>
        <w:t>93.</w:t>
      </w:r>
    </w:p>
    <w:p w14:paraId="3088F995" w14:textId="7484D962" w:rsidR="00794C15" w:rsidRDefault="00794C15" w:rsidP="00794C15">
      <w:pPr>
        <w:rPr>
          <w:rFonts w:eastAsia="Arial"/>
        </w:rPr>
      </w:pPr>
      <w:r w:rsidRPr="00BB3C9A">
        <w:rPr>
          <w:rFonts w:eastAsia="Arial"/>
        </w:rPr>
        <w:t>Zimmermann MB, Jooste PL, Pandav CS. Iodine-deficiency disorders. Lancet 2008; 372(9645): 1251-62.</w:t>
      </w:r>
    </w:p>
    <w:p w14:paraId="27947273" w14:textId="77777777" w:rsidR="00794C15" w:rsidRDefault="00794C15">
      <w:pPr>
        <w:spacing w:line="240" w:lineRule="atLeast"/>
        <w:rPr>
          <w:rFonts w:eastAsia="Arial"/>
        </w:rPr>
      </w:pPr>
      <w:r>
        <w:rPr>
          <w:rFonts w:eastAsia="Arial"/>
        </w:rPr>
        <w:br w:type="page"/>
      </w:r>
    </w:p>
    <w:p w14:paraId="04F76459" w14:textId="13B0D341" w:rsidR="00794C15" w:rsidRPr="00C93859" w:rsidRDefault="00794C15" w:rsidP="00794C15">
      <w:pPr>
        <w:pStyle w:val="Heading3"/>
      </w:pPr>
      <w:bookmarkStart w:id="204" w:name="_Toc210406422"/>
      <w:bookmarkStart w:id="205" w:name="_Toc212567925"/>
      <w:r w:rsidRPr="00C93859">
        <w:lastRenderedPageBreak/>
        <w:t xml:space="preserve">Iodine </w:t>
      </w:r>
      <w:r w:rsidR="00667A3D">
        <w:t>–</w:t>
      </w:r>
      <w:r w:rsidRPr="00C93859">
        <w:t xml:space="preserve"> Upper Levels</w:t>
      </w:r>
      <w:bookmarkEnd w:id="204"/>
      <w:bookmarkEnd w:id="205"/>
    </w:p>
    <w:p w14:paraId="21D15126" w14:textId="77777777" w:rsidR="00794C15" w:rsidRPr="00C93859" w:rsidRDefault="00794C15" w:rsidP="00794C15">
      <w:pPr>
        <w:pStyle w:val="Heading4"/>
      </w:pPr>
      <w:bookmarkStart w:id="206" w:name="_Toc210406423"/>
      <w:bookmarkStart w:id="207" w:name="_Toc212567926"/>
      <w:r w:rsidRPr="00C93859">
        <w:t>Background</w:t>
      </w:r>
      <w:bookmarkEnd w:id="206"/>
      <w:bookmarkEnd w:id="207"/>
    </w:p>
    <w:p w14:paraId="7622D5B9" w14:textId="37910565" w:rsidR="00794C15" w:rsidRPr="00C93859" w:rsidRDefault="00794C15" w:rsidP="00794C15">
      <w:pPr>
        <w:pStyle w:val="Heading5"/>
      </w:pPr>
      <w:r w:rsidRPr="00C93859">
        <w:t xml:space="preserve">Iodine </w:t>
      </w:r>
      <w:r w:rsidR="00667A3D">
        <w:t>–</w:t>
      </w:r>
      <w:r w:rsidRPr="00C93859">
        <w:t xml:space="preserve"> function and dietary sources</w:t>
      </w:r>
    </w:p>
    <w:p w14:paraId="316E1FE1" w14:textId="77777777" w:rsidR="00794C15" w:rsidRPr="00C93859" w:rsidRDefault="00794C15" w:rsidP="00794C15">
      <w:pPr>
        <w:rPr>
          <w:rFonts w:eastAsia="Arial" w:cs="Arial"/>
        </w:rPr>
      </w:pPr>
      <w:r w:rsidRPr="00C93859">
        <w:rPr>
          <w:rFonts w:eastAsia="Arial" w:cs="Arial"/>
        </w:rPr>
        <w:t xml:space="preserve">Iodine is a mineral that is found in soil and ocean waters and is an essential nutrient required for synthesis of thyroid hormones such as thyroxine (T4) and triiodothyronine (T3).  Iodine deficiency is associated with thyroid dysfunction, thyroid disease, and adverse child neurocognitive development. </w:t>
      </w:r>
    </w:p>
    <w:p w14:paraId="68C9D660" w14:textId="77777777" w:rsidR="00794C15" w:rsidRPr="00C93859" w:rsidRDefault="00794C15" w:rsidP="00794C15">
      <w:pPr>
        <w:rPr>
          <w:rFonts w:eastAsia="Arial" w:cs="Arial"/>
        </w:rPr>
      </w:pPr>
      <w:r w:rsidRPr="00C93859">
        <w:rPr>
          <w:rFonts w:eastAsia="Arial" w:cs="Arial"/>
        </w:rPr>
        <w:t>Iodine-rich foods include seafoods such as fish, shellfish, or seaweed, eggs, milk, and iodised salt. The level of iodine in cereal and grain foods varies depending on the iodine content of soil in which the food is grown. In 2009 Australia and New Zealand introduced mandatory fortification requirements for the addition of iodine (via iodised salt) to commercial bread, to address iodine deficiency in the population. High habitual intakes can arise from diets high in seaweed, high levels of iodine in drinking water or excessive salt iodisation.</w:t>
      </w:r>
    </w:p>
    <w:p w14:paraId="22320056" w14:textId="77777777" w:rsidR="00794C15" w:rsidRPr="00C93859" w:rsidRDefault="00794C15" w:rsidP="00794C15">
      <w:pPr>
        <w:rPr>
          <w:rFonts w:eastAsia="Arial" w:cs="Arial"/>
        </w:rPr>
      </w:pPr>
      <w:r w:rsidRPr="00C93859">
        <w:rPr>
          <w:rFonts w:eastAsia="Times New Roman" w:cs="Arial"/>
        </w:rPr>
        <w:t>Although typical Western diets are unlikely to result in iodine intakes exceeding 1mg/day, diets high in iodine-rich foods such as seaweed may lead to high habitual iodine intake.</w:t>
      </w:r>
    </w:p>
    <w:p w14:paraId="7343A673" w14:textId="09588B00" w:rsidR="00794C15" w:rsidRPr="00C93859" w:rsidRDefault="00794C15" w:rsidP="00794C15">
      <w:pPr>
        <w:rPr>
          <w:rFonts w:eastAsia="Arial" w:cs="Arial"/>
        </w:rPr>
      </w:pPr>
      <w:r w:rsidRPr="00C93859">
        <w:rPr>
          <w:rFonts w:eastAsia="Arial" w:cs="Arial"/>
        </w:rPr>
        <w:t xml:space="preserve">Absorption of iodine from food is estimated at 90 </w:t>
      </w:r>
      <w:r w:rsidR="00667A3D">
        <w:rPr>
          <w:rFonts w:eastAsia="Arial" w:cs="Arial"/>
        </w:rPr>
        <w:t>–</w:t>
      </w:r>
      <w:r w:rsidRPr="00C93859">
        <w:rPr>
          <w:rFonts w:eastAsia="Arial" w:cs="Arial"/>
        </w:rPr>
        <w:t xml:space="preserve"> 92% under normal conditions (Thomson et al 1996, Jahreis et al 2001, </w:t>
      </w:r>
      <w:proofErr w:type="spellStart"/>
      <w:r w:rsidRPr="00C93859">
        <w:rPr>
          <w:rFonts w:eastAsia="Arial" w:cs="Arial"/>
        </w:rPr>
        <w:t>Aquaron</w:t>
      </w:r>
      <w:proofErr w:type="spellEnd"/>
      <w:r w:rsidRPr="00C93859">
        <w:rPr>
          <w:rFonts w:eastAsia="Arial" w:cs="Arial"/>
        </w:rPr>
        <w:t xml:space="preserve"> et al 2002), however it has been suggested that this </w:t>
      </w:r>
      <w:r w:rsidRPr="00C93859">
        <w:rPr>
          <w:rFonts w:eastAsia="Times New Roman" w:cs="Arial"/>
        </w:rPr>
        <w:t>absorption rate may not hold where intakes are very high (UK SACN, 2014).</w:t>
      </w:r>
      <w:r w:rsidRPr="00C93859">
        <w:rPr>
          <w:rFonts w:eastAsia="Arial" w:cs="Arial"/>
        </w:rPr>
        <w:t xml:space="preserve"> </w:t>
      </w:r>
    </w:p>
    <w:p w14:paraId="0555875C" w14:textId="77777777" w:rsidR="00794C15" w:rsidRPr="00C93859" w:rsidRDefault="00794C15" w:rsidP="00794C15">
      <w:pPr>
        <w:pStyle w:val="Heading5"/>
      </w:pPr>
      <w:r w:rsidRPr="00C93859">
        <w:t>Health effects of excess</w:t>
      </w:r>
    </w:p>
    <w:p w14:paraId="3D369862" w14:textId="77777777" w:rsidR="00794C15" w:rsidRPr="00C93859" w:rsidRDefault="00794C15" w:rsidP="00794C15">
      <w:pPr>
        <w:rPr>
          <w:rFonts w:eastAsia="Times New Roman" w:cs="Arial"/>
        </w:rPr>
      </w:pPr>
      <w:r w:rsidRPr="00C93859">
        <w:rPr>
          <w:rFonts w:eastAsia="Times New Roman" w:cs="Arial"/>
        </w:rPr>
        <w:t>Excess iodine can result in thyroid abnormalities including hypo- and hyper-</w:t>
      </w:r>
      <w:proofErr w:type="spellStart"/>
      <w:r w:rsidRPr="00C93859">
        <w:rPr>
          <w:rFonts w:eastAsia="Times New Roman" w:cs="Arial"/>
        </w:rPr>
        <w:t>thyroidism</w:t>
      </w:r>
      <w:proofErr w:type="spellEnd"/>
      <w:r w:rsidRPr="00C93859">
        <w:rPr>
          <w:rFonts w:eastAsia="Times New Roman" w:cs="Arial"/>
        </w:rPr>
        <w:t xml:space="preserve">. The primary health concern associated with iodine excess is iodine-induced hyperthyroidism. Evidence suggests that there is significant variation in tolerance to high iodine intakes, with some individuals ingesting high doses with no apparent adverse effects, and some individuals experiencing thyroid disease even where intakes are within the normal range (WHO, 2007).  </w:t>
      </w:r>
    </w:p>
    <w:p w14:paraId="7280B7C6" w14:textId="77777777" w:rsidR="00794C15" w:rsidRPr="00C93859" w:rsidRDefault="00794C15" w:rsidP="00794C15">
      <w:pPr>
        <w:spacing w:after="0"/>
        <w:rPr>
          <w:rFonts w:eastAsia="Times New Roman" w:cs="Arial"/>
        </w:rPr>
      </w:pPr>
      <w:r w:rsidRPr="00C93859">
        <w:rPr>
          <w:rFonts w:eastAsia="Times New Roman" w:cs="Arial"/>
        </w:rPr>
        <w:t>Sensitive groups include:</w:t>
      </w:r>
    </w:p>
    <w:p w14:paraId="4F170E68" w14:textId="77777777" w:rsidR="00794C15" w:rsidRPr="00C93859" w:rsidRDefault="00794C15" w:rsidP="00794C15">
      <w:pPr>
        <w:numPr>
          <w:ilvl w:val="0"/>
          <w:numId w:val="38"/>
        </w:numPr>
        <w:spacing w:before="0" w:after="160" w:line="259" w:lineRule="auto"/>
        <w:contextualSpacing/>
        <w:rPr>
          <w:rFonts w:eastAsia="Times New Roman" w:cs="Arial"/>
        </w:rPr>
      </w:pPr>
      <w:r w:rsidRPr="00C93859">
        <w:rPr>
          <w:rFonts w:eastAsia="Times New Roman" w:cs="Arial"/>
        </w:rPr>
        <w:t>older adults, who are more sensitive to the effects of high intakes</w:t>
      </w:r>
    </w:p>
    <w:p w14:paraId="42907FC7" w14:textId="77777777" w:rsidR="00794C15" w:rsidRPr="00C93859" w:rsidRDefault="00794C15" w:rsidP="00794C15">
      <w:pPr>
        <w:numPr>
          <w:ilvl w:val="0"/>
          <w:numId w:val="38"/>
        </w:numPr>
        <w:spacing w:before="0" w:after="160" w:line="259" w:lineRule="auto"/>
        <w:contextualSpacing/>
        <w:rPr>
          <w:rFonts w:eastAsia="Times New Roman" w:cs="Arial"/>
        </w:rPr>
      </w:pPr>
      <w:r w:rsidRPr="00C93859">
        <w:rPr>
          <w:rFonts w:eastAsia="Times New Roman" w:cs="Arial"/>
        </w:rPr>
        <w:t>individuals with a recent history of deficiency</w:t>
      </w:r>
    </w:p>
    <w:p w14:paraId="3C82C086" w14:textId="77777777" w:rsidR="00794C15" w:rsidRPr="00C93859" w:rsidRDefault="00794C15" w:rsidP="00794C15">
      <w:pPr>
        <w:numPr>
          <w:ilvl w:val="0"/>
          <w:numId w:val="38"/>
        </w:numPr>
        <w:spacing w:before="0" w:after="160" w:line="259" w:lineRule="auto"/>
        <w:contextualSpacing/>
        <w:rPr>
          <w:rFonts w:eastAsia="Times New Roman" w:cs="Arial"/>
        </w:rPr>
      </w:pPr>
      <w:r w:rsidRPr="00C93859">
        <w:rPr>
          <w:rFonts w:eastAsia="Times New Roman" w:cs="Arial"/>
        </w:rPr>
        <w:t>individuals with underlying thyroid abnormalities</w:t>
      </w:r>
    </w:p>
    <w:p w14:paraId="7F20963D" w14:textId="77777777" w:rsidR="00794C15" w:rsidRPr="00C93859" w:rsidRDefault="00794C15" w:rsidP="00794C15">
      <w:pPr>
        <w:numPr>
          <w:ilvl w:val="0"/>
          <w:numId w:val="38"/>
        </w:numPr>
        <w:spacing w:before="0" w:after="160" w:line="259" w:lineRule="auto"/>
        <w:contextualSpacing/>
        <w:rPr>
          <w:rFonts w:eastAsia="Times New Roman" w:cs="Arial"/>
        </w:rPr>
      </w:pPr>
      <w:r w:rsidRPr="00C93859">
        <w:rPr>
          <w:rFonts w:eastAsia="Times New Roman" w:cs="Arial"/>
        </w:rPr>
        <w:t xml:space="preserve">infants during pregnancy, as the developing </w:t>
      </w:r>
      <w:proofErr w:type="spellStart"/>
      <w:r w:rsidRPr="00C93859">
        <w:rPr>
          <w:rFonts w:eastAsia="Times New Roman" w:cs="Arial"/>
        </w:rPr>
        <w:t>fetus</w:t>
      </w:r>
      <w:proofErr w:type="spellEnd"/>
      <w:r w:rsidRPr="00C93859">
        <w:rPr>
          <w:rFonts w:eastAsia="Times New Roman" w:cs="Arial"/>
        </w:rPr>
        <w:t xml:space="preserve"> lacks the escape mechanism from the Wolff-</w:t>
      </w:r>
      <w:proofErr w:type="spellStart"/>
      <w:r w:rsidRPr="00C93859">
        <w:rPr>
          <w:rFonts w:eastAsia="Times New Roman" w:cs="Arial"/>
        </w:rPr>
        <w:t>Chaikoff</w:t>
      </w:r>
      <w:proofErr w:type="spellEnd"/>
      <w:r w:rsidRPr="00C93859">
        <w:rPr>
          <w:rFonts w:eastAsia="Times New Roman" w:cs="Arial"/>
        </w:rPr>
        <w:t xml:space="preserve"> effect </w:t>
      </w:r>
      <w:r w:rsidRPr="00C93859">
        <w:rPr>
          <w:rFonts w:eastAsia="Arial" w:cs="Arial"/>
        </w:rPr>
        <w:t xml:space="preserve">which begins to develop around 36 weeks gestation, fully maturing during the early neonatal period. </w:t>
      </w:r>
    </w:p>
    <w:p w14:paraId="20309FE4" w14:textId="77777777" w:rsidR="00794C15" w:rsidRDefault="00794C15" w:rsidP="00794C15">
      <w:pPr>
        <w:rPr>
          <w:rFonts w:eastAsia="Times New Roman"/>
        </w:rPr>
      </w:pPr>
    </w:p>
    <w:p w14:paraId="0472BFE1" w14:textId="6F422D4A" w:rsidR="00794C15" w:rsidRPr="00C93859" w:rsidRDefault="00794C15" w:rsidP="00794C15">
      <w:pPr>
        <w:rPr>
          <w:rFonts w:eastAsia="Times New Roman" w:cs="Arial"/>
        </w:rPr>
      </w:pPr>
      <w:r w:rsidRPr="00C93859">
        <w:rPr>
          <w:rFonts w:eastAsia="Times New Roman"/>
        </w:rPr>
        <w:lastRenderedPageBreak/>
        <w:t xml:space="preserve">Identifying sufficiently sensitive biomarkers of iodine excess remains a challenge. </w:t>
      </w:r>
      <w:r w:rsidRPr="00C93859">
        <w:rPr>
          <w:rFonts w:eastAsia="Times New Roman" w:cs="Arial"/>
        </w:rPr>
        <w:t xml:space="preserve">Subclinical hypothyroidism </w:t>
      </w:r>
      <w:r w:rsidR="00667A3D">
        <w:rPr>
          <w:rFonts w:eastAsia="Times New Roman" w:cs="Arial"/>
        </w:rPr>
        <w:t>–</w:t>
      </w:r>
      <w:r w:rsidRPr="00C93859">
        <w:rPr>
          <w:rFonts w:eastAsia="Times New Roman" w:cs="Arial"/>
        </w:rPr>
        <w:t xml:space="preserve"> indicated by higher TSH (&gt; 10 </w:t>
      </w:r>
      <w:proofErr w:type="spellStart"/>
      <w:r w:rsidRPr="00C93859">
        <w:rPr>
          <w:rFonts w:eastAsia="Times New Roman" w:cs="Arial"/>
        </w:rPr>
        <w:t>mU</w:t>
      </w:r>
      <w:proofErr w:type="spellEnd"/>
      <w:r w:rsidRPr="00C93859">
        <w:rPr>
          <w:rFonts w:eastAsia="Times New Roman" w:cs="Arial"/>
        </w:rPr>
        <w:t xml:space="preserve">/L) and positive antithyroid antibodies </w:t>
      </w:r>
      <w:r w:rsidR="00667A3D">
        <w:rPr>
          <w:rFonts w:eastAsia="Times New Roman" w:cs="Arial"/>
        </w:rPr>
        <w:t>–</w:t>
      </w:r>
      <w:r w:rsidRPr="00C93859">
        <w:rPr>
          <w:rFonts w:eastAsia="Times New Roman" w:cs="Arial"/>
        </w:rPr>
        <w:t xml:space="preserve"> is a risk factor for progression to overt hypothyroidism and for cardiovascular disease (Razvi et al 2010, </w:t>
      </w:r>
      <w:proofErr w:type="spellStart"/>
      <w:r w:rsidRPr="00C93859">
        <w:rPr>
          <w:rFonts w:eastAsia="Times New Roman" w:cs="Arial"/>
        </w:rPr>
        <w:t>Delitala</w:t>
      </w:r>
      <w:proofErr w:type="spellEnd"/>
      <w:r w:rsidRPr="00C93859">
        <w:rPr>
          <w:rFonts w:eastAsia="Times New Roman" w:cs="Arial"/>
        </w:rPr>
        <w:t xml:space="preserve"> et al 2017, Inoue et al 2020). Elevated TSH in adults has previously been used as a marker for establishing </w:t>
      </w:r>
      <w:proofErr w:type="gramStart"/>
      <w:r w:rsidRPr="00C93859">
        <w:rPr>
          <w:rFonts w:eastAsia="Times New Roman" w:cs="Arial"/>
        </w:rPr>
        <w:t>Upper Level</w:t>
      </w:r>
      <w:proofErr w:type="gramEnd"/>
      <w:r w:rsidRPr="00C93859">
        <w:rPr>
          <w:rFonts w:eastAsia="Times New Roman" w:cs="Arial"/>
        </w:rPr>
        <w:t xml:space="preserve"> recommendations for iodine, in the absence of more robust biomarkers for iodine excess.</w:t>
      </w:r>
      <w:r w:rsidRPr="00C93859">
        <w:rPr>
          <w:rFonts w:eastAsia="Times New Roman"/>
        </w:rPr>
        <w:t xml:space="preserve"> Although these measures have limitations as endpoints of toxicity, they remain the most reliable biomarkers upon which to base an UL.</w:t>
      </w:r>
    </w:p>
    <w:p w14:paraId="4137CA3E" w14:textId="77777777" w:rsidR="00794C15" w:rsidRPr="00C93859" w:rsidRDefault="00794C15" w:rsidP="00794C15">
      <w:pPr>
        <w:pStyle w:val="Heading5"/>
      </w:pPr>
      <w:r w:rsidRPr="00C93859">
        <w:t>Criteria for measuring iodine intake and status</w:t>
      </w:r>
    </w:p>
    <w:p w14:paraId="14568C82" w14:textId="77777777" w:rsidR="00794C15" w:rsidRPr="00C93859" w:rsidRDefault="00794C15" w:rsidP="00794C15">
      <w:pPr>
        <w:rPr>
          <w:rFonts w:eastAsia="Times New Roman" w:cs="Arial"/>
        </w:rPr>
      </w:pPr>
      <w:r w:rsidRPr="00C93859">
        <w:rPr>
          <w:rFonts w:eastAsia="Times New Roman" w:cs="Arial"/>
        </w:rPr>
        <w:t xml:space="preserve">There are limitations in the accuracy of dietary iodine intake assessment methods, including concerns about reporting bias (including social desirability bias), variability of iodine content in foods, difficulty in measuring contribution of iodine from use of iodised salt at the table and in cooking, and the inaccuracy of food composition data. It is also difficult to ascertain individual status based on dietary intakes which reflect intakes at a specific point in time. In people with iodine replete diets, iodine is incorporated into </w:t>
      </w:r>
      <w:proofErr w:type="gramStart"/>
      <w:r w:rsidRPr="00C93859">
        <w:rPr>
          <w:rFonts w:eastAsia="Times New Roman" w:cs="Arial"/>
        </w:rPr>
        <w:t>thyroglobulin</w:t>
      </w:r>
      <w:proofErr w:type="gramEnd"/>
      <w:r w:rsidRPr="00C93859">
        <w:rPr>
          <w:rFonts w:eastAsia="Times New Roman" w:cs="Arial"/>
        </w:rPr>
        <w:t xml:space="preserve"> and this can provide up to 3 months of thyroid hormone, even during periods of low iodine intake. </w:t>
      </w:r>
    </w:p>
    <w:p w14:paraId="575924DA" w14:textId="77777777" w:rsidR="00794C15" w:rsidRPr="00C93859" w:rsidRDefault="00794C15" w:rsidP="00794C15">
      <w:pPr>
        <w:rPr>
          <w:rFonts w:eastAsia="Times New Roman" w:cs="Arial"/>
        </w:rPr>
      </w:pPr>
      <w:r w:rsidRPr="00C93859">
        <w:rPr>
          <w:rFonts w:eastAsia="Times New Roman" w:cs="Arial"/>
        </w:rPr>
        <w:t>Measures of urinary iodine concentration are used as established biomarkers for intake and status, although these measures also have limitations. As more than 90% of dietary iodine is excreted in the urine, urinary iodine is used as an indicator of recent iodine intake. Urinary iodine can be measured over 24-hours or in a spot urine sample. Given the diurnal variation in excretion of iodine in urine, the collection of 24-hour urine samples can overcome this issue. However, this measure has a high respondent burden, and there is no internationally accepted method to determine if all urine voided during the 24-hours was collected (i.e. completeness). The use of spot urine samples is simpler and consequently, more frequently reported in the literature. Furthermore, the epidemiologic criteria described below is based on UIC (ug/L). In addition to the diurnal variation mentioned, urine volume is another concern in spot urine samples; high urine volumes will lower UIC which could be misinterpreted as poor iodine status whereas low urine volumes will raise UIC, suggesting good iodine status. To address this problem, corrected measures of UIC are often reported, for example, correcting for urinary creatinine. Both 24-hour UIE and UIC are associated with inter- and intra-individual variation, thus neither should be used to assess iodine status of an individual, but rather to assess the iodine status of a group or population.</w:t>
      </w:r>
    </w:p>
    <w:p w14:paraId="07376E08" w14:textId="77777777" w:rsidR="00794C15" w:rsidRPr="00BB3C9A" w:rsidRDefault="00794C15" w:rsidP="00794C15">
      <w:pPr>
        <w:rPr>
          <w:rFonts w:eastAsia="Arial"/>
        </w:rPr>
      </w:pPr>
    </w:p>
    <w:p w14:paraId="11DB8A2B" w14:textId="77777777" w:rsidR="00794C15" w:rsidRDefault="00794C15" w:rsidP="00794C15">
      <w:r>
        <w:br w:type="page"/>
      </w:r>
    </w:p>
    <w:p w14:paraId="077B3DC6" w14:textId="439DE074" w:rsidR="00036214" w:rsidRDefault="001025A2" w:rsidP="001025A2">
      <w:pPr>
        <w:pStyle w:val="Heading4"/>
      </w:pPr>
      <w:bookmarkStart w:id="208" w:name="_Toc210406424"/>
      <w:bookmarkStart w:id="209" w:name="_Toc212567927"/>
      <w:r w:rsidRPr="00FD49EA">
        <w:lastRenderedPageBreak/>
        <w:t>Evidence to decision table</w:t>
      </w:r>
      <w:bookmarkEnd w:id="208"/>
      <w:bookmarkEnd w:id="209"/>
    </w:p>
    <w:p w14:paraId="23037D43" w14:textId="4488C8B1" w:rsidR="001025A2" w:rsidRDefault="001025A2" w:rsidP="001025A2">
      <w:pPr>
        <w:pStyle w:val="Heading5"/>
      </w:pPr>
      <w:r>
        <w:t>Adults</w:t>
      </w:r>
    </w:p>
    <w:tbl>
      <w:tblPr>
        <w:tblStyle w:val="DefaultTable11"/>
        <w:tblW w:w="5502" w:type="pct"/>
        <w:tblInd w:w="-431" w:type="dxa"/>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Layout w:type="fixed"/>
        <w:tblLook w:val="04A0" w:firstRow="1" w:lastRow="0" w:firstColumn="1" w:lastColumn="0" w:noHBand="0" w:noVBand="1"/>
      </w:tblPr>
      <w:tblGrid>
        <w:gridCol w:w="1987"/>
        <w:gridCol w:w="6377"/>
        <w:gridCol w:w="29"/>
        <w:gridCol w:w="6351"/>
        <w:gridCol w:w="55"/>
      </w:tblGrid>
      <w:tr w:rsidR="001025A2" w:rsidRPr="00505285" w14:paraId="745E38C8" w14:textId="77777777" w:rsidTr="008029A1">
        <w:trPr>
          <w:gridAfter w:val="1"/>
          <w:cnfStyle w:val="100000000000" w:firstRow="1" w:lastRow="0" w:firstColumn="0" w:lastColumn="0" w:oddVBand="0" w:evenVBand="0" w:oddHBand="0" w:evenHBand="0" w:firstRowFirstColumn="0" w:firstRowLastColumn="0" w:lastRowFirstColumn="0" w:lastRowLastColumn="0"/>
          <w:wAfter w:w="55" w:type="dxa"/>
        </w:trPr>
        <w:tc>
          <w:tcPr>
            <w:cnfStyle w:val="001000000000" w:firstRow="0" w:lastRow="0" w:firstColumn="1" w:lastColumn="0" w:oddVBand="0" w:evenVBand="0" w:oddHBand="0" w:evenHBand="0" w:firstRowFirstColumn="0" w:firstRowLastColumn="0" w:lastRowFirstColumn="0" w:lastRowLastColumn="0"/>
            <w:tcW w:w="1987" w:type="dxa"/>
            <w:hideMark/>
          </w:tcPr>
          <w:p w14:paraId="2019B9A8" w14:textId="77777777" w:rsidR="001025A2" w:rsidRPr="00505285" w:rsidRDefault="001025A2">
            <w:pPr>
              <w:rPr>
                <w:rFonts w:eastAsia="Times New Roman" w:cs="Arial"/>
                <w:szCs w:val="20"/>
              </w:rPr>
            </w:pPr>
            <w:r w:rsidRPr="00505285">
              <w:rPr>
                <w:rFonts w:eastAsia="Times New Roman" w:cs="Arial"/>
                <w:szCs w:val="20"/>
              </w:rPr>
              <w:t>Criterion</w:t>
            </w:r>
          </w:p>
        </w:tc>
        <w:tc>
          <w:tcPr>
            <w:tcW w:w="6377" w:type="dxa"/>
          </w:tcPr>
          <w:p w14:paraId="15F4253F" w14:textId="77777777" w:rsidR="001025A2" w:rsidRPr="00505285" w:rsidRDefault="001025A2">
            <w:pPr>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u w:val="single"/>
              </w:rPr>
              <w:t>OPTION 1</w:t>
            </w:r>
            <w:r w:rsidRPr="00505285">
              <w:rPr>
                <w:rFonts w:eastAsia="Times New Roman" w:cs="Arial"/>
                <w:szCs w:val="20"/>
              </w:rPr>
              <w:t>:</w:t>
            </w:r>
          </w:p>
          <w:p w14:paraId="524592BD" w14:textId="77777777" w:rsidR="001025A2" w:rsidRPr="00505285" w:rsidRDefault="001025A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Maintain current UL recommendations </w:t>
            </w:r>
          </w:p>
          <w:p w14:paraId="521B46FC" w14:textId="77777777" w:rsidR="001025A2" w:rsidRPr="00505285" w:rsidRDefault="001025A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Adapt current UL to additional age groupings</w:t>
            </w:r>
          </w:p>
        </w:tc>
        <w:tc>
          <w:tcPr>
            <w:tcW w:w="6380" w:type="dxa"/>
            <w:gridSpan w:val="2"/>
          </w:tcPr>
          <w:p w14:paraId="7B7F01B8" w14:textId="77777777" w:rsidR="001025A2" w:rsidRPr="00505285" w:rsidRDefault="001025A2">
            <w:pPr>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u w:val="single"/>
              </w:rPr>
              <w:t>OPTION 2</w:t>
            </w:r>
            <w:r w:rsidRPr="00505285">
              <w:rPr>
                <w:rFonts w:eastAsia="Times New Roman" w:cs="Arial"/>
                <w:szCs w:val="20"/>
              </w:rPr>
              <w:t>:</w:t>
            </w:r>
          </w:p>
          <w:p w14:paraId="5271D752" w14:textId="77777777" w:rsidR="001025A2" w:rsidRPr="00505285" w:rsidRDefault="001025A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Reduce UL to reflect recent evidence suggestive of an increased risk of subclinical hypothyroidism at intakes below the current UL</w:t>
            </w:r>
          </w:p>
        </w:tc>
      </w:tr>
      <w:tr w:rsidR="001025A2" w:rsidRPr="00505285" w14:paraId="0C57426C" w14:textId="77777777" w:rsidTr="008029A1">
        <w:trPr>
          <w:gridAfter w:val="1"/>
          <w:cnfStyle w:val="000000100000" w:firstRow="0" w:lastRow="0" w:firstColumn="0" w:lastColumn="0" w:oddVBand="0" w:evenVBand="0" w:oddHBand="1" w:evenHBand="0" w:firstRowFirstColumn="0" w:firstRowLastColumn="0" w:lastRowFirstColumn="0" w:lastRowLastColumn="0"/>
          <w:wAfter w:w="55" w:type="dxa"/>
        </w:trPr>
        <w:tc>
          <w:tcPr>
            <w:cnfStyle w:val="001000000000" w:firstRow="0" w:lastRow="0" w:firstColumn="1" w:lastColumn="0" w:oddVBand="0" w:evenVBand="0" w:oddHBand="0" w:evenHBand="0" w:firstRowFirstColumn="0" w:firstRowLastColumn="0" w:lastRowFirstColumn="0" w:lastRowLastColumn="0"/>
            <w:tcW w:w="1987" w:type="dxa"/>
          </w:tcPr>
          <w:p w14:paraId="5DB5423F" w14:textId="77777777" w:rsidR="001025A2" w:rsidRPr="00505285" w:rsidRDefault="001025A2">
            <w:pPr>
              <w:rPr>
                <w:rFonts w:eastAsia="Times New Roman" w:cs="Arial"/>
                <w:szCs w:val="20"/>
              </w:rPr>
            </w:pPr>
            <w:r w:rsidRPr="00505285">
              <w:rPr>
                <w:rFonts w:eastAsia="Times New Roman" w:cs="Arial"/>
                <w:szCs w:val="20"/>
              </w:rPr>
              <w:t>Example recommendation</w:t>
            </w:r>
          </w:p>
        </w:tc>
        <w:tc>
          <w:tcPr>
            <w:tcW w:w="6377" w:type="dxa"/>
          </w:tcPr>
          <w:tbl>
            <w:tblPr>
              <w:tblStyle w:val="TableGrid3"/>
              <w:tblW w:w="5142" w:type="dxa"/>
              <w:tblInd w:w="0" w:type="dxa"/>
              <w:tblLook w:val="04A0" w:firstRow="1" w:lastRow="0" w:firstColumn="1" w:lastColumn="0" w:noHBand="0" w:noVBand="1"/>
            </w:tblPr>
            <w:tblGrid>
              <w:gridCol w:w="3297"/>
              <w:gridCol w:w="1845"/>
            </w:tblGrid>
            <w:tr w:rsidR="00DF10C8" w:rsidRPr="00505285" w14:paraId="123B8D11" w14:textId="77777777" w:rsidTr="00DF10C8">
              <w:tc>
                <w:tcPr>
                  <w:tcW w:w="3297" w:type="dxa"/>
                </w:tcPr>
                <w:p w14:paraId="1CABA876" w14:textId="77777777" w:rsidR="00DF10C8" w:rsidRPr="00505285" w:rsidRDefault="00DF10C8">
                  <w:pPr>
                    <w:spacing w:before="60" w:after="0"/>
                    <w:rPr>
                      <w:rFonts w:eastAsia="Times New Roman" w:cs="Arial"/>
                      <w:b/>
                      <w:bCs/>
                      <w:i/>
                      <w:iCs/>
                      <w:szCs w:val="20"/>
                    </w:rPr>
                  </w:pPr>
                </w:p>
              </w:tc>
              <w:tc>
                <w:tcPr>
                  <w:tcW w:w="1845" w:type="dxa"/>
                  <w:vAlign w:val="center"/>
                </w:tcPr>
                <w:p w14:paraId="006A89F8" w14:textId="2B1088BF" w:rsidR="00DF10C8" w:rsidRPr="00DF10C8" w:rsidRDefault="00DF10C8">
                  <w:pPr>
                    <w:spacing w:before="60" w:after="0"/>
                    <w:jc w:val="center"/>
                    <w:rPr>
                      <w:rFonts w:eastAsia="Times New Roman" w:cs="Arial"/>
                      <w:b/>
                      <w:bCs/>
                      <w:i/>
                      <w:iCs/>
                      <w:szCs w:val="20"/>
                    </w:rPr>
                  </w:pPr>
                  <w:r w:rsidRPr="00DF10C8">
                    <w:rPr>
                      <w:rFonts w:eastAsia="Times New Roman" w:cs="Arial"/>
                      <w:b/>
                      <w:bCs/>
                      <w:i/>
                      <w:iCs/>
                      <w:szCs w:val="20"/>
                    </w:rPr>
                    <w:t>UL</w:t>
                  </w:r>
                </w:p>
              </w:tc>
            </w:tr>
            <w:tr w:rsidR="00DF10C8" w:rsidRPr="00505285" w14:paraId="279A32D7" w14:textId="77777777" w:rsidTr="00DF10C8">
              <w:tc>
                <w:tcPr>
                  <w:tcW w:w="5142" w:type="dxa"/>
                  <w:gridSpan w:val="2"/>
                </w:tcPr>
                <w:p w14:paraId="0417FEE4" w14:textId="21B8BAA0" w:rsidR="00DF10C8" w:rsidRPr="00505285" w:rsidRDefault="00DF10C8" w:rsidP="00DF10C8">
                  <w:pPr>
                    <w:spacing w:before="60" w:after="0"/>
                    <w:rPr>
                      <w:rFonts w:eastAsia="Times New Roman" w:cs="Arial"/>
                      <w:i/>
                      <w:iCs/>
                      <w:szCs w:val="20"/>
                    </w:rPr>
                  </w:pPr>
                  <w:r>
                    <w:rPr>
                      <w:rFonts w:eastAsia="Times New Roman" w:cs="Arial"/>
                      <w:b/>
                      <w:bCs/>
                      <w:i/>
                      <w:iCs/>
                      <w:szCs w:val="20"/>
                    </w:rPr>
                    <w:t>Males</w:t>
                  </w:r>
                </w:p>
              </w:tc>
            </w:tr>
            <w:tr w:rsidR="001025A2" w:rsidRPr="00505285" w14:paraId="58E3DD05" w14:textId="77777777" w:rsidTr="00DF10C8">
              <w:tc>
                <w:tcPr>
                  <w:tcW w:w="3297" w:type="dxa"/>
                  <w:tcMar>
                    <w:left w:w="170" w:type="dxa"/>
                  </w:tcMar>
                </w:tcPr>
                <w:p w14:paraId="0B0AF3F4"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18 to under 30 years</w:t>
                  </w:r>
                </w:p>
              </w:tc>
              <w:tc>
                <w:tcPr>
                  <w:tcW w:w="1845" w:type="dxa"/>
                  <w:vAlign w:val="center"/>
                </w:tcPr>
                <w:p w14:paraId="3E3D8353" w14:textId="77777777" w:rsidR="001025A2" w:rsidRPr="00505285" w:rsidRDefault="001025A2">
                  <w:pPr>
                    <w:spacing w:before="60" w:after="0"/>
                    <w:jc w:val="center"/>
                    <w:rPr>
                      <w:rFonts w:eastAsia="Times New Roman" w:cs="Arial"/>
                      <w:b/>
                      <w:bCs/>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1025A2" w:rsidRPr="00505285" w14:paraId="44F475D1" w14:textId="77777777" w:rsidTr="00DF10C8">
              <w:tc>
                <w:tcPr>
                  <w:tcW w:w="3297" w:type="dxa"/>
                  <w:tcMar>
                    <w:left w:w="170" w:type="dxa"/>
                  </w:tcMar>
                </w:tcPr>
                <w:p w14:paraId="38A2E8CD"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30 to under 50 years</w:t>
                  </w:r>
                </w:p>
              </w:tc>
              <w:tc>
                <w:tcPr>
                  <w:tcW w:w="1845" w:type="dxa"/>
                </w:tcPr>
                <w:p w14:paraId="5CC9CE19" w14:textId="77777777" w:rsidR="001025A2" w:rsidRPr="00505285" w:rsidRDefault="001025A2">
                  <w:pPr>
                    <w:spacing w:before="60" w:after="0"/>
                    <w:jc w:val="center"/>
                    <w:rPr>
                      <w:rFonts w:eastAsia="Times New Roman" w:cs="Arial"/>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1025A2" w:rsidRPr="00505285" w14:paraId="518C98F0" w14:textId="77777777" w:rsidTr="00DF10C8">
              <w:tc>
                <w:tcPr>
                  <w:tcW w:w="3297" w:type="dxa"/>
                  <w:tcMar>
                    <w:left w:w="170" w:type="dxa"/>
                  </w:tcMar>
                </w:tcPr>
                <w:p w14:paraId="71589981"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50 to under 65 years</w:t>
                  </w:r>
                </w:p>
              </w:tc>
              <w:tc>
                <w:tcPr>
                  <w:tcW w:w="1845" w:type="dxa"/>
                </w:tcPr>
                <w:p w14:paraId="6F05EE1C" w14:textId="77777777" w:rsidR="001025A2" w:rsidRPr="00505285" w:rsidRDefault="001025A2">
                  <w:pPr>
                    <w:spacing w:before="60" w:after="0"/>
                    <w:jc w:val="center"/>
                    <w:rPr>
                      <w:rFonts w:eastAsia="Times New Roman" w:cs="Arial"/>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1025A2" w:rsidRPr="00505285" w14:paraId="5F756598" w14:textId="77777777" w:rsidTr="00DF10C8">
              <w:tc>
                <w:tcPr>
                  <w:tcW w:w="3297" w:type="dxa"/>
                  <w:tcMar>
                    <w:left w:w="170" w:type="dxa"/>
                  </w:tcMar>
                </w:tcPr>
                <w:p w14:paraId="19D41744"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65 to under 75 years</w:t>
                  </w:r>
                </w:p>
              </w:tc>
              <w:tc>
                <w:tcPr>
                  <w:tcW w:w="1845" w:type="dxa"/>
                </w:tcPr>
                <w:p w14:paraId="788D4AA4" w14:textId="77777777" w:rsidR="001025A2" w:rsidRPr="00505285" w:rsidRDefault="001025A2">
                  <w:pPr>
                    <w:spacing w:before="60" w:after="0"/>
                    <w:jc w:val="center"/>
                    <w:rPr>
                      <w:rFonts w:eastAsia="Times New Roman" w:cs="Arial"/>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1025A2" w:rsidRPr="00505285" w14:paraId="1137869A" w14:textId="77777777" w:rsidTr="00DF10C8">
              <w:tc>
                <w:tcPr>
                  <w:tcW w:w="3297" w:type="dxa"/>
                  <w:tcMar>
                    <w:left w:w="170" w:type="dxa"/>
                  </w:tcMar>
                </w:tcPr>
                <w:p w14:paraId="35C76757"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 xml:space="preserve">75 years and older </w:t>
                  </w:r>
                </w:p>
              </w:tc>
              <w:tc>
                <w:tcPr>
                  <w:tcW w:w="1845" w:type="dxa"/>
                </w:tcPr>
                <w:p w14:paraId="3DD43665" w14:textId="77777777" w:rsidR="001025A2" w:rsidRPr="00505285" w:rsidRDefault="001025A2">
                  <w:pPr>
                    <w:spacing w:before="60" w:after="0"/>
                    <w:jc w:val="center"/>
                    <w:rPr>
                      <w:rFonts w:eastAsia="Times New Roman" w:cs="Arial"/>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311B8643" w14:textId="77777777" w:rsidTr="00DF10C8">
              <w:tc>
                <w:tcPr>
                  <w:tcW w:w="3297" w:type="dxa"/>
                </w:tcPr>
                <w:p w14:paraId="3C64EED8" w14:textId="27EA4A71" w:rsidR="00DF10C8" w:rsidRPr="00505285" w:rsidRDefault="00DF10C8">
                  <w:pPr>
                    <w:spacing w:before="60" w:after="0"/>
                    <w:rPr>
                      <w:rFonts w:eastAsia="Times New Roman" w:cs="Arial"/>
                      <w:b/>
                      <w:bCs/>
                      <w:i/>
                      <w:iCs/>
                      <w:szCs w:val="20"/>
                    </w:rPr>
                  </w:pPr>
                  <w:r>
                    <w:rPr>
                      <w:rFonts w:eastAsia="Times New Roman" w:cs="Arial"/>
                      <w:b/>
                      <w:bCs/>
                      <w:i/>
                      <w:iCs/>
                      <w:szCs w:val="20"/>
                    </w:rPr>
                    <w:t>Females</w:t>
                  </w:r>
                </w:p>
              </w:tc>
              <w:tc>
                <w:tcPr>
                  <w:tcW w:w="1845" w:type="dxa"/>
                </w:tcPr>
                <w:p w14:paraId="072BA9BE" w14:textId="77777777" w:rsidR="00DF10C8" w:rsidRPr="00505285" w:rsidRDefault="00DF10C8">
                  <w:pPr>
                    <w:spacing w:before="60" w:after="0"/>
                    <w:jc w:val="center"/>
                    <w:rPr>
                      <w:rFonts w:eastAsia="Times New Roman" w:cs="Arial"/>
                      <w:i/>
                      <w:iCs/>
                      <w:szCs w:val="20"/>
                    </w:rPr>
                  </w:pPr>
                </w:p>
              </w:tc>
            </w:tr>
            <w:tr w:rsidR="001025A2" w:rsidRPr="00505285" w14:paraId="4CEAD663" w14:textId="77777777" w:rsidTr="00DF10C8">
              <w:tc>
                <w:tcPr>
                  <w:tcW w:w="3297" w:type="dxa"/>
                  <w:tcMar>
                    <w:left w:w="170" w:type="dxa"/>
                  </w:tcMar>
                </w:tcPr>
                <w:p w14:paraId="7FC66793"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18 to under 30 years</w:t>
                  </w:r>
                </w:p>
              </w:tc>
              <w:tc>
                <w:tcPr>
                  <w:tcW w:w="1845" w:type="dxa"/>
                </w:tcPr>
                <w:p w14:paraId="79805FDF" w14:textId="77777777" w:rsidR="001025A2" w:rsidRPr="00505285" w:rsidRDefault="001025A2">
                  <w:pPr>
                    <w:spacing w:before="60" w:after="0"/>
                    <w:jc w:val="center"/>
                    <w:rPr>
                      <w:rFonts w:eastAsia="Times New Roman" w:cs="Arial"/>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1025A2" w:rsidRPr="00505285" w14:paraId="21AEA416" w14:textId="77777777" w:rsidTr="00DF10C8">
              <w:tc>
                <w:tcPr>
                  <w:tcW w:w="3297" w:type="dxa"/>
                  <w:tcMar>
                    <w:left w:w="170" w:type="dxa"/>
                  </w:tcMar>
                </w:tcPr>
                <w:p w14:paraId="682F6EDA"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30 to under 50 years</w:t>
                  </w:r>
                </w:p>
              </w:tc>
              <w:tc>
                <w:tcPr>
                  <w:tcW w:w="1845" w:type="dxa"/>
                </w:tcPr>
                <w:p w14:paraId="7EBC87B2" w14:textId="77777777" w:rsidR="001025A2" w:rsidRPr="00505285" w:rsidRDefault="001025A2">
                  <w:pPr>
                    <w:spacing w:before="60" w:after="0"/>
                    <w:jc w:val="center"/>
                    <w:rPr>
                      <w:rFonts w:eastAsia="Times New Roman" w:cs="Arial"/>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1025A2" w:rsidRPr="00505285" w14:paraId="79C9F74B" w14:textId="77777777" w:rsidTr="00DF10C8">
              <w:tc>
                <w:tcPr>
                  <w:tcW w:w="3297" w:type="dxa"/>
                  <w:tcMar>
                    <w:left w:w="170" w:type="dxa"/>
                  </w:tcMar>
                </w:tcPr>
                <w:p w14:paraId="43D9B38A"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50 to under 65 years</w:t>
                  </w:r>
                </w:p>
              </w:tc>
              <w:tc>
                <w:tcPr>
                  <w:tcW w:w="1845" w:type="dxa"/>
                </w:tcPr>
                <w:p w14:paraId="11C97CEB" w14:textId="77777777" w:rsidR="001025A2" w:rsidRPr="00505285" w:rsidRDefault="001025A2">
                  <w:pPr>
                    <w:spacing w:before="60" w:after="0"/>
                    <w:jc w:val="center"/>
                    <w:rPr>
                      <w:rFonts w:eastAsia="Times New Roman" w:cs="Arial"/>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1025A2" w:rsidRPr="00505285" w14:paraId="349D770E" w14:textId="77777777" w:rsidTr="00DF10C8">
              <w:trPr>
                <w:trHeight w:val="193"/>
              </w:trPr>
              <w:tc>
                <w:tcPr>
                  <w:tcW w:w="3297" w:type="dxa"/>
                  <w:tcMar>
                    <w:left w:w="170" w:type="dxa"/>
                  </w:tcMar>
                </w:tcPr>
                <w:p w14:paraId="5420F3BA"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65 to under 75 years</w:t>
                  </w:r>
                </w:p>
              </w:tc>
              <w:tc>
                <w:tcPr>
                  <w:tcW w:w="1845" w:type="dxa"/>
                </w:tcPr>
                <w:p w14:paraId="0F330D9A" w14:textId="77777777" w:rsidR="001025A2" w:rsidRPr="00505285" w:rsidRDefault="001025A2">
                  <w:pPr>
                    <w:spacing w:before="60" w:after="0"/>
                    <w:jc w:val="center"/>
                    <w:rPr>
                      <w:rFonts w:eastAsia="Times New Roman" w:cs="Arial"/>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1025A2" w:rsidRPr="00505285" w14:paraId="3655F45D" w14:textId="77777777" w:rsidTr="00DF10C8">
              <w:trPr>
                <w:trHeight w:val="80"/>
              </w:trPr>
              <w:tc>
                <w:tcPr>
                  <w:tcW w:w="3297" w:type="dxa"/>
                  <w:tcMar>
                    <w:left w:w="170" w:type="dxa"/>
                  </w:tcMar>
                </w:tcPr>
                <w:p w14:paraId="17ED3113" w14:textId="77777777" w:rsidR="001025A2" w:rsidRPr="00505285" w:rsidRDefault="001025A2">
                  <w:pPr>
                    <w:spacing w:before="60" w:after="0"/>
                    <w:rPr>
                      <w:rFonts w:eastAsia="Times New Roman" w:cs="Arial"/>
                      <w:b/>
                      <w:bCs/>
                      <w:i/>
                      <w:iCs/>
                      <w:szCs w:val="20"/>
                    </w:rPr>
                  </w:pPr>
                  <w:r w:rsidRPr="00505285">
                    <w:rPr>
                      <w:rFonts w:eastAsia="Times New Roman" w:cs="Arial"/>
                      <w:b/>
                      <w:bCs/>
                      <w:i/>
                      <w:iCs/>
                      <w:szCs w:val="20"/>
                    </w:rPr>
                    <w:t>75 years and older</w:t>
                  </w:r>
                </w:p>
              </w:tc>
              <w:tc>
                <w:tcPr>
                  <w:tcW w:w="1845" w:type="dxa"/>
                </w:tcPr>
                <w:p w14:paraId="01806958" w14:textId="77777777" w:rsidR="001025A2" w:rsidRPr="00505285" w:rsidRDefault="001025A2">
                  <w:pPr>
                    <w:spacing w:before="60" w:after="0"/>
                    <w:jc w:val="center"/>
                    <w:rPr>
                      <w:rFonts w:eastAsia="Times New Roman" w:cs="Arial"/>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bl>
          <w:p w14:paraId="1A8C71C0" w14:textId="77777777" w:rsidR="001025A2" w:rsidRPr="00505285" w:rsidRDefault="001025A2">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i/>
                <w:iCs/>
                <w:szCs w:val="20"/>
              </w:rPr>
            </w:pPr>
            <w:r w:rsidRPr="00505285">
              <w:rPr>
                <w:rFonts w:eastAsia="Times New Roman" w:cs="Arial"/>
                <w:i/>
                <w:iCs/>
                <w:szCs w:val="20"/>
              </w:rPr>
              <w:t>Note: Individuals with thyroid disorders or a long history of iodine deficiency may still respond adversely at levels of intake below the UL.</w:t>
            </w:r>
          </w:p>
        </w:tc>
        <w:tc>
          <w:tcPr>
            <w:tcW w:w="6380" w:type="dxa"/>
            <w:gridSpan w:val="2"/>
          </w:tcPr>
          <w:tbl>
            <w:tblPr>
              <w:tblStyle w:val="TableGrid3"/>
              <w:tblW w:w="5142" w:type="dxa"/>
              <w:tblInd w:w="0" w:type="dxa"/>
              <w:tblLook w:val="04A0" w:firstRow="1" w:lastRow="0" w:firstColumn="1" w:lastColumn="0" w:noHBand="0" w:noVBand="1"/>
            </w:tblPr>
            <w:tblGrid>
              <w:gridCol w:w="3297"/>
              <w:gridCol w:w="1845"/>
            </w:tblGrid>
            <w:tr w:rsidR="00DF10C8" w:rsidRPr="00505285" w14:paraId="158578AA" w14:textId="77777777" w:rsidTr="00DF10C8">
              <w:tc>
                <w:tcPr>
                  <w:tcW w:w="3297" w:type="dxa"/>
                </w:tcPr>
                <w:p w14:paraId="1EE5C0CE" w14:textId="77777777" w:rsidR="00DF10C8" w:rsidRPr="00505285" w:rsidRDefault="00DF10C8" w:rsidP="00DF10C8">
                  <w:pPr>
                    <w:spacing w:before="60" w:after="0"/>
                    <w:rPr>
                      <w:rFonts w:eastAsia="Times New Roman" w:cs="Arial"/>
                      <w:b/>
                      <w:bCs/>
                      <w:i/>
                      <w:iCs/>
                      <w:szCs w:val="20"/>
                    </w:rPr>
                  </w:pPr>
                </w:p>
              </w:tc>
              <w:tc>
                <w:tcPr>
                  <w:tcW w:w="1845" w:type="dxa"/>
                  <w:vAlign w:val="center"/>
                </w:tcPr>
                <w:p w14:paraId="6F2264E4" w14:textId="77777777" w:rsidR="00DF10C8" w:rsidRPr="00DF10C8" w:rsidRDefault="00DF10C8" w:rsidP="00DF10C8">
                  <w:pPr>
                    <w:spacing w:before="60" w:after="0"/>
                    <w:jc w:val="center"/>
                    <w:rPr>
                      <w:rFonts w:eastAsia="Times New Roman" w:cs="Arial"/>
                      <w:b/>
                      <w:bCs/>
                      <w:i/>
                      <w:iCs/>
                      <w:szCs w:val="20"/>
                    </w:rPr>
                  </w:pPr>
                  <w:r w:rsidRPr="00DF10C8">
                    <w:rPr>
                      <w:rFonts w:eastAsia="Times New Roman" w:cs="Arial"/>
                      <w:b/>
                      <w:bCs/>
                      <w:i/>
                      <w:iCs/>
                      <w:szCs w:val="20"/>
                    </w:rPr>
                    <w:t>UL</w:t>
                  </w:r>
                </w:p>
              </w:tc>
            </w:tr>
            <w:tr w:rsidR="00DF10C8" w:rsidRPr="00505285" w14:paraId="1C0AC931" w14:textId="77777777" w:rsidTr="00DF10C8">
              <w:tc>
                <w:tcPr>
                  <w:tcW w:w="5142" w:type="dxa"/>
                  <w:gridSpan w:val="2"/>
                </w:tcPr>
                <w:p w14:paraId="3C72D2B9" w14:textId="77777777" w:rsidR="00DF10C8" w:rsidRPr="00505285" w:rsidRDefault="00DF10C8" w:rsidP="00DF10C8">
                  <w:pPr>
                    <w:spacing w:before="60" w:after="0"/>
                    <w:rPr>
                      <w:rFonts w:eastAsia="Times New Roman" w:cs="Arial"/>
                      <w:i/>
                      <w:iCs/>
                      <w:szCs w:val="20"/>
                    </w:rPr>
                  </w:pPr>
                  <w:r>
                    <w:rPr>
                      <w:rFonts w:eastAsia="Times New Roman" w:cs="Arial"/>
                      <w:b/>
                      <w:bCs/>
                      <w:i/>
                      <w:iCs/>
                      <w:szCs w:val="20"/>
                    </w:rPr>
                    <w:t>Males</w:t>
                  </w:r>
                </w:p>
              </w:tc>
            </w:tr>
            <w:tr w:rsidR="00DF10C8" w:rsidRPr="00505285" w14:paraId="35F9E71A" w14:textId="77777777" w:rsidTr="00DF10C8">
              <w:tc>
                <w:tcPr>
                  <w:tcW w:w="3297" w:type="dxa"/>
                  <w:tcMar>
                    <w:left w:w="170" w:type="dxa"/>
                  </w:tcMar>
                </w:tcPr>
                <w:p w14:paraId="64D5294D"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18 to under 30 years</w:t>
                  </w:r>
                </w:p>
              </w:tc>
              <w:tc>
                <w:tcPr>
                  <w:tcW w:w="1845" w:type="dxa"/>
                  <w:vAlign w:val="center"/>
                </w:tcPr>
                <w:p w14:paraId="609E5A45" w14:textId="77777777" w:rsidR="00DF10C8" w:rsidRPr="00505285" w:rsidRDefault="00DF10C8" w:rsidP="00DF10C8">
                  <w:pPr>
                    <w:spacing w:before="60" w:after="0"/>
                    <w:jc w:val="center"/>
                    <w:rPr>
                      <w:rFonts w:eastAsia="Times New Roman" w:cs="Arial"/>
                      <w:b/>
                      <w:bCs/>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3B3D757D" w14:textId="77777777" w:rsidTr="00DF10C8">
              <w:tc>
                <w:tcPr>
                  <w:tcW w:w="3297" w:type="dxa"/>
                  <w:tcMar>
                    <w:left w:w="170" w:type="dxa"/>
                  </w:tcMar>
                </w:tcPr>
                <w:p w14:paraId="4F23A8B6"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30 to under 50 years</w:t>
                  </w:r>
                </w:p>
              </w:tc>
              <w:tc>
                <w:tcPr>
                  <w:tcW w:w="1845" w:type="dxa"/>
                </w:tcPr>
                <w:p w14:paraId="260C26E9" w14:textId="77777777" w:rsidR="00DF10C8" w:rsidRPr="00505285" w:rsidRDefault="00DF10C8" w:rsidP="00DF10C8">
                  <w:pPr>
                    <w:spacing w:before="60" w:after="0"/>
                    <w:jc w:val="center"/>
                    <w:rPr>
                      <w:rFonts w:eastAsia="Times New Roman" w:cs="Arial"/>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28A8B98E" w14:textId="77777777" w:rsidTr="00DF10C8">
              <w:tc>
                <w:tcPr>
                  <w:tcW w:w="3297" w:type="dxa"/>
                  <w:tcMar>
                    <w:left w:w="170" w:type="dxa"/>
                  </w:tcMar>
                </w:tcPr>
                <w:p w14:paraId="3FD102C5"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50 to under 65 years</w:t>
                  </w:r>
                </w:p>
              </w:tc>
              <w:tc>
                <w:tcPr>
                  <w:tcW w:w="1845" w:type="dxa"/>
                </w:tcPr>
                <w:p w14:paraId="5064088C" w14:textId="77777777" w:rsidR="00DF10C8" w:rsidRPr="00505285" w:rsidRDefault="00DF10C8" w:rsidP="00DF10C8">
                  <w:pPr>
                    <w:spacing w:before="60" w:after="0"/>
                    <w:jc w:val="center"/>
                    <w:rPr>
                      <w:rFonts w:eastAsia="Times New Roman" w:cs="Arial"/>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55E89AA7" w14:textId="77777777" w:rsidTr="00DF10C8">
              <w:tc>
                <w:tcPr>
                  <w:tcW w:w="3297" w:type="dxa"/>
                  <w:tcMar>
                    <w:left w:w="170" w:type="dxa"/>
                  </w:tcMar>
                </w:tcPr>
                <w:p w14:paraId="6BE33621"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65 to under 75 years</w:t>
                  </w:r>
                </w:p>
              </w:tc>
              <w:tc>
                <w:tcPr>
                  <w:tcW w:w="1845" w:type="dxa"/>
                </w:tcPr>
                <w:p w14:paraId="06A07D03" w14:textId="77777777" w:rsidR="00DF10C8" w:rsidRPr="00505285" w:rsidRDefault="00DF10C8" w:rsidP="00DF10C8">
                  <w:pPr>
                    <w:spacing w:before="60" w:after="0"/>
                    <w:jc w:val="center"/>
                    <w:rPr>
                      <w:rFonts w:eastAsia="Times New Roman" w:cs="Arial"/>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3C82AF71" w14:textId="77777777" w:rsidTr="00DF10C8">
              <w:tc>
                <w:tcPr>
                  <w:tcW w:w="3297" w:type="dxa"/>
                  <w:tcMar>
                    <w:left w:w="170" w:type="dxa"/>
                  </w:tcMar>
                </w:tcPr>
                <w:p w14:paraId="5781EC35"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 xml:space="preserve">75 years and older </w:t>
                  </w:r>
                </w:p>
              </w:tc>
              <w:tc>
                <w:tcPr>
                  <w:tcW w:w="1845" w:type="dxa"/>
                </w:tcPr>
                <w:p w14:paraId="2E4F8A8B" w14:textId="77777777" w:rsidR="00DF10C8" w:rsidRPr="00505285" w:rsidRDefault="00DF10C8" w:rsidP="00DF10C8">
                  <w:pPr>
                    <w:spacing w:before="60" w:after="0"/>
                    <w:jc w:val="center"/>
                    <w:rPr>
                      <w:rFonts w:eastAsia="Times New Roman" w:cs="Arial"/>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4E82F46A" w14:textId="77777777" w:rsidTr="00DF10C8">
              <w:tc>
                <w:tcPr>
                  <w:tcW w:w="3297" w:type="dxa"/>
                </w:tcPr>
                <w:p w14:paraId="7C915DAF" w14:textId="77777777" w:rsidR="00DF10C8" w:rsidRPr="00505285" w:rsidRDefault="00DF10C8" w:rsidP="00DF10C8">
                  <w:pPr>
                    <w:spacing w:before="60" w:after="0"/>
                    <w:rPr>
                      <w:rFonts w:eastAsia="Times New Roman" w:cs="Arial"/>
                      <w:b/>
                      <w:bCs/>
                      <w:i/>
                      <w:iCs/>
                      <w:szCs w:val="20"/>
                    </w:rPr>
                  </w:pPr>
                  <w:r>
                    <w:rPr>
                      <w:rFonts w:eastAsia="Times New Roman" w:cs="Arial"/>
                      <w:b/>
                      <w:bCs/>
                      <w:i/>
                      <w:iCs/>
                      <w:szCs w:val="20"/>
                    </w:rPr>
                    <w:t>Females</w:t>
                  </w:r>
                </w:p>
              </w:tc>
              <w:tc>
                <w:tcPr>
                  <w:tcW w:w="1845" w:type="dxa"/>
                </w:tcPr>
                <w:p w14:paraId="6FC40865" w14:textId="77777777" w:rsidR="00DF10C8" w:rsidRPr="00505285" w:rsidRDefault="00DF10C8" w:rsidP="00DF10C8">
                  <w:pPr>
                    <w:spacing w:before="60" w:after="0"/>
                    <w:jc w:val="center"/>
                    <w:rPr>
                      <w:rFonts w:eastAsia="Times New Roman" w:cs="Arial"/>
                      <w:i/>
                      <w:iCs/>
                      <w:szCs w:val="20"/>
                    </w:rPr>
                  </w:pPr>
                </w:p>
              </w:tc>
            </w:tr>
            <w:tr w:rsidR="00DF10C8" w:rsidRPr="00505285" w14:paraId="06D6C723" w14:textId="77777777" w:rsidTr="00DF10C8">
              <w:tc>
                <w:tcPr>
                  <w:tcW w:w="3297" w:type="dxa"/>
                  <w:tcMar>
                    <w:left w:w="170" w:type="dxa"/>
                  </w:tcMar>
                </w:tcPr>
                <w:p w14:paraId="10E76BBD"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18 to under 30 years</w:t>
                  </w:r>
                </w:p>
              </w:tc>
              <w:tc>
                <w:tcPr>
                  <w:tcW w:w="1845" w:type="dxa"/>
                </w:tcPr>
                <w:p w14:paraId="191CF459" w14:textId="77777777" w:rsidR="00DF10C8" w:rsidRPr="00505285" w:rsidRDefault="00DF10C8" w:rsidP="00DF10C8">
                  <w:pPr>
                    <w:spacing w:before="60" w:after="0"/>
                    <w:jc w:val="center"/>
                    <w:rPr>
                      <w:rFonts w:eastAsia="Times New Roman" w:cs="Arial"/>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00873D42" w14:textId="77777777" w:rsidTr="00DF10C8">
              <w:tc>
                <w:tcPr>
                  <w:tcW w:w="3297" w:type="dxa"/>
                  <w:tcMar>
                    <w:left w:w="170" w:type="dxa"/>
                  </w:tcMar>
                </w:tcPr>
                <w:p w14:paraId="78A24428"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30 to under 50 years</w:t>
                  </w:r>
                </w:p>
              </w:tc>
              <w:tc>
                <w:tcPr>
                  <w:tcW w:w="1845" w:type="dxa"/>
                </w:tcPr>
                <w:p w14:paraId="041DA673" w14:textId="77777777" w:rsidR="00DF10C8" w:rsidRPr="00505285" w:rsidRDefault="00DF10C8" w:rsidP="00DF10C8">
                  <w:pPr>
                    <w:spacing w:before="60" w:after="0"/>
                    <w:jc w:val="center"/>
                    <w:rPr>
                      <w:rFonts w:eastAsia="Times New Roman" w:cs="Arial"/>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093F4156" w14:textId="77777777" w:rsidTr="00DF10C8">
              <w:tc>
                <w:tcPr>
                  <w:tcW w:w="3297" w:type="dxa"/>
                  <w:tcMar>
                    <w:left w:w="170" w:type="dxa"/>
                  </w:tcMar>
                </w:tcPr>
                <w:p w14:paraId="5F45B849"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50 to under 65 years</w:t>
                  </w:r>
                </w:p>
              </w:tc>
              <w:tc>
                <w:tcPr>
                  <w:tcW w:w="1845" w:type="dxa"/>
                </w:tcPr>
                <w:p w14:paraId="10BBA1EA" w14:textId="77777777" w:rsidR="00DF10C8" w:rsidRPr="00505285" w:rsidRDefault="00DF10C8" w:rsidP="00DF10C8">
                  <w:pPr>
                    <w:spacing w:before="60" w:after="0"/>
                    <w:jc w:val="center"/>
                    <w:rPr>
                      <w:rFonts w:eastAsia="Times New Roman" w:cs="Arial"/>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322DC29E" w14:textId="77777777" w:rsidTr="00DF10C8">
              <w:trPr>
                <w:trHeight w:val="193"/>
              </w:trPr>
              <w:tc>
                <w:tcPr>
                  <w:tcW w:w="3297" w:type="dxa"/>
                  <w:tcMar>
                    <w:left w:w="170" w:type="dxa"/>
                  </w:tcMar>
                </w:tcPr>
                <w:p w14:paraId="5ABA43FA"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65 to under 75 years</w:t>
                  </w:r>
                </w:p>
              </w:tc>
              <w:tc>
                <w:tcPr>
                  <w:tcW w:w="1845" w:type="dxa"/>
                </w:tcPr>
                <w:p w14:paraId="36CEAF74" w14:textId="77777777" w:rsidR="00DF10C8" w:rsidRPr="00505285" w:rsidRDefault="00DF10C8" w:rsidP="00DF10C8">
                  <w:pPr>
                    <w:spacing w:before="60" w:after="0"/>
                    <w:jc w:val="center"/>
                    <w:rPr>
                      <w:rFonts w:eastAsia="Times New Roman" w:cs="Arial"/>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r w:rsidR="00DF10C8" w:rsidRPr="00505285" w14:paraId="5777AD0B" w14:textId="77777777" w:rsidTr="00DF10C8">
              <w:trPr>
                <w:trHeight w:val="80"/>
              </w:trPr>
              <w:tc>
                <w:tcPr>
                  <w:tcW w:w="3297" w:type="dxa"/>
                  <w:tcMar>
                    <w:left w:w="170" w:type="dxa"/>
                  </w:tcMar>
                </w:tcPr>
                <w:p w14:paraId="208FFA32" w14:textId="77777777" w:rsidR="00DF10C8" w:rsidRPr="00505285" w:rsidRDefault="00DF10C8" w:rsidP="00DF10C8">
                  <w:pPr>
                    <w:spacing w:before="60" w:after="0"/>
                    <w:rPr>
                      <w:rFonts w:eastAsia="Times New Roman" w:cs="Arial"/>
                      <w:b/>
                      <w:bCs/>
                      <w:i/>
                      <w:iCs/>
                      <w:szCs w:val="20"/>
                    </w:rPr>
                  </w:pPr>
                  <w:r w:rsidRPr="00505285">
                    <w:rPr>
                      <w:rFonts w:eastAsia="Times New Roman" w:cs="Arial"/>
                      <w:b/>
                      <w:bCs/>
                      <w:i/>
                      <w:iCs/>
                      <w:szCs w:val="20"/>
                    </w:rPr>
                    <w:t>75 years and older</w:t>
                  </w:r>
                </w:p>
              </w:tc>
              <w:tc>
                <w:tcPr>
                  <w:tcW w:w="1845" w:type="dxa"/>
                </w:tcPr>
                <w:p w14:paraId="4E7E1EFD" w14:textId="77777777" w:rsidR="00DF10C8" w:rsidRPr="00505285" w:rsidRDefault="00DF10C8" w:rsidP="00DF10C8">
                  <w:pPr>
                    <w:spacing w:before="60" w:after="0"/>
                    <w:jc w:val="center"/>
                    <w:rPr>
                      <w:rFonts w:eastAsia="Times New Roman" w:cs="Arial"/>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bl>
          <w:p w14:paraId="60FFAC87" w14:textId="77777777" w:rsidR="001025A2" w:rsidRDefault="001025A2">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i/>
                <w:iCs/>
                <w:szCs w:val="20"/>
              </w:rPr>
            </w:pPr>
            <w:r w:rsidRPr="00505285">
              <w:rPr>
                <w:rFonts w:eastAsia="Times New Roman" w:cs="Arial"/>
                <w:i/>
                <w:iCs/>
                <w:szCs w:val="20"/>
              </w:rPr>
              <w:t xml:space="preserve">Some individuals are particularly sensitive to the effects of iodine </w:t>
            </w:r>
            <w:proofErr w:type="gramStart"/>
            <w:r w:rsidRPr="00505285">
              <w:rPr>
                <w:rFonts w:eastAsia="Times New Roman" w:cs="Arial"/>
                <w:i/>
                <w:iCs/>
                <w:szCs w:val="20"/>
              </w:rPr>
              <w:t>excess</w:t>
            </w:r>
            <w:proofErr w:type="gramEnd"/>
            <w:r w:rsidRPr="00505285">
              <w:rPr>
                <w:rFonts w:eastAsia="Times New Roman" w:cs="Arial"/>
                <w:i/>
                <w:iCs/>
                <w:szCs w:val="20"/>
              </w:rPr>
              <w:t xml:space="preserve"> and they may respond adversely at levels of intake below the UL. Sensitive groups include people with a long history of iodine deficiency, and those with pre-existing thyroid dysfunction or disorders. Frequent consumption of seaweed </w:t>
            </w:r>
            <w:r w:rsidR="00667A3D">
              <w:rPr>
                <w:rFonts w:eastAsia="Times New Roman" w:cs="Arial"/>
                <w:i/>
                <w:iCs/>
                <w:szCs w:val="20"/>
              </w:rPr>
              <w:t>–</w:t>
            </w:r>
            <w:r w:rsidRPr="00505285">
              <w:rPr>
                <w:rFonts w:eastAsia="Times New Roman" w:cs="Arial"/>
                <w:i/>
                <w:iCs/>
                <w:szCs w:val="20"/>
              </w:rPr>
              <w:t xml:space="preserve"> or seaweed containing products </w:t>
            </w:r>
            <w:r w:rsidR="00667A3D">
              <w:rPr>
                <w:rFonts w:eastAsia="Times New Roman" w:cs="Arial"/>
                <w:i/>
                <w:iCs/>
                <w:szCs w:val="20"/>
              </w:rPr>
              <w:t>–</w:t>
            </w:r>
            <w:r w:rsidRPr="00505285">
              <w:rPr>
                <w:rFonts w:eastAsia="Times New Roman" w:cs="Arial"/>
                <w:i/>
                <w:iCs/>
                <w:szCs w:val="20"/>
              </w:rPr>
              <w:t xml:space="preserve"> may increase a person’s risk of exceeding the UL, due to the high iodine content in some seaweed varieties.</w:t>
            </w:r>
          </w:p>
          <w:p w14:paraId="61A4DA4A" w14:textId="0EDFAB29" w:rsidR="008029A1" w:rsidRPr="00505285" w:rsidRDefault="008029A1">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rPr>
            </w:pPr>
          </w:p>
        </w:tc>
      </w:tr>
      <w:tr w:rsidR="001025A2" w:rsidRPr="00505285" w14:paraId="38FF4367" w14:textId="77777777" w:rsidTr="008029A1">
        <w:tc>
          <w:tcPr>
            <w:cnfStyle w:val="001000000000" w:firstRow="0" w:lastRow="0" w:firstColumn="1" w:lastColumn="0" w:oddVBand="0" w:evenVBand="0" w:oddHBand="0" w:evenHBand="0" w:firstRowFirstColumn="0" w:firstRowLastColumn="0" w:lastRowFirstColumn="0" w:lastRowLastColumn="0"/>
            <w:tcW w:w="1987" w:type="dxa"/>
          </w:tcPr>
          <w:p w14:paraId="0A9BCE2D" w14:textId="77777777" w:rsidR="001025A2" w:rsidRPr="00505285" w:rsidRDefault="001025A2">
            <w:pPr>
              <w:rPr>
                <w:rFonts w:eastAsia="Times New Roman" w:cs="Arial"/>
                <w:szCs w:val="20"/>
              </w:rPr>
            </w:pPr>
            <w:r w:rsidRPr="00505285">
              <w:rPr>
                <w:rFonts w:eastAsia="Times New Roman" w:cs="Arial"/>
                <w:szCs w:val="20"/>
              </w:rPr>
              <w:lastRenderedPageBreak/>
              <w:t>Health evidence profile and supporting information</w:t>
            </w:r>
          </w:p>
        </w:tc>
        <w:tc>
          <w:tcPr>
            <w:tcW w:w="6406" w:type="dxa"/>
            <w:gridSpan w:val="2"/>
          </w:tcPr>
          <w:p w14:paraId="16415CE2" w14:textId="4D9FBF84"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 current recommendations </w:t>
            </w:r>
            <w:r w:rsidRPr="00505285">
              <w:rPr>
                <w:rFonts w:eastAsia="Arial" w:cs="Arial"/>
                <w:szCs w:val="20"/>
              </w:rPr>
              <w:t xml:space="preserve">for adults </w:t>
            </w:r>
            <w:r w:rsidRPr="00505285">
              <w:rPr>
                <w:rFonts w:eastAsia="Times New Roman" w:cs="Arial"/>
                <w:szCs w:val="20"/>
              </w:rPr>
              <w:t xml:space="preserve">are derived from a LOAEL (lowest observed adverse effect level) of 1700 </w:t>
            </w:r>
            <w:proofErr w:type="spellStart"/>
            <w:r w:rsidRPr="00505285">
              <w:rPr>
                <w:rFonts w:eastAsia="Times New Roman" w:cs="Arial"/>
                <w:szCs w:val="20"/>
              </w:rPr>
              <w:t>μg</w:t>
            </w:r>
            <w:proofErr w:type="spellEnd"/>
            <w:r w:rsidRPr="00505285">
              <w:rPr>
                <w:rFonts w:eastAsia="Times New Roman" w:cs="Arial"/>
                <w:szCs w:val="20"/>
              </w:rPr>
              <w:t xml:space="preserve">/day, based on two 1988 studies of supplemental iodine that found increased thyroid stimulating hormone (TSH) from baseline with intakes between 1,700 and 1,800 </w:t>
            </w:r>
            <w:proofErr w:type="spellStart"/>
            <w:r w:rsidRPr="00505285">
              <w:rPr>
                <w:rFonts w:eastAsia="Times New Roman" w:cs="Arial"/>
                <w:szCs w:val="20"/>
              </w:rPr>
              <w:t>μg</w:t>
            </w:r>
            <w:proofErr w:type="spellEnd"/>
            <w:r w:rsidRPr="00505285">
              <w:rPr>
                <w:rFonts w:eastAsia="Times New Roman" w:cs="Arial"/>
                <w:szCs w:val="20"/>
              </w:rPr>
              <w:t xml:space="preserve">/day (Paul et. </w:t>
            </w:r>
            <w:r w:rsidR="00667A3D" w:rsidRPr="00505285">
              <w:rPr>
                <w:rFonts w:eastAsia="Times New Roman" w:cs="Arial"/>
                <w:szCs w:val="20"/>
              </w:rPr>
              <w:t>A</w:t>
            </w:r>
            <w:r w:rsidRPr="00505285">
              <w:rPr>
                <w:rFonts w:eastAsia="Times New Roman" w:cs="Arial"/>
                <w:szCs w:val="20"/>
              </w:rPr>
              <w:t xml:space="preserve">l, 1988; Gardner et. </w:t>
            </w:r>
            <w:r w:rsidR="00667A3D" w:rsidRPr="00505285">
              <w:rPr>
                <w:rFonts w:eastAsia="Times New Roman" w:cs="Arial"/>
                <w:szCs w:val="20"/>
              </w:rPr>
              <w:t>A</w:t>
            </w:r>
            <w:r w:rsidRPr="00505285">
              <w:rPr>
                <w:rFonts w:eastAsia="Times New Roman" w:cs="Arial"/>
                <w:szCs w:val="20"/>
              </w:rPr>
              <w:t xml:space="preserve">l, 1988; </w:t>
            </w:r>
            <w:r w:rsidRPr="00505285">
              <w:rPr>
                <w:rFonts w:eastAsia="Arial" w:cs="Arial"/>
                <w:szCs w:val="20"/>
              </w:rPr>
              <w:t>(NHMRC, 2006</w:t>
            </w:r>
            <w:r w:rsidRPr="00505285">
              <w:rPr>
                <w:rFonts w:eastAsia="Times New Roman" w:cs="Arial"/>
                <w:szCs w:val="20"/>
              </w:rPr>
              <w:t xml:space="preserve">). One study included only men, and sample sizes for both studies were small (N=32 and N=30 participants total, spread across 3 arms in each study). The intervention period was also short for both studies (14 days). </w:t>
            </w:r>
          </w:p>
          <w:p w14:paraId="6494F6FB"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Critically, although both studies reported increases in TSH compared with baseline, levels remained within the normal reference range at the end of intervention period.</w:t>
            </w:r>
          </w:p>
          <w:p w14:paraId="41D3F3D1"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 UL was calculated by applying an uncertainty factor of 1.5 to arrive at a rounded adult UL of 1,100 </w:t>
            </w:r>
            <w:proofErr w:type="spellStart"/>
            <w:r w:rsidRPr="00505285">
              <w:rPr>
                <w:rFonts w:eastAsia="Times New Roman" w:cs="Arial"/>
                <w:szCs w:val="20"/>
              </w:rPr>
              <w:t>μg</w:t>
            </w:r>
            <w:proofErr w:type="spellEnd"/>
            <w:r w:rsidRPr="00505285">
              <w:rPr>
                <w:rFonts w:eastAsia="Times New Roman" w:cs="Arial"/>
                <w:szCs w:val="20"/>
              </w:rPr>
              <w:t>/day (</w:t>
            </w:r>
            <w:r w:rsidRPr="00505285">
              <w:rPr>
                <w:rFonts w:eastAsia="Arial" w:cs="Arial"/>
                <w:szCs w:val="20"/>
              </w:rPr>
              <w:t>NHMRC, 2006)</w:t>
            </w:r>
            <w:r w:rsidRPr="00505285">
              <w:rPr>
                <w:rFonts w:eastAsia="Times New Roman" w:cs="Arial"/>
                <w:szCs w:val="20"/>
              </w:rPr>
              <w:t>.  The relatively low uncertainty factor reflected the soft nature of elevated TSH as an end point for toxicity, noting that it is mild and reversible in nature.</w:t>
            </w:r>
          </w:p>
        </w:tc>
        <w:tc>
          <w:tcPr>
            <w:tcW w:w="6406" w:type="dxa"/>
            <w:gridSpan w:val="2"/>
          </w:tcPr>
          <w:p w14:paraId="7B3D83B2"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Times New Roman" w:cs="Times New Roman"/>
                <w:szCs w:val="20"/>
              </w:rPr>
              <w:t xml:space="preserve">There is a lack of sensitive end points for establishing upper levels for iodine, with the relationship between iodine intake and adverse health outcomes either not well characterised, or insufficiently sensitive or reliable to inform establishment of an NRV.  In the absence of more robust biomarkers, elevated TSH </w:t>
            </w:r>
            <w:r w:rsidRPr="00505285">
              <w:rPr>
                <w:rFonts w:eastAsia="Arial" w:cs="Arial"/>
                <w:szCs w:val="20"/>
              </w:rPr>
              <w:t xml:space="preserve">has previously been used to derive </w:t>
            </w:r>
            <w:proofErr w:type="gramStart"/>
            <w:r w:rsidRPr="00505285">
              <w:rPr>
                <w:rFonts w:eastAsia="Arial" w:cs="Arial"/>
                <w:szCs w:val="20"/>
              </w:rPr>
              <w:t>Upper Level</w:t>
            </w:r>
            <w:proofErr w:type="gramEnd"/>
            <w:r w:rsidRPr="00505285">
              <w:rPr>
                <w:rFonts w:eastAsia="Arial" w:cs="Arial"/>
                <w:szCs w:val="20"/>
              </w:rPr>
              <w:t xml:space="preserve"> recommendations. </w:t>
            </w:r>
          </w:p>
          <w:p w14:paraId="01F23DA7"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 xml:space="preserve">Five interventional studies were identified that explored the effect of high iodine intake on status and thyroid function measures (including elevated TSH) in healthy, euthyroid adults. However, significant heterogeneity precluded meta-analysis. </w:t>
            </w:r>
          </w:p>
          <w:p w14:paraId="4533D80E" w14:textId="30EB9676"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 xml:space="preserve">One study was selected for further analysis, as it was at low risk of bias and evaluated the effect of varying levels of supplementation (0 </w:t>
            </w:r>
            <w:r w:rsidR="00667A3D">
              <w:rPr>
                <w:rFonts w:eastAsia="Arial" w:cs="Arial"/>
                <w:szCs w:val="20"/>
              </w:rPr>
              <w:t>–</w:t>
            </w:r>
            <w:r w:rsidRPr="00505285">
              <w:rPr>
                <w:rFonts w:eastAsia="Arial" w:cs="Arial"/>
                <w:szCs w:val="20"/>
              </w:rPr>
              <w:t xml:space="preserve"> 2000 µg/day) on thyroid function (Sang 2012). </w:t>
            </w:r>
            <w:r w:rsidRPr="00505285">
              <w:rPr>
                <w:rFonts w:eastAsia="Times New Roman" w:cs="Times New Roman"/>
                <w:szCs w:val="20"/>
              </w:rPr>
              <w:t xml:space="preserve">The trial was performed in two phases, with the initial phase conducted in 2004 (iodine supplement &gt;500 </w:t>
            </w:r>
            <w:proofErr w:type="spellStart"/>
            <w:r w:rsidRPr="00505285">
              <w:rPr>
                <w:rFonts w:eastAsia="Times New Roman" w:cs="Times New Roman"/>
                <w:szCs w:val="20"/>
              </w:rPr>
              <w:t>μg</w:t>
            </w:r>
            <w:proofErr w:type="spellEnd"/>
            <w:r w:rsidRPr="00505285">
              <w:rPr>
                <w:rFonts w:eastAsia="Times New Roman" w:cs="Times New Roman"/>
                <w:szCs w:val="20"/>
              </w:rPr>
              <w:t xml:space="preserve">/day) and the second phase (iodine supplement 0-400 </w:t>
            </w:r>
            <w:proofErr w:type="spellStart"/>
            <w:r w:rsidRPr="00505285">
              <w:rPr>
                <w:rFonts w:eastAsia="Times New Roman" w:cs="Times New Roman"/>
                <w:szCs w:val="20"/>
              </w:rPr>
              <w:t>μg</w:t>
            </w:r>
            <w:proofErr w:type="spellEnd"/>
            <w:r w:rsidRPr="00505285">
              <w:rPr>
                <w:rFonts w:eastAsia="Times New Roman" w:cs="Times New Roman"/>
                <w:szCs w:val="20"/>
              </w:rPr>
              <w:t xml:space="preserve">/day) in 2008. Participants were </w:t>
            </w:r>
            <w:r w:rsidRPr="00505285">
              <w:rPr>
                <w:rFonts w:eastAsia="Arial" w:cs="Arial"/>
                <w:szCs w:val="20"/>
              </w:rPr>
              <w:t xml:space="preserve">256 young, euthyroid Chinese adults aged 19 to 25 years who were </w:t>
            </w:r>
            <w:r w:rsidRPr="00505285">
              <w:rPr>
                <w:rFonts w:eastAsia="Times New Roman" w:cs="Times New Roman"/>
                <w:szCs w:val="20"/>
              </w:rPr>
              <w:t xml:space="preserve">randomised to one of twelve iodine supplementation interventions, ranging from 0-2000 </w:t>
            </w:r>
            <w:proofErr w:type="spellStart"/>
            <w:r w:rsidRPr="00505285">
              <w:rPr>
                <w:rFonts w:eastAsia="Times New Roman" w:cs="Times New Roman"/>
                <w:szCs w:val="20"/>
              </w:rPr>
              <w:t>μg</w:t>
            </w:r>
            <w:proofErr w:type="spellEnd"/>
            <w:r w:rsidRPr="00505285">
              <w:rPr>
                <w:rFonts w:eastAsia="Times New Roman" w:cs="Times New Roman"/>
                <w:szCs w:val="20"/>
              </w:rPr>
              <w:t xml:space="preserve">/day for a four-week period. </w:t>
            </w:r>
          </w:p>
          <w:p w14:paraId="70F46741" w14:textId="0792479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 xml:space="preserve">Overall, the results from Sang et. </w:t>
            </w:r>
            <w:r w:rsidR="00667A3D" w:rsidRPr="00505285">
              <w:rPr>
                <w:rFonts w:eastAsia="Times New Roman" w:cs="Times New Roman"/>
                <w:szCs w:val="20"/>
              </w:rPr>
              <w:t>A</w:t>
            </w:r>
            <w:r w:rsidRPr="00505285">
              <w:rPr>
                <w:rFonts w:eastAsia="Times New Roman" w:cs="Times New Roman"/>
                <w:szCs w:val="20"/>
              </w:rPr>
              <w:t xml:space="preserve">l. (2012) demonstrate significant capacity for the thyroid to adapt to high intakes of iodine </w:t>
            </w:r>
            <w:r w:rsidR="00667A3D">
              <w:rPr>
                <w:rFonts w:eastAsia="Times New Roman" w:cs="Times New Roman"/>
                <w:szCs w:val="20"/>
              </w:rPr>
              <w:t>–</w:t>
            </w:r>
            <w:r w:rsidRPr="00505285">
              <w:rPr>
                <w:rFonts w:eastAsia="Times New Roman" w:cs="Times New Roman"/>
                <w:szCs w:val="20"/>
              </w:rPr>
              <w:t xml:space="preserve"> including intakes substantially exceeding current UL recommendations. However, elevated TSH and increasing rates of subclinical hypothyroidism were observed with iodine intakes of 869µg/day or greater. </w:t>
            </w:r>
          </w:p>
          <w:p w14:paraId="6B2A151B" w14:textId="5903512A"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 xml:space="preserve">The UL should aim to protect </w:t>
            </w:r>
            <w:proofErr w:type="spellStart"/>
            <w:r w:rsidRPr="00505285">
              <w:rPr>
                <w:rFonts w:eastAsia="Times New Roman" w:cs="Times New Roman"/>
                <w:szCs w:val="20"/>
              </w:rPr>
              <w:t>almos</w:t>
            </w:r>
            <w:proofErr w:type="spellEnd"/>
            <w:r w:rsidR="00667A3D">
              <w:rPr>
                <w:rFonts w:eastAsia="Times New Roman" w:cs="Times New Roman"/>
                <w:szCs w:val="20"/>
              </w:rPr>
              <w:t>”</w:t>
            </w:r>
            <w:r w:rsidRPr="00505285">
              <w:rPr>
                <w:rFonts w:eastAsia="Times New Roman" w:cs="Times New Roman"/>
                <w:szCs w:val="20"/>
              </w:rPr>
              <w:t xml:space="preserve"> </w:t>
            </w:r>
            <w:proofErr w:type="spellStart"/>
            <w:r w:rsidRPr="00505285">
              <w:rPr>
                <w:rFonts w:eastAsia="Times New Roman" w:cs="Times New Roman"/>
                <w:szCs w:val="20"/>
              </w:rPr>
              <w:t>all</w:t>
            </w:r>
            <w:r w:rsidR="00667A3D">
              <w:rPr>
                <w:rFonts w:eastAsia="Times New Roman" w:cs="Times New Roman"/>
                <w:szCs w:val="20"/>
              </w:rPr>
              <w:t>’I</w:t>
            </w:r>
            <w:r w:rsidRPr="00505285">
              <w:rPr>
                <w:rFonts w:eastAsia="Times New Roman" w:cs="Times New Roman"/>
                <w:szCs w:val="20"/>
              </w:rPr>
              <w:t>ndividuals</w:t>
            </w:r>
            <w:proofErr w:type="spellEnd"/>
            <w:r w:rsidRPr="00505285">
              <w:rPr>
                <w:rFonts w:eastAsia="Times New Roman" w:cs="Times New Roman"/>
                <w:szCs w:val="20"/>
              </w:rPr>
              <w:t xml:space="preserve"> within a population. Accordingly, 869µg/day was selected as the LOAEL, as the inflexion point at which cases of subclinical hypothyroidism became significantly increased, and the upper bound of the 95% CI for TSH was elevated beyond 5.0mU/L </w:t>
            </w:r>
            <w:r w:rsidRPr="00505285">
              <w:rPr>
                <w:rFonts w:eastAsia="Times New Roman" w:cs="Times New Roman"/>
                <w:szCs w:val="20"/>
              </w:rPr>
              <w:lastRenderedPageBreak/>
              <w:t xml:space="preserve">(Sang et. </w:t>
            </w:r>
            <w:r w:rsidR="00667A3D" w:rsidRPr="00505285">
              <w:rPr>
                <w:rFonts w:eastAsia="Times New Roman" w:cs="Times New Roman"/>
                <w:szCs w:val="20"/>
              </w:rPr>
              <w:t>A</w:t>
            </w:r>
            <w:r w:rsidRPr="00505285">
              <w:rPr>
                <w:rFonts w:eastAsia="Times New Roman" w:cs="Times New Roman"/>
                <w:szCs w:val="20"/>
              </w:rPr>
              <w:t xml:space="preserve">l. 2012 reported a reference range of 0.3 </w:t>
            </w:r>
            <w:r w:rsidR="00667A3D">
              <w:rPr>
                <w:rFonts w:eastAsia="Times New Roman" w:cs="Times New Roman"/>
                <w:szCs w:val="20"/>
              </w:rPr>
              <w:t>–</w:t>
            </w:r>
            <w:r w:rsidRPr="00505285">
              <w:rPr>
                <w:rFonts w:eastAsia="Times New Roman" w:cs="Times New Roman"/>
                <w:szCs w:val="20"/>
              </w:rPr>
              <w:t xml:space="preserve"> 5.0 </w:t>
            </w:r>
            <w:proofErr w:type="spellStart"/>
            <w:r w:rsidRPr="00505285">
              <w:rPr>
                <w:rFonts w:eastAsia="Times New Roman" w:cs="Times New Roman"/>
                <w:szCs w:val="20"/>
              </w:rPr>
              <w:t>mU</w:t>
            </w:r>
            <w:proofErr w:type="spellEnd"/>
            <w:r w:rsidRPr="00505285">
              <w:rPr>
                <w:rFonts w:eastAsia="Times New Roman" w:cs="Times New Roman"/>
                <w:szCs w:val="20"/>
              </w:rPr>
              <w:t xml:space="preserve">/L for the TSH assay used). </w:t>
            </w:r>
          </w:p>
          <w:p w14:paraId="4878AD9C" w14:textId="77777777" w:rsidR="001025A2" w:rsidRPr="00505285" w:rsidRDefault="001025A2">
            <w:pPr>
              <w:spacing w:after="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An Uncertainty Factor of 1.5 was applied, with consideration given to:</w:t>
            </w:r>
          </w:p>
          <w:p w14:paraId="58A91CCD" w14:textId="77777777" w:rsidR="001025A2" w:rsidRPr="00505285" w:rsidRDefault="001025A2">
            <w:pPr>
              <w:spacing w:after="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Substantial inter-individual variability in tolerance for high iodine intakes, noting that selection of the LOAEL can be expected to account for some level of individual variability</w:t>
            </w:r>
          </w:p>
          <w:p w14:paraId="6AC2CA39" w14:textId="77777777" w:rsidR="001025A2" w:rsidRPr="00505285" w:rsidRDefault="001025A2">
            <w:pPr>
              <w:spacing w:after="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The use of a LOAEL rather than a NOAEL as a reference point</w:t>
            </w:r>
          </w:p>
          <w:p w14:paraId="4DD4E02C"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 mild and reversible nature of the </w:t>
            </w:r>
            <w:proofErr w:type="gramStart"/>
            <w:r w:rsidRPr="00505285">
              <w:rPr>
                <w:rFonts w:eastAsia="Times New Roman" w:cs="Arial"/>
                <w:szCs w:val="20"/>
              </w:rPr>
              <w:t>end-point</w:t>
            </w:r>
            <w:proofErr w:type="gramEnd"/>
          </w:p>
          <w:p w14:paraId="7AA8CE4C"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This resulted in an estimated UL of </w:t>
            </w:r>
            <w:r w:rsidRPr="00505285">
              <w:rPr>
                <w:rFonts w:eastAsia="Times New Roman" w:cs="Times New Roman"/>
                <w:szCs w:val="20"/>
              </w:rPr>
              <w:t>579.3µg/day, which was rounded up to 600µg/day.</w:t>
            </w:r>
          </w:p>
        </w:tc>
      </w:tr>
      <w:tr w:rsidR="001025A2" w:rsidRPr="00505285" w14:paraId="7EA673BA" w14:textId="77777777" w:rsidTr="008029A1">
        <w:trPr>
          <w:gridAfter w:val="1"/>
          <w:cnfStyle w:val="000000100000" w:firstRow="0" w:lastRow="0" w:firstColumn="0" w:lastColumn="0" w:oddVBand="0" w:evenVBand="0" w:oddHBand="1" w:evenHBand="0" w:firstRowFirstColumn="0" w:firstRowLastColumn="0" w:lastRowFirstColumn="0" w:lastRowLastColumn="0"/>
          <w:wAfter w:w="55" w:type="dxa"/>
        </w:trPr>
        <w:tc>
          <w:tcPr>
            <w:cnfStyle w:val="001000000000" w:firstRow="0" w:lastRow="0" w:firstColumn="1" w:lastColumn="0" w:oddVBand="0" w:evenVBand="0" w:oddHBand="0" w:evenHBand="0" w:firstRowFirstColumn="0" w:firstRowLastColumn="0" w:lastRowFirstColumn="0" w:lastRowLastColumn="0"/>
            <w:tcW w:w="1987" w:type="dxa"/>
          </w:tcPr>
          <w:p w14:paraId="33C9A1C2" w14:textId="77777777" w:rsidR="001025A2" w:rsidRPr="00505285" w:rsidRDefault="001025A2">
            <w:pPr>
              <w:rPr>
                <w:rFonts w:eastAsia="Times New Roman" w:cs="Arial"/>
                <w:szCs w:val="20"/>
              </w:rPr>
            </w:pPr>
            <w:r w:rsidRPr="00505285">
              <w:rPr>
                <w:rFonts w:eastAsia="Times New Roman" w:cs="Arial"/>
                <w:szCs w:val="20"/>
              </w:rPr>
              <w:lastRenderedPageBreak/>
              <w:t xml:space="preserve">Iodine exposure in Australia and New Zealand </w:t>
            </w:r>
          </w:p>
        </w:tc>
        <w:tc>
          <w:tcPr>
            <w:tcW w:w="12757" w:type="dxa"/>
            <w:gridSpan w:val="3"/>
          </w:tcPr>
          <w:p w14:paraId="594F5310" w14:textId="14833C52" w:rsidR="001025A2" w:rsidRPr="00505285" w:rsidRDefault="001025A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Times New Roman" w:cs="Arial"/>
                <w:szCs w:val="20"/>
              </w:rPr>
              <w:t xml:space="preserve">Recent (2022-24) data from Australia suggests that the adult population in Australia is iodine sufficient </w:t>
            </w:r>
            <w:r w:rsidR="00667A3D">
              <w:rPr>
                <w:rFonts w:eastAsia="Times New Roman" w:cs="Arial"/>
                <w:szCs w:val="20"/>
              </w:rPr>
              <w:t>–</w:t>
            </w:r>
            <w:r w:rsidRPr="00505285">
              <w:rPr>
                <w:rFonts w:eastAsia="Times New Roman" w:cs="Arial"/>
                <w:szCs w:val="20"/>
              </w:rPr>
              <w:t xml:space="preserve"> based on WHO criteria </w:t>
            </w:r>
            <w:r w:rsidR="00667A3D">
              <w:rPr>
                <w:rFonts w:eastAsia="Times New Roman" w:cs="Arial"/>
                <w:szCs w:val="20"/>
              </w:rPr>
              <w:t>–</w:t>
            </w:r>
            <w:r w:rsidRPr="00505285">
              <w:rPr>
                <w:rFonts w:eastAsia="Times New Roman" w:cs="Arial"/>
                <w:szCs w:val="20"/>
              </w:rPr>
              <w:t xml:space="preserve"> </w:t>
            </w:r>
            <w:r w:rsidRPr="00505285">
              <w:rPr>
                <w:rFonts w:eastAsia="Arial" w:cs="Arial"/>
                <w:szCs w:val="20"/>
              </w:rPr>
              <w:t xml:space="preserve">with almost all age groups having median UIC &gt;100µg/L </w:t>
            </w:r>
            <w:r w:rsidRPr="00505285">
              <w:rPr>
                <w:rFonts w:eastAsia="Times New Roman" w:cs="Arial"/>
                <w:szCs w:val="20"/>
              </w:rPr>
              <w:t>(WHO, 2013; ABS, 2025a)</w:t>
            </w:r>
            <w:r w:rsidRPr="00505285">
              <w:rPr>
                <w:rFonts w:eastAsia="Arial" w:cs="Arial"/>
                <w:szCs w:val="20"/>
              </w:rPr>
              <w:t xml:space="preserve">. However, data suggests mild population deficiency in females of reproductive age (aged 25 to 44 years). </w:t>
            </w:r>
          </w:p>
          <w:p w14:paraId="53326082" w14:textId="77777777" w:rsidR="001025A2" w:rsidRPr="00505285" w:rsidRDefault="001025A2">
            <w:pPr>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lightGray"/>
              </w:rPr>
            </w:pPr>
            <w:r w:rsidRPr="00505285">
              <w:rPr>
                <w:rFonts w:eastAsia="Times New Roman" w:cs="Arial"/>
                <w:szCs w:val="20"/>
              </w:rPr>
              <w:t>Current dietary intake data from the 2023 National Nutrition and Physical Activity Survey (NNPAS) are presented at Table 1. Current ABS data do not report the 95% CI nor the percentage of the population exceeding the UL. Consequently, data from the 2011-13 Australian Health Survey (ABS, 2015) are also presented inclusive of this data. These data show that iodine intakes are well below the proposed UL of 600</w:t>
            </w:r>
            <w:r w:rsidRPr="00505285">
              <w:rPr>
                <w:rFonts w:eastAsia="Arial" w:cs="Arial"/>
                <w:szCs w:val="20"/>
              </w:rPr>
              <w:t xml:space="preserve"> </w:t>
            </w:r>
            <w:r w:rsidRPr="00505285">
              <w:rPr>
                <w:rFonts w:eastAsia="Times New Roman" w:cs="Arial"/>
                <w:szCs w:val="20"/>
              </w:rPr>
              <w:t xml:space="preserve">µg/day for at least 95% of adults across all age groups. </w:t>
            </w:r>
          </w:p>
          <w:p w14:paraId="4EAD30F2" w14:textId="6E003C7E" w:rsidR="001025A2" w:rsidRPr="00505285" w:rsidRDefault="001025A2">
            <w:pPr>
              <w:keepNext/>
              <w:spacing w:after="200"/>
              <w:cnfStyle w:val="000000100000" w:firstRow="0" w:lastRow="0" w:firstColumn="0" w:lastColumn="0" w:oddVBand="0" w:evenVBand="0" w:oddHBand="1" w:evenHBand="0" w:firstRowFirstColumn="0" w:firstRowLastColumn="0" w:lastRowFirstColumn="0" w:lastRowLastColumn="0"/>
              <w:rPr>
                <w:rFonts w:eastAsia="Arial" w:cs="Arial"/>
                <w:iCs/>
                <w:caps/>
                <w:szCs w:val="20"/>
              </w:rPr>
            </w:pPr>
            <w:r w:rsidRPr="00505285">
              <w:rPr>
                <w:rFonts w:eastAsia="Arial" w:cs="Arial"/>
                <w:iCs/>
                <w:caps/>
                <w:szCs w:val="20"/>
              </w:rPr>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1</w:t>
            </w:r>
            <w:r w:rsidRPr="00505285">
              <w:rPr>
                <w:rFonts w:eastAsia="Arial" w:cs="Arial"/>
                <w:iCs/>
                <w:caps/>
                <w:noProof/>
                <w:szCs w:val="20"/>
              </w:rPr>
              <w:fldChar w:fldCharType="end"/>
            </w:r>
            <w:r w:rsidRPr="00505285">
              <w:rPr>
                <w:rFonts w:eastAsia="Arial" w:cs="Arial"/>
                <w:iCs/>
                <w:caps/>
                <w:szCs w:val="20"/>
              </w:rPr>
              <w:t xml:space="preserve"> </w:t>
            </w:r>
            <w:r w:rsidR="00667A3D">
              <w:rPr>
                <w:rFonts w:eastAsia="Arial" w:cs="Arial"/>
                <w:iCs/>
                <w:caps/>
                <w:szCs w:val="20"/>
              </w:rPr>
              <w:t>–</w:t>
            </w:r>
            <w:r w:rsidRPr="00505285">
              <w:rPr>
                <w:rFonts w:eastAsia="Arial" w:cs="Arial"/>
                <w:iCs/>
                <w:caps/>
                <w:szCs w:val="20"/>
              </w:rPr>
              <w:t xml:space="preserve"> Australian national dietary iodine intake data in adults, 2023 nnpas (ABS, 2025b) and 2011-13 AHS (ABS, 2015)</w:t>
            </w:r>
          </w:p>
          <w:tbl>
            <w:tblPr>
              <w:tblW w:w="1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276"/>
              <w:gridCol w:w="2835"/>
              <w:gridCol w:w="1843"/>
              <w:gridCol w:w="1276"/>
              <w:gridCol w:w="1559"/>
            </w:tblGrid>
            <w:tr w:rsidR="001025A2" w:rsidRPr="00505285" w14:paraId="423ABE69" w14:textId="77777777">
              <w:trPr>
                <w:trHeight w:val="300"/>
              </w:trPr>
              <w:tc>
                <w:tcPr>
                  <w:tcW w:w="2582" w:type="dxa"/>
                  <w:vMerge w:val="restart"/>
                  <w:shd w:val="clear" w:color="auto" w:fill="005F85"/>
                  <w:noWrap/>
                  <w:vAlign w:val="center"/>
                </w:tcPr>
                <w:p w14:paraId="653B85F5" w14:textId="77777777" w:rsidR="001025A2" w:rsidRPr="00505285" w:rsidRDefault="001025A2">
                  <w:pPr>
                    <w:keepNext/>
                    <w:spacing w:after="0" w:line="240" w:lineRule="auto"/>
                    <w:rPr>
                      <w:rFonts w:eastAsia="Times New Roman" w:cs="Calibri"/>
                      <w:b/>
                      <w:bCs/>
                      <w:color w:val="FFFFFF"/>
                      <w:szCs w:val="20"/>
                    </w:rPr>
                  </w:pPr>
                  <w:r w:rsidRPr="00505285">
                    <w:rPr>
                      <w:rFonts w:eastAsia="Times New Roman" w:cs="Calibri"/>
                      <w:b/>
                      <w:bCs/>
                      <w:color w:val="FFFFFF"/>
                      <w:szCs w:val="20"/>
                    </w:rPr>
                    <w:t>Age groups (years)</w:t>
                  </w:r>
                </w:p>
                <w:p w14:paraId="378F043C" w14:textId="77777777" w:rsidR="001025A2" w:rsidRPr="00505285" w:rsidRDefault="001025A2">
                  <w:pPr>
                    <w:keepNext/>
                    <w:spacing w:after="0" w:line="240" w:lineRule="auto"/>
                    <w:rPr>
                      <w:rFonts w:eastAsia="Times New Roman" w:cs="Calibri"/>
                      <w:b/>
                      <w:bCs/>
                      <w:color w:val="FFFFFF"/>
                      <w:szCs w:val="20"/>
                    </w:rPr>
                  </w:pPr>
                  <w:r w:rsidRPr="00505285">
                    <w:rPr>
                      <w:rFonts w:eastAsia="Times New Roman" w:cs="Calibri"/>
                      <w:b/>
                      <w:bCs/>
                      <w:color w:val="FFFFFF"/>
                      <w:szCs w:val="20"/>
                    </w:rPr>
                    <w:t>(2023 / 2011-13)</w:t>
                  </w:r>
                </w:p>
              </w:tc>
              <w:tc>
                <w:tcPr>
                  <w:tcW w:w="1276" w:type="dxa"/>
                  <w:vMerge w:val="restart"/>
                  <w:shd w:val="clear" w:color="auto" w:fill="005F85"/>
                  <w:vAlign w:val="center"/>
                </w:tcPr>
                <w:p w14:paraId="04A251C9" w14:textId="77777777" w:rsidR="001025A2" w:rsidRPr="00505285" w:rsidRDefault="001025A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Sex</w:t>
                  </w:r>
                </w:p>
              </w:tc>
              <w:tc>
                <w:tcPr>
                  <w:tcW w:w="2835" w:type="dxa"/>
                  <w:shd w:val="clear" w:color="auto" w:fill="005F85"/>
                </w:tcPr>
                <w:p w14:paraId="62283348" w14:textId="77777777" w:rsidR="001025A2" w:rsidRPr="00505285" w:rsidRDefault="001025A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2023 NNPAS (ABS, 2025b)</w:t>
                  </w:r>
                </w:p>
              </w:tc>
              <w:tc>
                <w:tcPr>
                  <w:tcW w:w="4678" w:type="dxa"/>
                  <w:gridSpan w:val="3"/>
                  <w:shd w:val="clear" w:color="auto" w:fill="005F85"/>
                  <w:vAlign w:val="center"/>
                </w:tcPr>
                <w:p w14:paraId="3B4431E4" w14:textId="77777777" w:rsidR="001025A2" w:rsidRPr="00505285" w:rsidRDefault="001025A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2011-13 AHS (ABS, 2015)</w:t>
                  </w:r>
                </w:p>
              </w:tc>
            </w:tr>
            <w:tr w:rsidR="001025A2" w:rsidRPr="00505285" w14:paraId="3BC44065" w14:textId="77777777">
              <w:trPr>
                <w:trHeight w:val="300"/>
              </w:trPr>
              <w:tc>
                <w:tcPr>
                  <w:tcW w:w="2582" w:type="dxa"/>
                  <w:vMerge/>
                  <w:shd w:val="clear" w:color="auto" w:fill="005F85"/>
                  <w:noWrap/>
                  <w:vAlign w:val="center"/>
                </w:tcPr>
                <w:p w14:paraId="62A7A007" w14:textId="77777777" w:rsidR="001025A2" w:rsidRPr="00505285" w:rsidRDefault="001025A2">
                  <w:pPr>
                    <w:keepNext/>
                    <w:spacing w:after="0" w:line="240" w:lineRule="auto"/>
                    <w:rPr>
                      <w:rFonts w:eastAsia="Times New Roman" w:cs="Calibri"/>
                      <w:b/>
                      <w:bCs/>
                      <w:color w:val="FFFFFF"/>
                      <w:szCs w:val="20"/>
                    </w:rPr>
                  </w:pPr>
                </w:p>
              </w:tc>
              <w:tc>
                <w:tcPr>
                  <w:tcW w:w="1276" w:type="dxa"/>
                  <w:vMerge/>
                  <w:shd w:val="clear" w:color="auto" w:fill="005F85"/>
                  <w:vAlign w:val="center"/>
                </w:tcPr>
                <w:p w14:paraId="53B31D3C" w14:textId="77777777" w:rsidR="001025A2" w:rsidRPr="00505285" w:rsidRDefault="001025A2">
                  <w:pPr>
                    <w:keepNext/>
                    <w:spacing w:after="0" w:line="240" w:lineRule="auto"/>
                    <w:jc w:val="center"/>
                    <w:rPr>
                      <w:rFonts w:eastAsia="Times New Roman" w:cs="Calibri"/>
                      <w:color w:val="FFFFFF"/>
                      <w:szCs w:val="20"/>
                    </w:rPr>
                  </w:pPr>
                </w:p>
              </w:tc>
              <w:tc>
                <w:tcPr>
                  <w:tcW w:w="2835" w:type="dxa"/>
                  <w:shd w:val="clear" w:color="auto" w:fill="005F85"/>
                </w:tcPr>
                <w:p w14:paraId="197567D5" w14:textId="77777777" w:rsidR="001025A2" w:rsidRPr="00505285" w:rsidRDefault="001025A2">
                  <w:pPr>
                    <w:keepNext/>
                    <w:spacing w:after="0" w:line="240" w:lineRule="auto"/>
                    <w:jc w:val="center"/>
                    <w:rPr>
                      <w:rFonts w:eastAsia="Times New Roman" w:cs="Calibri"/>
                      <w:b/>
                      <w:bCs/>
                      <w:color w:val="FFFFFF"/>
                      <w:szCs w:val="20"/>
                    </w:rPr>
                  </w:pPr>
                </w:p>
                <w:p w14:paraId="481D1279" w14:textId="77777777" w:rsidR="001025A2" w:rsidRPr="00505285" w:rsidRDefault="001025A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Mean intake (µg/day)</w:t>
                  </w:r>
                </w:p>
              </w:tc>
              <w:tc>
                <w:tcPr>
                  <w:tcW w:w="1843" w:type="dxa"/>
                  <w:shd w:val="clear" w:color="auto" w:fill="005F85"/>
                  <w:vAlign w:val="center"/>
                </w:tcPr>
                <w:p w14:paraId="1E5A795C" w14:textId="77777777" w:rsidR="001025A2" w:rsidRPr="00505285" w:rsidRDefault="001025A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 xml:space="preserve">Intake </w:t>
                  </w:r>
                </w:p>
                <w:p w14:paraId="0FEE8A41" w14:textId="77777777" w:rsidR="001025A2" w:rsidRPr="00505285" w:rsidRDefault="001025A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(µg/day)</w:t>
                  </w:r>
                </w:p>
                <w:p w14:paraId="4D3A8C32" w14:textId="77777777" w:rsidR="001025A2" w:rsidRPr="00505285" w:rsidRDefault="001025A2">
                  <w:pPr>
                    <w:keepNext/>
                    <w:spacing w:after="0" w:line="240" w:lineRule="auto"/>
                    <w:jc w:val="center"/>
                    <w:rPr>
                      <w:rFonts w:eastAsia="Times New Roman" w:cs="Calibri"/>
                      <w:color w:val="FFFFFF"/>
                      <w:szCs w:val="20"/>
                    </w:rPr>
                  </w:pPr>
                  <w:r w:rsidRPr="00505285">
                    <w:rPr>
                      <w:rFonts w:eastAsia="Times New Roman" w:cs="Calibri"/>
                      <w:b/>
                      <w:bCs/>
                      <w:color w:val="FFFFFF"/>
                      <w:szCs w:val="20"/>
                    </w:rPr>
                    <w:t>Mean (95% CI)</w:t>
                  </w:r>
                </w:p>
              </w:tc>
              <w:tc>
                <w:tcPr>
                  <w:tcW w:w="1276" w:type="dxa"/>
                  <w:shd w:val="clear" w:color="auto" w:fill="005F85"/>
                  <w:vAlign w:val="center"/>
                </w:tcPr>
                <w:p w14:paraId="5A2136ED" w14:textId="77777777" w:rsidR="001025A2" w:rsidRPr="00505285" w:rsidRDefault="001025A2">
                  <w:pPr>
                    <w:keepNext/>
                    <w:spacing w:after="0" w:line="240" w:lineRule="auto"/>
                    <w:jc w:val="center"/>
                    <w:rPr>
                      <w:rFonts w:eastAsia="Times New Roman" w:cs="Calibri"/>
                      <w:color w:val="FFFFFF"/>
                      <w:szCs w:val="20"/>
                    </w:rPr>
                  </w:pPr>
                  <w:r w:rsidRPr="00505285">
                    <w:rPr>
                      <w:rFonts w:eastAsia="Times New Roman" w:cs="Calibri"/>
                      <w:b/>
                      <w:bCs/>
                      <w:color w:val="FFFFFF"/>
                      <w:szCs w:val="20"/>
                    </w:rPr>
                    <w:t>% less than EAR</w:t>
                  </w:r>
                </w:p>
              </w:tc>
              <w:tc>
                <w:tcPr>
                  <w:tcW w:w="1559" w:type="dxa"/>
                  <w:shd w:val="clear" w:color="auto" w:fill="005F85"/>
                  <w:vAlign w:val="center"/>
                </w:tcPr>
                <w:p w14:paraId="4744F6FE" w14:textId="77777777" w:rsidR="001025A2" w:rsidRPr="00505285" w:rsidRDefault="001025A2">
                  <w:pPr>
                    <w:keepNext/>
                    <w:spacing w:after="0" w:line="240" w:lineRule="auto"/>
                    <w:jc w:val="center"/>
                    <w:rPr>
                      <w:rFonts w:eastAsia="Times New Roman" w:cs="Calibri"/>
                      <w:color w:val="FFFFFF"/>
                      <w:szCs w:val="20"/>
                    </w:rPr>
                  </w:pPr>
                  <w:r w:rsidRPr="00505285">
                    <w:rPr>
                      <w:rFonts w:eastAsia="Times New Roman" w:cs="Calibri"/>
                      <w:b/>
                      <w:bCs/>
                      <w:color w:val="FFFFFF"/>
                      <w:szCs w:val="20"/>
                    </w:rPr>
                    <w:t>% exceeding UL</w:t>
                  </w:r>
                </w:p>
              </w:tc>
            </w:tr>
            <w:tr w:rsidR="001025A2" w:rsidRPr="00505285" w14:paraId="60BE2671" w14:textId="77777777">
              <w:trPr>
                <w:trHeight w:val="300"/>
              </w:trPr>
              <w:tc>
                <w:tcPr>
                  <w:tcW w:w="2582" w:type="dxa"/>
                  <w:vMerge w:val="restart"/>
                  <w:noWrap/>
                  <w:vAlign w:val="center"/>
                </w:tcPr>
                <w:p w14:paraId="72E73F86" w14:textId="77777777" w:rsidR="001025A2" w:rsidRPr="00505285" w:rsidRDefault="001025A2">
                  <w:pPr>
                    <w:keepNext/>
                    <w:spacing w:after="0" w:line="240" w:lineRule="auto"/>
                    <w:rPr>
                      <w:rFonts w:eastAsia="Times New Roman" w:cs="Calibri"/>
                      <w:szCs w:val="20"/>
                    </w:rPr>
                  </w:pPr>
                  <w:r w:rsidRPr="00505285">
                    <w:rPr>
                      <w:rFonts w:eastAsia="Times New Roman" w:cs="Calibri"/>
                      <w:szCs w:val="20"/>
                    </w:rPr>
                    <w:t xml:space="preserve">18 to &lt;30y / 19 to &lt;31y </w:t>
                  </w:r>
                </w:p>
              </w:tc>
              <w:tc>
                <w:tcPr>
                  <w:tcW w:w="1276" w:type="dxa"/>
                </w:tcPr>
                <w:p w14:paraId="2C7CF9E8"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Males</w:t>
                  </w:r>
                </w:p>
              </w:tc>
              <w:tc>
                <w:tcPr>
                  <w:tcW w:w="2835" w:type="dxa"/>
                </w:tcPr>
                <w:p w14:paraId="518C076E"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194</w:t>
                  </w:r>
                </w:p>
              </w:tc>
              <w:tc>
                <w:tcPr>
                  <w:tcW w:w="1843" w:type="dxa"/>
                </w:tcPr>
                <w:p w14:paraId="0405F21D" w14:textId="7D665BA2"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202 (120 </w:t>
                  </w:r>
                  <w:r w:rsidR="00667A3D">
                    <w:rPr>
                      <w:rFonts w:eastAsia="Times New Roman" w:cs="Calibri"/>
                      <w:color w:val="000000"/>
                      <w:szCs w:val="20"/>
                    </w:rPr>
                    <w:t>–</w:t>
                  </w:r>
                  <w:r w:rsidRPr="00505285">
                    <w:rPr>
                      <w:rFonts w:eastAsia="Times New Roman" w:cs="Calibri"/>
                      <w:color w:val="000000"/>
                      <w:szCs w:val="20"/>
                    </w:rPr>
                    <w:t xml:space="preserve"> 299)</w:t>
                  </w:r>
                </w:p>
              </w:tc>
              <w:tc>
                <w:tcPr>
                  <w:tcW w:w="1276" w:type="dxa"/>
                </w:tcPr>
                <w:p w14:paraId="7325EC44"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1.5%</w:t>
                  </w:r>
                </w:p>
              </w:tc>
              <w:tc>
                <w:tcPr>
                  <w:tcW w:w="1559" w:type="dxa"/>
                </w:tcPr>
                <w:p w14:paraId="10E5F394"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1025A2" w:rsidRPr="00505285" w14:paraId="02201D95" w14:textId="77777777">
              <w:trPr>
                <w:trHeight w:val="300"/>
              </w:trPr>
              <w:tc>
                <w:tcPr>
                  <w:tcW w:w="2582" w:type="dxa"/>
                  <w:vMerge/>
                  <w:noWrap/>
                  <w:vAlign w:val="center"/>
                </w:tcPr>
                <w:p w14:paraId="79D5A74C" w14:textId="77777777" w:rsidR="001025A2" w:rsidRPr="00505285" w:rsidRDefault="001025A2">
                  <w:pPr>
                    <w:keepNext/>
                    <w:spacing w:after="0" w:line="240" w:lineRule="auto"/>
                    <w:rPr>
                      <w:rFonts w:eastAsia="Times New Roman" w:cs="Calibri"/>
                      <w:szCs w:val="20"/>
                    </w:rPr>
                  </w:pPr>
                </w:p>
              </w:tc>
              <w:tc>
                <w:tcPr>
                  <w:tcW w:w="1276" w:type="dxa"/>
                </w:tcPr>
                <w:p w14:paraId="147FFE2E"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Females</w:t>
                  </w:r>
                </w:p>
              </w:tc>
              <w:tc>
                <w:tcPr>
                  <w:tcW w:w="2835" w:type="dxa"/>
                </w:tcPr>
                <w:p w14:paraId="0D46F006"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145</w:t>
                  </w:r>
                </w:p>
              </w:tc>
              <w:tc>
                <w:tcPr>
                  <w:tcW w:w="1843" w:type="dxa"/>
                </w:tcPr>
                <w:p w14:paraId="7572CA54" w14:textId="6B5CCCA8"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146 (86 </w:t>
                  </w:r>
                  <w:r w:rsidR="00667A3D">
                    <w:rPr>
                      <w:rFonts w:eastAsia="Times New Roman" w:cs="Calibri"/>
                      <w:color w:val="000000"/>
                      <w:szCs w:val="20"/>
                    </w:rPr>
                    <w:t>–</w:t>
                  </w:r>
                  <w:r w:rsidRPr="00505285">
                    <w:rPr>
                      <w:rFonts w:eastAsia="Times New Roman" w:cs="Calibri"/>
                      <w:color w:val="000000"/>
                      <w:szCs w:val="20"/>
                    </w:rPr>
                    <w:t xml:space="preserve"> 218)</w:t>
                  </w:r>
                </w:p>
              </w:tc>
              <w:tc>
                <w:tcPr>
                  <w:tcW w:w="1276" w:type="dxa"/>
                </w:tcPr>
                <w:p w14:paraId="4FC8E28A"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11.7%</w:t>
                  </w:r>
                </w:p>
              </w:tc>
              <w:tc>
                <w:tcPr>
                  <w:tcW w:w="1559" w:type="dxa"/>
                </w:tcPr>
                <w:p w14:paraId="68A7A2DE"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1025A2" w:rsidRPr="00505285" w14:paraId="3DEFC5E1" w14:textId="77777777">
              <w:trPr>
                <w:trHeight w:val="300"/>
              </w:trPr>
              <w:tc>
                <w:tcPr>
                  <w:tcW w:w="2582" w:type="dxa"/>
                  <w:vMerge w:val="restart"/>
                  <w:noWrap/>
                  <w:vAlign w:val="center"/>
                  <w:hideMark/>
                </w:tcPr>
                <w:p w14:paraId="251B8511" w14:textId="77777777" w:rsidR="001025A2" w:rsidRPr="00505285" w:rsidRDefault="001025A2">
                  <w:pPr>
                    <w:keepNext/>
                    <w:spacing w:after="0" w:line="240" w:lineRule="auto"/>
                    <w:rPr>
                      <w:rFonts w:eastAsia="Times New Roman" w:cs="Calibri"/>
                      <w:szCs w:val="20"/>
                    </w:rPr>
                  </w:pPr>
                  <w:r w:rsidRPr="00505285">
                    <w:rPr>
                      <w:rFonts w:eastAsia="Times New Roman" w:cs="Calibri"/>
                      <w:szCs w:val="20"/>
                    </w:rPr>
                    <w:t>20 to &lt;50y / 31 to &lt;51y</w:t>
                  </w:r>
                </w:p>
              </w:tc>
              <w:tc>
                <w:tcPr>
                  <w:tcW w:w="1276" w:type="dxa"/>
                </w:tcPr>
                <w:p w14:paraId="2BCCAFE7"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Males</w:t>
                  </w:r>
                </w:p>
              </w:tc>
              <w:tc>
                <w:tcPr>
                  <w:tcW w:w="2835" w:type="dxa"/>
                </w:tcPr>
                <w:p w14:paraId="6684E969"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197</w:t>
                  </w:r>
                </w:p>
              </w:tc>
              <w:tc>
                <w:tcPr>
                  <w:tcW w:w="1843" w:type="dxa"/>
                </w:tcPr>
                <w:p w14:paraId="13FB5FB4" w14:textId="220997ED"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200 (119 </w:t>
                  </w:r>
                  <w:r w:rsidR="00667A3D">
                    <w:rPr>
                      <w:rFonts w:eastAsia="Times New Roman" w:cs="Calibri"/>
                      <w:color w:val="000000"/>
                      <w:szCs w:val="20"/>
                    </w:rPr>
                    <w:t>–</w:t>
                  </w:r>
                  <w:r w:rsidRPr="00505285">
                    <w:rPr>
                      <w:rFonts w:eastAsia="Times New Roman" w:cs="Calibri"/>
                      <w:color w:val="000000"/>
                      <w:szCs w:val="20"/>
                    </w:rPr>
                    <w:t xml:space="preserve"> 297)</w:t>
                  </w:r>
                </w:p>
              </w:tc>
              <w:tc>
                <w:tcPr>
                  <w:tcW w:w="1276" w:type="dxa"/>
                </w:tcPr>
                <w:p w14:paraId="2D9327DA"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1.6%</w:t>
                  </w:r>
                </w:p>
              </w:tc>
              <w:tc>
                <w:tcPr>
                  <w:tcW w:w="1559" w:type="dxa"/>
                </w:tcPr>
                <w:p w14:paraId="016C972A"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1025A2" w:rsidRPr="00505285" w14:paraId="3D25E632" w14:textId="77777777">
              <w:trPr>
                <w:trHeight w:val="300"/>
              </w:trPr>
              <w:tc>
                <w:tcPr>
                  <w:tcW w:w="2582" w:type="dxa"/>
                  <w:vMerge/>
                  <w:noWrap/>
                  <w:vAlign w:val="center"/>
                </w:tcPr>
                <w:p w14:paraId="3287153E" w14:textId="77777777" w:rsidR="001025A2" w:rsidRPr="00505285" w:rsidRDefault="001025A2">
                  <w:pPr>
                    <w:keepNext/>
                    <w:spacing w:after="0" w:line="240" w:lineRule="auto"/>
                    <w:rPr>
                      <w:rFonts w:eastAsia="Times New Roman" w:cs="Calibri"/>
                      <w:szCs w:val="20"/>
                    </w:rPr>
                  </w:pPr>
                </w:p>
              </w:tc>
              <w:tc>
                <w:tcPr>
                  <w:tcW w:w="1276" w:type="dxa"/>
                </w:tcPr>
                <w:p w14:paraId="0346BBED"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Females</w:t>
                  </w:r>
                </w:p>
              </w:tc>
              <w:tc>
                <w:tcPr>
                  <w:tcW w:w="2835" w:type="dxa"/>
                </w:tcPr>
                <w:p w14:paraId="4BA422C0"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160</w:t>
                  </w:r>
                </w:p>
              </w:tc>
              <w:tc>
                <w:tcPr>
                  <w:tcW w:w="1843" w:type="dxa"/>
                </w:tcPr>
                <w:p w14:paraId="72D60DAB" w14:textId="1EB8D633"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152 (91 </w:t>
                  </w:r>
                  <w:r w:rsidR="00667A3D">
                    <w:rPr>
                      <w:rFonts w:eastAsia="Times New Roman" w:cs="Calibri"/>
                      <w:color w:val="000000"/>
                      <w:szCs w:val="20"/>
                    </w:rPr>
                    <w:t>–</w:t>
                  </w:r>
                  <w:r w:rsidRPr="00505285">
                    <w:rPr>
                      <w:rFonts w:eastAsia="Times New Roman" w:cs="Calibri"/>
                      <w:color w:val="000000"/>
                      <w:szCs w:val="20"/>
                    </w:rPr>
                    <w:t xml:space="preserve"> 226)</w:t>
                  </w:r>
                </w:p>
              </w:tc>
              <w:tc>
                <w:tcPr>
                  <w:tcW w:w="1276" w:type="dxa"/>
                </w:tcPr>
                <w:p w14:paraId="18D75BE0"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9.0%</w:t>
                  </w:r>
                </w:p>
              </w:tc>
              <w:tc>
                <w:tcPr>
                  <w:tcW w:w="1559" w:type="dxa"/>
                </w:tcPr>
                <w:p w14:paraId="18EC5281"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1025A2" w:rsidRPr="00505285" w14:paraId="417BCAAF" w14:textId="77777777">
              <w:trPr>
                <w:trHeight w:val="300"/>
              </w:trPr>
              <w:tc>
                <w:tcPr>
                  <w:tcW w:w="2582" w:type="dxa"/>
                  <w:vMerge w:val="restart"/>
                  <w:noWrap/>
                  <w:vAlign w:val="center"/>
                  <w:hideMark/>
                </w:tcPr>
                <w:p w14:paraId="71FCE301" w14:textId="77777777" w:rsidR="001025A2" w:rsidRPr="00505285" w:rsidRDefault="001025A2">
                  <w:pPr>
                    <w:keepNext/>
                    <w:spacing w:after="0" w:line="240" w:lineRule="auto"/>
                    <w:rPr>
                      <w:rFonts w:eastAsia="Times New Roman" w:cs="Calibri"/>
                      <w:szCs w:val="20"/>
                    </w:rPr>
                  </w:pPr>
                  <w:r w:rsidRPr="00505285">
                    <w:rPr>
                      <w:rFonts w:eastAsia="Times New Roman" w:cs="Calibri"/>
                      <w:szCs w:val="20"/>
                    </w:rPr>
                    <w:lastRenderedPageBreak/>
                    <w:t>50 to &lt;65y / 51-&lt;71y</w:t>
                  </w:r>
                </w:p>
              </w:tc>
              <w:tc>
                <w:tcPr>
                  <w:tcW w:w="1276" w:type="dxa"/>
                </w:tcPr>
                <w:p w14:paraId="0D9D8B36"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Males</w:t>
                  </w:r>
                </w:p>
              </w:tc>
              <w:tc>
                <w:tcPr>
                  <w:tcW w:w="2835" w:type="dxa"/>
                </w:tcPr>
                <w:p w14:paraId="6FF2552E"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200</w:t>
                  </w:r>
                </w:p>
              </w:tc>
              <w:tc>
                <w:tcPr>
                  <w:tcW w:w="1843" w:type="dxa"/>
                </w:tcPr>
                <w:p w14:paraId="3EBAB940" w14:textId="39B826D5"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182 (106 </w:t>
                  </w:r>
                  <w:r w:rsidR="00667A3D">
                    <w:rPr>
                      <w:rFonts w:eastAsia="Times New Roman" w:cs="Calibri"/>
                      <w:color w:val="000000"/>
                      <w:szCs w:val="20"/>
                    </w:rPr>
                    <w:t>–</w:t>
                  </w:r>
                  <w:r w:rsidRPr="00505285">
                    <w:rPr>
                      <w:rFonts w:eastAsia="Times New Roman" w:cs="Calibri"/>
                      <w:color w:val="000000"/>
                      <w:szCs w:val="20"/>
                    </w:rPr>
                    <w:t xml:space="preserve"> 274)</w:t>
                  </w:r>
                </w:p>
              </w:tc>
              <w:tc>
                <w:tcPr>
                  <w:tcW w:w="1276" w:type="dxa"/>
                </w:tcPr>
                <w:p w14:paraId="1C61A9B0"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3.5%</w:t>
                  </w:r>
                </w:p>
              </w:tc>
              <w:tc>
                <w:tcPr>
                  <w:tcW w:w="1559" w:type="dxa"/>
                </w:tcPr>
                <w:p w14:paraId="69B78BD1"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1025A2" w:rsidRPr="00505285" w14:paraId="10DD6CBB" w14:textId="77777777">
              <w:trPr>
                <w:trHeight w:val="300"/>
              </w:trPr>
              <w:tc>
                <w:tcPr>
                  <w:tcW w:w="2582" w:type="dxa"/>
                  <w:vMerge/>
                  <w:noWrap/>
                  <w:vAlign w:val="center"/>
                </w:tcPr>
                <w:p w14:paraId="451B7BC8" w14:textId="77777777" w:rsidR="001025A2" w:rsidRPr="00505285" w:rsidRDefault="001025A2">
                  <w:pPr>
                    <w:keepNext/>
                    <w:spacing w:after="0" w:line="240" w:lineRule="auto"/>
                    <w:rPr>
                      <w:rFonts w:eastAsia="Times New Roman" w:cs="Calibri"/>
                      <w:szCs w:val="20"/>
                    </w:rPr>
                  </w:pPr>
                </w:p>
              </w:tc>
              <w:tc>
                <w:tcPr>
                  <w:tcW w:w="1276" w:type="dxa"/>
                </w:tcPr>
                <w:p w14:paraId="4A688A30"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Females</w:t>
                  </w:r>
                </w:p>
              </w:tc>
              <w:tc>
                <w:tcPr>
                  <w:tcW w:w="2835" w:type="dxa"/>
                </w:tcPr>
                <w:p w14:paraId="278A27CF"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158</w:t>
                  </w:r>
                </w:p>
              </w:tc>
              <w:tc>
                <w:tcPr>
                  <w:tcW w:w="1843" w:type="dxa"/>
                </w:tcPr>
                <w:p w14:paraId="7A25F7E7" w14:textId="3DF5CBA1"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149 (89 </w:t>
                  </w:r>
                  <w:r w:rsidR="00667A3D">
                    <w:rPr>
                      <w:rFonts w:eastAsia="Times New Roman" w:cs="Calibri"/>
                      <w:color w:val="000000"/>
                      <w:szCs w:val="20"/>
                    </w:rPr>
                    <w:t>–</w:t>
                  </w:r>
                  <w:r w:rsidRPr="00505285">
                    <w:rPr>
                      <w:rFonts w:eastAsia="Times New Roman" w:cs="Calibri"/>
                      <w:color w:val="000000"/>
                      <w:szCs w:val="20"/>
                    </w:rPr>
                    <w:t xml:space="preserve"> 221)</w:t>
                  </w:r>
                </w:p>
              </w:tc>
              <w:tc>
                <w:tcPr>
                  <w:tcW w:w="1276" w:type="dxa"/>
                </w:tcPr>
                <w:p w14:paraId="1DA4529B"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10.5%</w:t>
                  </w:r>
                </w:p>
              </w:tc>
              <w:tc>
                <w:tcPr>
                  <w:tcW w:w="1559" w:type="dxa"/>
                </w:tcPr>
                <w:p w14:paraId="4401B72F"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1025A2" w:rsidRPr="00505285" w14:paraId="1F2AC374" w14:textId="77777777">
              <w:trPr>
                <w:trHeight w:val="300"/>
              </w:trPr>
              <w:tc>
                <w:tcPr>
                  <w:tcW w:w="2582" w:type="dxa"/>
                  <w:vMerge w:val="restart"/>
                  <w:noWrap/>
                  <w:vAlign w:val="center"/>
                  <w:hideMark/>
                </w:tcPr>
                <w:p w14:paraId="19A0EF91" w14:textId="77777777" w:rsidR="001025A2" w:rsidRPr="00505285" w:rsidRDefault="001025A2">
                  <w:pPr>
                    <w:keepNext/>
                    <w:spacing w:after="0" w:line="240" w:lineRule="auto"/>
                    <w:rPr>
                      <w:rFonts w:eastAsia="Times New Roman" w:cs="Calibri"/>
                      <w:szCs w:val="20"/>
                    </w:rPr>
                  </w:pPr>
                  <w:r w:rsidRPr="00505285">
                    <w:rPr>
                      <w:rFonts w:eastAsia="Times New Roman" w:cs="Calibri"/>
                      <w:szCs w:val="20"/>
                    </w:rPr>
                    <w:t>65 to &lt;75y / 71y +</w:t>
                  </w:r>
                </w:p>
              </w:tc>
              <w:tc>
                <w:tcPr>
                  <w:tcW w:w="1276" w:type="dxa"/>
                </w:tcPr>
                <w:p w14:paraId="4E1358E7"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Males</w:t>
                  </w:r>
                </w:p>
              </w:tc>
              <w:tc>
                <w:tcPr>
                  <w:tcW w:w="2835" w:type="dxa"/>
                </w:tcPr>
                <w:p w14:paraId="57467DD8"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191</w:t>
                  </w:r>
                </w:p>
              </w:tc>
              <w:tc>
                <w:tcPr>
                  <w:tcW w:w="1843" w:type="dxa"/>
                </w:tcPr>
                <w:p w14:paraId="46569ED6" w14:textId="073A74C9"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178 (103 </w:t>
                  </w:r>
                  <w:r w:rsidR="00667A3D">
                    <w:rPr>
                      <w:rFonts w:eastAsia="Times New Roman" w:cs="Calibri"/>
                      <w:color w:val="000000"/>
                      <w:szCs w:val="20"/>
                    </w:rPr>
                    <w:t>–</w:t>
                  </w:r>
                  <w:r w:rsidRPr="00505285">
                    <w:rPr>
                      <w:rFonts w:eastAsia="Times New Roman" w:cs="Calibri"/>
                      <w:color w:val="000000"/>
                      <w:szCs w:val="20"/>
                    </w:rPr>
                    <w:t xml:space="preserve"> 270)</w:t>
                  </w:r>
                </w:p>
              </w:tc>
              <w:tc>
                <w:tcPr>
                  <w:tcW w:w="1276" w:type="dxa"/>
                </w:tcPr>
                <w:p w14:paraId="041849A5"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4.2%</w:t>
                  </w:r>
                </w:p>
              </w:tc>
              <w:tc>
                <w:tcPr>
                  <w:tcW w:w="1559" w:type="dxa"/>
                </w:tcPr>
                <w:p w14:paraId="32CDE083"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1025A2" w:rsidRPr="00505285" w14:paraId="2398B7C8" w14:textId="77777777">
              <w:trPr>
                <w:trHeight w:val="300"/>
              </w:trPr>
              <w:tc>
                <w:tcPr>
                  <w:tcW w:w="2582" w:type="dxa"/>
                  <w:vMerge/>
                  <w:noWrap/>
                  <w:vAlign w:val="bottom"/>
                </w:tcPr>
                <w:p w14:paraId="46990604" w14:textId="77777777" w:rsidR="001025A2" w:rsidRPr="00505285" w:rsidRDefault="001025A2">
                  <w:pPr>
                    <w:keepNext/>
                    <w:spacing w:after="0" w:line="240" w:lineRule="auto"/>
                    <w:rPr>
                      <w:rFonts w:eastAsia="Times New Roman" w:cs="Calibri"/>
                      <w:b/>
                      <w:bCs/>
                      <w:szCs w:val="20"/>
                    </w:rPr>
                  </w:pPr>
                </w:p>
              </w:tc>
              <w:tc>
                <w:tcPr>
                  <w:tcW w:w="1276" w:type="dxa"/>
                </w:tcPr>
                <w:p w14:paraId="7788AF3A"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Females</w:t>
                  </w:r>
                </w:p>
              </w:tc>
              <w:tc>
                <w:tcPr>
                  <w:tcW w:w="2835" w:type="dxa"/>
                </w:tcPr>
                <w:p w14:paraId="51B733DD"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167</w:t>
                  </w:r>
                </w:p>
              </w:tc>
              <w:tc>
                <w:tcPr>
                  <w:tcW w:w="1843" w:type="dxa"/>
                </w:tcPr>
                <w:p w14:paraId="7C4D7F6C" w14:textId="356BD76C"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151 (91 </w:t>
                  </w:r>
                  <w:r w:rsidR="00667A3D">
                    <w:rPr>
                      <w:rFonts w:eastAsia="Times New Roman" w:cs="Calibri"/>
                      <w:color w:val="000000"/>
                      <w:szCs w:val="20"/>
                    </w:rPr>
                    <w:t>–</w:t>
                  </w:r>
                  <w:r w:rsidRPr="00505285">
                    <w:rPr>
                      <w:rFonts w:eastAsia="Times New Roman" w:cs="Calibri"/>
                      <w:color w:val="000000"/>
                      <w:szCs w:val="20"/>
                    </w:rPr>
                    <w:t xml:space="preserve"> 224)</w:t>
                  </w:r>
                </w:p>
              </w:tc>
              <w:tc>
                <w:tcPr>
                  <w:tcW w:w="1276" w:type="dxa"/>
                </w:tcPr>
                <w:p w14:paraId="441E3FC8"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9.2%</w:t>
                  </w:r>
                </w:p>
              </w:tc>
              <w:tc>
                <w:tcPr>
                  <w:tcW w:w="1559" w:type="dxa"/>
                </w:tcPr>
                <w:p w14:paraId="5781A4B6"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1025A2" w:rsidRPr="00505285" w14:paraId="109EFE96" w14:textId="77777777">
              <w:trPr>
                <w:trHeight w:val="300"/>
              </w:trPr>
              <w:tc>
                <w:tcPr>
                  <w:tcW w:w="2582" w:type="dxa"/>
                  <w:vMerge w:val="restart"/>
                  <w:noWrap/>
                  <w:vAlign w:val="center"/>
                </w:tcPr>
                <w:p w14:paraId="34CF2915" w14:textId="77777777" w:rsidR="001025A2" w:rsidRPr="00505285" w:rsidRDefault="001025A2">
                  <w:pPr>
                    <w:keepNext/>
                    <w:spacing w:after="0" w:line="240" w:lineRule="auto"/>
                    <w:rPr>
                      <w:rFonts w:eastAsia="Times New Roman" w:cs="Calibri"/>
                      <w:b/>
                      <w:bCs/>
                      <w:szCs w:val="20"/>
                    </w:rPr>
                  </w:pPr>
                  <w:r w:rsidRPr="00505285">
                    <w:rPr>
                      <w:rFonts w:eastAsia="Times New Roman" w:cs="Calibri"/>
                      <w:szCs w:val="20"/>
                    </w:rPr>
                    <w:t>75 y + / 71 y +</w:t>
                  </w:r>
                </w:p>
              </w:tc>
              <w:tc>
                <w:tcPr>
                  <w:tcW w:w="1276" w:type="dxa"/>
                </w:tcPr>
                <w:p w14:paraId="0A67D1AA"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Males</w:t>
                  </w:r>
                </w:p>
              </w:tc>
              <w:tc>
                <w:tcPr>
                  <w:tcW w:w="2835" w:type="dxa"/>
                </w:tcPr>
                <w:p w14:paraId="4BE321BA"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193</w:t>
                  </w:r>
                </w:p>
              </w:tc>
              <w:tc>
                <w:tcPr>
                  <w:tcW w:w="1843" w:type="dxa"/>
                </w:tcPr>
                <w:p w14:paraId="6391B489" w14:textId="3A6D34B1"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178 (103 </w:t>
                  </w:r>
                  <w:r w:rsidR="00667A3D">
                    <w:rPr>
                      <w:rFonts w:eastAsia="Times New Roman" w:cs="Calibri"/>
                      <w:color w:val="000000"/>
                      <w:szCs w:val="20"/>
                    </w:rPr>
                    <w:t>–</w:t>
                  </w:r>
                  <w:r w:rsidRPr="00505285">
                    <w:rPr>
                      <w:rFonts w:eastAsia="Times New Roman" w:cs="Calibri"/>
                      <w:color w:val="000000"/>
                      <w:szCs w:val="20"/>
                    </w:rPr>
                    <w:t xml:space="preserve"> 270)</w:t>
                  </w:r>
                </w:p>
              </w:tc>
              <w:tc>
                <w:tcPr>
                  <w:tcW w:w="1276" w:type="dxa"/>
                </w:tcPr>
                <w:p w14:paraId="67C7CF0C"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4.2%</w:t>
                  </w:r>
                </w:p>
              </w:tc>
              <w:tc>
                <w:tcPr>
                  <w:tcW w:w="1559" w:type="dxa"/>
                </w:tcPr>
                <w:p w14:paraId="775EF30C"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1025A2" w:rsidRPr="00505285" w14:paraId="07F5D5E8" w14:textId="77777777">
              <w:trPr>
                <w:trHeight w:val="300"/>
              </w:trPr>
              <w:tc>
                <w:tcPr>
                  <w:tcW w:w="2582" w:type="dxa"/>
                  <w:vMerge/>
                  <w:noWrap/>
                  <w:vAlign w:val="bottom"/>
                </w:tcPr>
                <w:p w14:paraId="3E997145" w14:textId="77777777" w:rsidR="001025A2" w:rsidRPr="00505285" w:rsidRDefault="001025A2">
                  <w:pPr>
                    <w:keepNext/>
                    <w:spacing w:after="0" w:line="240" w:lineRule="auto"/>
                    <w:rPr>
                      <w:rFonts w:eastAsia="Times New Roman" w:cs="Calibri"/>
                      <w:b/>
                      <w:bCs/>
                      <w:szCs w:val="20"/>
                    </w:rPr>
                  </w:pPr>
                </w:p>
              </w:tc>
              <w:tc>
                <w:tcPr>
                  <w:tcW w:w="1276" w:type="dxa"/>
                </w:tcPr>
                <w:p w14:paraId="1F9B476C"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Females</w:t>
                  </w:r>
                </w:p>
              </w:tc>
              <w:tc>
                <w:tcPr>
                  <w:tcW w:w="2835" w:type="dxa"/>
                </w:tcPr>
                <w:p w14:paraId="230FCE88"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165</w:t>
                  </w:r>
                </w:p>
              </w:tc>
              <w:tc>
                <w:tcPr>
                  <w:tcW w:w="1843" w:type="dxa"/>
                </w:tcPr>
                <w:p w14:paraId="3072F825" w14:textId="1810354D"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 xml:space="preserve">151 (91 </w:t>
                  </w:r>
                  <w:r w:rsidR="00667A3D">
                    <w:rPr>
                      <w:rFonts w:eastAsia="Times New Roman" w:cs="Calibri"/>
                      <w:color w:val="000000"/>
                      <w:szCs w:val="20"/>
                    </w:rPr>
                    <w:t>–</w:t>
                  </w:r>
                  <w:r w:rsidRPr="00505285">
                    <w:rPr>
                      <w:rFonts w:eastAsia="Times New Roman" w:cs="Calibri"/>
                      <w:color w:val="000000"/>
                      <w:szCs w:val="20"/>
                    </w:rPr>
                    <w:t xml:space="preserve"> 224)</w:t>
                  </w:r>
                </w:p>
              </w:tc>
              <w:tc>
                <w:tcPr>
                  <w:tcW w:w="1276" w:type="dxa"/>
                </w:tcPr>
                <w:p w14:paraId="45A67AE2"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9.2%</w:t>
                  </w:r>
                </w:p>
              </w:tc>
              <w:tc>
                <w:tcPr>
                  <w:tcW w:w="1559" w:type="dxa"/>
                </w:tcPr>
                <w:p w14:paraId="1EC508F8" w14:textId="77777777" w:rsidR="001025A2" w:rsidRPr="00505285" w:rsidRDefault="001025A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bl>
          <w:p w14:paraId="7D1BE784" w14:textId="77777777" w:rsidR="001025A2" w:rsidRPr="00505285" w:rsidRDefault="001025A2">
            <w:pPr>
              <w:cnfStyle w:val="000000100000" w:firstRow="0" w:lastRow="0" w:firstColumn="0" w:lastColumn="0" w:oddVBand="0" w:evenVBand="0" w:oddHBand="1" w:evenHBand="0" w:firstRowFirstColumn="0" w:firstRowLastColumn="0" w:lastRowFirstColumn="0" w:lastRowLastColumn="0"/>
              <w:rPr>
                <w:rFonts w:eastAsia="Times New Roman" w:cs="Arial"/>
                <w:szCs w:val="20"/>
              </w:rPr>
            </w:pPr>
          </w:p>
          <w:p w14:paraId="328DA2AC" w14:textId="77777777" w:rsidR="001025A2" w:rsidRPr="00505285" w:rsidRDefault="001025A2">
            <w:pPr>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Populations with history of deficiency can be more sensitive to effects of excess. It has been suggested that this sensitivity should abate within 7- 8 years following fortification (Braverman and Pearce, 2025). Mandatory fortification was introduced more than 15 years ago in Australia and New Zealand and subsequent national surveys reported sufficiency in most populations. However, those subpopulations for whom mild deficiency remains a concern (such as females aged 25-44) may be more sensitive to effects of excess. </w:t>
            </w:r>
          </w:p>
        </w:tc>
      </w:tr>
      <w:tr w:rsidR="001025A2" w:rsidRPr="00505285" w14:paraId="225DE346" w14:textId="77777777" w:rsidTr="008029A1">
        <w:trPr>
          <w:gridAfter w:val="1"/>
          <w:wAfter w:w="55" w:type="dxa"/>
        </w:trPr>
        <w:tc>
          <w:tcPr>
            <w:cnfStyle w:val="001000000000" w:firstRow="0" w:lastRow="0" w:firstColumn="1" w:lastColumn="0" w:oddVBand="0" w:evenVBand="0" w:oddHBand="0" w:evenHBand="0" w:firstRowFirstColumn="0" w:firstRowLastColumn="0" w:lastRowFirstColumn="0" w:lastRowLastColumn="0"/>
            <w:tcW w:w="1987" w:type="dxa"/>
          </w:tcPr>
          <w:p w14:paraId="52B29F34" w14:textId="77777777" w:rsidR="001025A2" w:rsidRPr="00505285" w:rsidRDefault="001025A2">
            <w:pPr>
              <w:rPr>
                <w:rFonts w:eastAsia="Times New Roman" w:cs="Arial"/>
                <w:szCs w:val="20"/>
              </w:rPr>
            </w:pPr>
            <w:r w:rsidRPr="00505285">
              <w:rPr>
                <w:rFonts w:eastAsia="Times New Roman" w:cs="Arial"/>
                <w:szCs w:val="20"/>
              </w:rPr>
              <w:lastRenderedPageBreak/>
              <w:t>Benchmarking against comparable international jurisdictions</w:t>
            </w:r>
          </w:p>
        </w:tc>
        <w:tc>
          <w:tcPr>
            <w:tcW w:w="12757" w:type="dxa"/>
            <w:gridSpan w:val="3"/>
          </w:tcPr>
          <w:p w14:paraId="299278D1"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roofErr w:type="gramStart"/>
            <w:r w:rsidRPr="00505285">
              <w:rPr>
                <w:rFonts w:eastAsia="Times New Roman" w:cs="Times New Roman"/>
                <w:szCs w:val="20"/>
              </w:rPr>
              <w:t>Upper Level</w:t>
            </w:r>
            <w:proofErr w:type="gramEnd"/>
            <w:r w:rsidRPr="00505285">
              <w:rPr>
                <w:rFonts w:eastAsia="Times New Roman" w:cs="Times New Roman"/>
                <w:szCs w:val="20"/>
              </w:rPr>
              <w:t xml:space="preserve"> recommendations vary substantially internationally. The 2006 NRVs currently recommend a UL of 1100 µg/day, in line with recommendations for the US and Canada (</w:t>
            </w:r>
            <w:r w:rsidRPr="00505285">
              <w:rPr>
                <w:rFonts w:eastAsia="Arial" w:cs="Arial"/>
                <w:szCs w:val="20"/>
              </w:rPr>
              <w:t>NHMRC, 2006; US IOM, 2001)</w:t>
            </w:r>
            <w:r w:rsidRPr="00505285">
              <w:rPr>
                <w:rFonts w:eastAsia="Times New Roman" w:cs="Times New Roman"/>
                <w:szCs w:val="20"/>
              </w:rPr>
              <w:t xml:space="preserve">. However, these recommendations are based on evidence from 2001 and have not been recently reviewed. </w:t>
            </w:r>
          </w:p>
          <w:p w14:paraId="7331A51E" w14:textId="4F607E43"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 xml:space="preserve">EFSA established an UL of 600µg/day (EFSA, 2003), derived from the same evidence-base as the current 2006 NRVs (Paul et. </w:t>
            </w:r>
            <w:r w:rsidR="00667A3D" w:rsidRPr="00505285">
              <w:rPr>
                <w:rFonts w:eastAsia="Times New Roman" w:cs="Times New Roman"/>
                <w:szCs w:val="20"/>
              </w:rPr>
              <w:t>A</w:t>
            </w:r>
            <w:r w:rsidRPr="00505285">
              <w:rPr>
                <w:rFonts w:eastAsia="Times New Roman" w:cs="Times New Roman"/>
                <w:szCs w:val="20"/>
              </w:rPr>
              <w:t xml:space="preserve">l. 1988, Gardner et. </w:t>
            </w:r>
            <w:r w:rsidR="00667A3D" w:rsidRPr="00505285">
              <w:rPr>
                <w:rFonts w:eastAsia="Times New Roman" w:cs="Times New Roman"/>
                <w:szCs w:val="20"/>
              </w:rPr>
              <w:t>A</w:t>
            </w:r>
            <w:r w:rsidRPr="00505285">
              <w:rPr>
                <w:rFonts w:eastAsia="Times New Roman" w:cs="Times New Roman"/>
                <w:szCs w:val="20"/>
              </w:rPr>
              <w:t>l. 1988), but applying an Uncertainty Factor of 3, compared with the 1.5 factor applied by the US / Canada and Australia (US IOM 2001; NHMRC 2006).</w:t>
            </w:r>
          </w:p>
          <w:p w14:paraId="52985CC5"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More recently, the Nordic Nutrition Recommendations 2023 (</w:t>
            </w:r>
            <w:proofErr w:type="spellStart"/>
            <w:r w:rsidRPr="00505285">
              <w:rPr>
                <w:rFonts w:eastAsia="Times New Roman" w:cs="Times New Roman"/>
                <w:szCs w:val="20"/>
              </w:rPr>
              <w:t>Blomhoff</w:t>
            </w:r>
            <w:proofErr w:type="spellEnd"/>
            <w:r w:rsidRPr="00505285">
              <w:rPr>
                <w:rFonts w:eastAsia="Times New Roman" w:cs="Times New Roman"/>
                <w:szCs w:val="20"/>
              </w:rPr>
              <w:t xml:space="preserve"> et al. 2023) and Chinese Dietary Reference Intake reviews recommended that the UL for adults be set at 600 µg/day, with the latter deriving its recommendations from the 2012 Sang study (Guo et al 2025). </w:t>
            </w:r>
          </w:p>
          <w:p w14:paraId="3A2BC88F"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In other jurisdictions, recommendations vary from 500 µg/day in Germany and Austria (D-A-CH, 2015) to as high as 2400-3000 µg/day in Korea and Japan respectively (Guo et al 2025), although chronic high intakes in these countries mean that recommendations are not comparable to the Australian and New Zealand context.</w:t>
            </w:r>
          </w:p>
          <w:p w14:paraId="3CB9EB5E" w14:textId="77777777" w:rsidR="001025A2" w:rsidRDefault="001025A2">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roofErr w:type="gramStart"/>
            <w:r w:rsidRPr="00505285">
              <w:rPr>
                <w:rFonts w:eastAsia="Times New Roman" w:cs="Times New Roman"/>
                <w:szCs w:val="20"/>
              </w:rPr>
              <w:t>Upper Level</w:t>
            </w:r>
            <w:proofErr w:type="gramEnd"/>
            <w:r w:rsidRPr="00505285">
              <w:rPr>
                <w:rFonts w:eastAsia="Times New Roman" w:cs="Times New Roman"/>
                <w:szCs w:val="20"/>
              </w:rPr>
              <w:t xml:space="preserve"> recommendations from comparable international jurisdictions are presented in Table 2 below.</w:t>
            </w:r>
          </w:p>
          <w:p w14:paraId="72760BE2" w14:textId="77777777" w:rsidR="00685A0E" w:rsidRPr="00505285" w:rsidRDefault="00685A0E">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p w14:paraId="438751AF" w14:textId="6CCB7870" w:rsidR="001025A2" w:rsidRPr="00505285" w:rsidRDefault="001025A2">
            <w:pPr>
              <w:keepNext/>
              <w:spacing w:after="200"/>
              <w:cnfStyle w:val="000000000000" w:firstRow="0" w:lastRow="0" w:firstColumn="0" w:lastColumn="0" w:oddVBand="0" w:evenVBand="0" w:oddHBand="0" w:evenHBand="0" w:firstRowFirstColumn="0" w:firstRowLastColumn="0" w:lastRowFirstColumn="0" w:lastRowLastColumn="0"/>
              <w:rPr>
                <w:rFonts w:eastAsia="Arial" w:cs="Arial"/>
                <w:iCs/>
                <w:caps/>
                <w:szCs w:val="20"/>
              </w:rPr>
            </w:pPr>
            <w:r w:rsidRPr="00505285">
              <w:rPr>
                <w:rFonts w:eastAsia="Arial" w:cs="Arial"/>
                <w:iCs/>
                <w:caps/>
                <w:szCs w:val="20"/>
              </w:rPr>
              <w:lastRenderedPageBreak/>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2</w:t>
            </w:r>
            <w:r w:rsidRPr="00505285">
              <w:rPr>
                <w:rFonts w:eastAsia="Arial" w:cs="Arial"/>
                <w:iCs/>
                <w:caps/>
                <w:noProof/>
                <w:szCs w:val="20"/>
              </w:rPr>
              <w:fldChar w:fldCharType="end"/>
            </w:r>
            <w:r w:rsidRPr="00505285">
              <w:rPr>
                <w:rFonts w:eastAsia="Arial" w:cs="Arial"/>
                <w:iCs/>
                <w:caps/>
                <w:szCs w:val="20"/>
              </w:rPr>
              <w:t xml:space="preserve"> </w:t>
            </w:r>
            <w:r w:rsidR="00667A3D">
              <w:rPr>
                <w:rFonts w:eastAsia="Arial" w:cs="Arial"/>
                <w:iCs/>
                <w:caps/>
                <w:szCs w:val="20"/>
              </w:rPr>
              <w:t>–</w:t>
            </w:r>
            <w:r w:rsidRPr="00505285">
              <w:rPr>
                <w:rFonts w:eastAsia="Arial" w:cs="Arial"/>
                <w:iCs/>
                <w:caps/>
                <w:szCs w:val="20"/>
              </w:rPr>
              <w:t xml:space="preserve"> ADULT </w:t>
            </w:r>
            <w:proofErr w:type="gramStart"/>
            <w:r w:rsidRPr="00505285">
              <w:rPr>
                <w:rFonts w:eastAsia="Arial" w:cs="Arial"/>
                <w:iCs/>
                <w:caps/>
                <w:szCs w:val="20"/>
              </w:rPr>
              <w:t>UPPER LEVEL</w:t>
            </w:r>
            <w:proofErr w:type="gramEnd"/>
            <w:r w:rsidRPr="00505285">
              <w:rPr>
                <w:rFonts w:eastAsia="Arial" w:cs="Arial"/>
                <w:iCs/>
                <w:caps/>
                <w:szCs w:val="20"/>
              </w:rPr>
              <w:t xml:space="preserve"> RECOMMENDATIONS</w:t>
            </w:r>
            <w:r w:rsidRPr="00505285">
              <w:rPr>
                <w:rFonts w:eastAsia="Arial" w:cs="Arial"/>
                <w:iCs/>
                <w:caps/>
                <w:noProof/>
                <w:szCs w:val="20"/>
              </w:rPr>
              <w:t xml:space="preserve"> ACROSS COMPARABLE JURISDICTIONS</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418"/>
              <w:gridCol w:w="1559"/>
              <w:gridCol w:w="1276"/>
              <w:gridCol w:w="1276"/>
              <w:gridCol w:w="1275"/>
              <w:gridCol w:w="1276"/>
            </w:tblGrid>
            <w:tr w:rsidR="001025A2" w:rsidRPr="00505285" w14:paraId="06BC7F63" w14:textId="77777777">
              <w:trPr>
                <w:trHeight w:val="900"/>
              </w:trPr>
              <w:tc>
                <w:tcPr>
                  <w:tcW w:w="1909" w:type="dxa"/>
                  <w:shd w:val="clear" w:color="auto" w:fill="005F85"/>
                  <w:vAlign w:val="bottom"/>
                  <w:hideMark/>
                </w:tcPr>
                <w:p w14:paraId="39558CED" w14:textId="77777777" w:rsidR="001025A2" w:rsidRPr="00505285" w:rsidRDefault="001025A2">
                  <w:pPr>
                    <w:spacing w:after="0" w:line="240" w:lineRule="auto"/>
                    <w:rPr>
                      <w:rFonts w:eastAsia="Times New Roman"/>
                      <w:b/>
                      <w:bCs/>
                      <w:color w:val="FFFFFF"/>
                      <w:szCs w:val="20"/>
                    </w:rPr>
                  </w:pPr>
                  <w:r w:rsidRPr="00505285">
                    <w:rPr>
                      <w:rFonts w:eastAsia="Times New Roman"/>
                      <w:b/>
                      <w:bCs/>
                      <w:color w:val="FFFFFF"/>
                      <w:szCs w:val="20"/>
                    </w:rPr>
                    <w:t>Age (years)</w:t>
                  </w:r>
                </w:p>
              </w:tc>
              <w:tc>
                <w:tcPr>
                  <w:tcW w:w="1418" w:type="dxa"/>
                  <w:shd w:val="clear" w:color="auto" w:fill="005F85"/>
                  <w:vAlign w:val="bottom"/>
                </w:tcPr>
                <w:p w14:paraId="220C3E96"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Proposed ANZ</w:t>
                  </w:r>
                </w:p>
                <w:p w14:paraId="4AC9B5D7"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UL</w:t>
                  </w:r>
                </w:p>
                <w:p w14:paraId="3751DF89"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559" w:type="dxa"/>
                  <w:shd w:val="clear" w:color="auto" w:fill="005F85"/>
                  <w:vAlign w:val="bottom"/>
                  <w:hideMark/>
                </w:tcPr>
                <w:p w14:paraId="5AF949DC"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NHMRC (2006)</w:t>
                  </w:r>
                </w:p>
                <w:p w14:paraId="28935484"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Current UL</w:t>
                  </w:r>
                </w:p>
                <w:p w14:paraId="371E0C64"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276" w:type="dxa"/>
                  <w:shd w:val="clear" w:color="auto" w:fill="005F85"/>
                  <w:vAlign w:val="bottom"/>
                  <w:hideMark/>
                </w:tcPr>
                <w:p w14:paraId="16CE3A43"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EFSA (2002)</w:t>
                  </w:r>
                </w:p>
                <w:p w14:paraId="009DDF54"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 xml:space="preserve">UL </w:t>
                  </w:r>
                </w:p>
                <w:p w14:paraId="438D5BD4"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276" w:type="dxa"/>
                  <w:shd w:val="clear" w:color="auto" w:fill="005F85"/>
                  <w:vAlign w:val="bottom"/>
                  <w:hideMark/>
                </w:tcPr>
                <w:p w14:paraId="2108A458"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 xml:space="preserve">NNR </w:t>
                  </w:r>
                </w:p>
                <w:p w14:paraId="6395781E"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(2023)</w:t>
                  </w:r>
                </w:p>
                <w:p w14:paraId="782E00EB"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UL</w:t>
                  </w:r>
                </w:p>
                <w:p w14:paraId="17E63867"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275" w:type="dxa"/>
                  <w:shd w:val="clear" w:color="auto" w:fill="005F85"/>
                  <w:vAlign w:val="bottom"/>
                </w:tcPr>
                <w:p w14:paraId="760E72CC"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 xml:space="preserve">WHO </w:t>
                  </w:r>
                </w:p>
                <w:p w14:paraId="235702D5"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(2004)</w:t>
                  </w:r>
                </w:p>
                <w:p w14:paraId="5C146FA2"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UL^</w:t>
                  </w:r>
                </w:p>
                <w:p w14:paraId="170B73EB"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276" w:type="dxa"/>
                  <w:shd w:val="clear" w:color="auto" w:fill="005F85"/>
                  <w:vAlign w:val="bottom"/>
                </w:tcPr>
                <w:p w14:paraId="2D6ABE96"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D-A-C-H (2015)</w:t>
                  </w:r>
                </w:p>
                <w:p w14:paraId="731E4D84"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UL</w:t>
                  </w:r>
                </w:p>
                <w:p w14:paraId="6C90B6AA" w14:textId="77777777" w:rsidR="001025A2" w:rsidRPr="00505285" w:rsidRDefault="001025A2">
                  <w:pPr>
                    <w:spacing w:after="0" w:line="240" w:lineRule="auto"/>
                    <w:jc w:val="center"/>
                    <w:rPr>
                      <w:rFonts w:eastAsia="Times New Roman"/>
                      <w:b/>
                      <w:bCs/>
                      <w:color w:val="FFFFFF"/>
                      <w:szCs w:val="20"/>
                    </w:rPr>
                  </w:pPr>
                  <w:r w:rsidRPr="00505285">
                    <w:rPr>
                      <w:rFonts w:eastAsia="Times New Roman"/>
                      <w:b/>
                      <w:bCs/>
                      <w:color w:val="FFFFFF"/>
                      <w:szCs w:val="20"/>
                    </w:rPr>
                    <w:t>(µg/day)</w:t>
                  </w:r>
                </w:p>
              </w:tc>
            </w:tr>
            <w:tr w:rsidR="001025A2" w:rsidRPr="00505285" w14:paraId="7D6D255E" w14:textId="77777777">
              <w:trPr>
                <w:trHeight w:val="300"/>
              </w:trPr>
              <w:tc>
                <w:tcPr>
                  <w:tcW w:w="1909" w:type="dxa"/>
                  <w:noWrap/>
                  <w:vAlign w:val="center"/>
                </w:tcPr>
                <w:p w14:paraId="086FB489" w14:textId="77777777" w:rsidR="001025A2" w:rsidRPr="00505285" w:rsidRDefault="001025A2">
                  <w:pPr>
                    <w:spacing w:after="0" w:line="240" w:lineRule="auto"/>
                    <w:rPr>
                      <w:rFonts w:eastAsia="Times New Roman"/>
                      <w:color w:val="000000"/>
                      <w:szCs w:val="20"/>
                    </w:rPr>
                  </w:pPr>
                  <w:r w:rsidRPr="00505285">
                    <w:rPr>
                      <w:rFonts w:eastAsia="Times New Roman"/>
                      <w:color w:val="000000"/>
                      <w:szCs w:val="20"/>
                    </w:rPr>
                    <w:t>Adults 18 +years</w:t>
                  </w:r>
                </w:p>
              </w:tc>
              <w:tc>
                <w:tcPr>
                  <w:tcW w:w="1418" w:type="dxa"/>
                  <w:vAlign w:val="center"/>
                </w:tcPr>
                <w:p w14:paraId="406DAEC1" w14:textId="77777777" w:rsidR="001025A2" w:rsidRPr="00505285" w:rsidRDefault="001025A2">
                  <w:pPr>
                    <w:spacing w:after="0" w:line="240" w:lineRule="auto"/>
                    <w:jc w:val="center"/>
                    <w:rPr>
                      <w:rFonts w:eastAsia="Times New Roman"/>
                      <w:color w:val="000000"/>
                      <w:szCs w:val="20"/>
                    </w:rPr>
                  </w:pPr>
                  <w:r w:rsidRPr="00505285">
                    <w:rPr>
                      <w:rFonts w:eastAsia="Times New Roman"/>
                      <w:color w:val="000000"/>
                      <w:szCs w:val="20"/>
                    </w:rPr>
                    <w:t>600</w:t>
                  </w:r>
                </w:p>
              </w:tc>
              <w:tc>
                <w:tcPr>
                  <w:tcW w:w="1559" w:type="dxa"/>
                  <w:noWrap/>
                  <w:vAlign w:val="center"/>
                </w:tcPr>
                <w:p w14:paraId="4AD60ACA" w14:textId="77777777" w:rsidR="001025A2" w:rsidRPr="00505285" w:rsidRDefault="001025A2">
                  <w:pPr>
                    <w:spacing w:after="0" w:line="240" w:lineRule="auto"/>
                    <w:jc w:val="center"/>
                    <w:rPr>
                      <w:rFonts w:eastAsia="Times New Roman"/>
                      <w:color w:val="000000"/>
                      <w:szCs w:val="20"/>
                    </w:rPr>
                  </w:pPr>
                  <w:r w:rsidRPr="00505285">
                    <w:rPr>
                      <w:rFonts w:eastAsia="Times New Roman"/>
                      <w:color w:val="000000"/>
                      <w:szCs w:val="20"/>
                    </w:rPr>
                    <w:t>1,100</w:t>
                  </w:r>
                </w:p>
              </w:tc>
              <w:tc>
                <w:tcPr>
                  <w:tcW w:w="1276" w:type="dxa"/>
                  <w:noWrap/>
                  <w:vAlign w:val="center"/>
                </w:tcPr>
                <w:p w14:paraId="1068B7B6" w14:textId="77777777" w:rsidR="001025A2" w:rsidRPr="00505285" w:rsidRDefault="001025A2">
                  <w:pPr>
                    <w:spacing w:after="0" w:line="240" w:lineRule="auto"/>
                    <w:jc w:val="center"/>
                    <w:rPr>
                      <w:rFonts w:eastAsia="Times New Roman"/>
                      <w:color w:val="000000"/>
                      <w:szCs w:val="20"/>
                    </w:rPr>
                  </w:pPr>
                  <w:r w:rsidRPr="00505285">
                    <w:rPr>
                      <w:rFonts w:eastAsia="Times New Roman"/>
                      <w:color w:val="000000"/>
                      <w:szCs w:val="20"/>
                    </w:rPr>
                    <w:t>600</w:t>
                  </w:r>
                </w:p>
              </w:tc>
              <w:tc>
                <w:tcPr>
                  <w:tcW w:w="1276" w:type="dxa"/>
                  <w:noWrap/>
                  <w:vAlign w:val="center"/>
                </w:tcPr>
                <w:p w14:paraId="1C5C69CE" w14:textId="77777777" w:rsidR="001025A2" w:rsidRPr="00505285" w:rsidRDefault="001025A2">
                  <w:pPr>
                    <w:spacing w:after="0" w:line="240" w:lineRule="auto"/>
                    <w:jc w:val="center"/>
                    <w:rPr>
                      <w:rFonts w:eastAsia="Times New Roman"/>
                      <w:color w:val="000000"/>
                      <w:szCs w:val="20"/>
                    </w:rPr>
                  </w:pPr>
                  <w:r w:rsidRPr="00505285">
                    <w:rPr>
                      <w:rFonts w:eastAsia="Times New Roman"/>
                      <w:color w:val="000000"/>
                      <w:szCs w:val="20"/>
                    </w:rPr>
                    <w:t>600</w:t>
                  </w:r>
                </w:p>
              </w:tc>
              <w:tc>
                <w:tcPr>
                  <w:tcW w:w="1275" w:type="dxa"/>
                  <w:vAlign w:val="center"/>
                </w:tcPr>
                <w:p w14:paraId="2053CF84" w14:textId="77777777" w:rsidR="001025A2" w:rsidRPr="00505285" w:rsidRDefault="001025A2">
                  <w:pPr>
                    <w:spacing w:after="0" w:line="240" w:lineRule="auto"/>
                    <w:jc w:val="center"/>
                    <w:rPr>
                      <w:rFonts w:eastAsia="Times New Roman"/>
                      <w:color w:val="000000"/>
                      <w:szCs w:val="20"/>
                    </w:rPr>
                  </w:pPr>
                  <w:r w:rsidRPr="00505285">
                    <w:rPr>
                      <w:rFonts w:eastAsia="Times New Roman"/>
                      <w:color w:val="000000"/>
                      <w:szCs w:val="20"/>
                    </w:rPr>
                    <w:t>1,875</w:t>
                  </w:r>
                </w:p>
              </w:tc>
              <w:tc>
                <w:tcPr>
                  <w:tcW w:w="1276" w:type="dxa"/>
                  <w:vAlign w:val="center"/>
                </w:tcPr>
                <w:p w14:paraId="4A4CBFF6" w14:textId="77777777" w:rsidR="001025A2" w:rsidRPr="00505285" w:rsidRDefault="001025A2">
                  <w:pPr>
                    <w:spacing w:after="0" w:line="240" w:lineRule="auto"/>
                    <w:jc w:val="center"/>
                    <w:rPr>
                      <w:rFonts w:eastAsia="Times New Roman"/>
                      <w:color w:val="000000"/>
                      <w:szCs w:val="20"/>
                    </w:rPr>
                  </w:pPr>
                  <w:r w:rsidRPr="00505285">
                    <w:rPr>
                      <w:rFonts w:eastAsia="Times New Roman"/>
                      <w:color w:val="000000"/>
                      <w:szCs w:val="20"/>
                    </w:rPr>
                    <w:t>500</w:t>
                  </w:r>
                </w:p>
              </w:tc>
            </w:tr>
          </w:tbl>
          <w:p w14:paraId="5F3F81A8" w14:textId="77777777" w:rsidR="001025A2" w:rsidRPr="00505285" w:rsidRDefault="001025A2">
            <w:pPr>
              <w:cnfStyle w:val="000000000000" w:firstRow="0" w:lastRow="0" w:firstColumn="0" w:lastColumn="0" w:oddVBand="0" w:evenVBand="0" w:oddHBand="0" w:evenHBand="0" w:firstRowFirstColumn="0" w:firstRowLastColumn="0" w:lastRowFirstColumn="0" w:lastRowLastColumn="0"/>
              <w:rPr>
                <w:rFonts w:eastAsia="Times New Roman" w:cs="Arial"/>
                <w:iCs/>
                <w:szCs w:val="20"/>
                <w:highlight w:val="lightGray"/>
              </w:rPr>
            </w:pPr>
            <w:r w:rsidRPr="00505285">
              <w:rPr>
                <w:rFonts w:eastAsia="Times New Roman" w:cs="Times New Roman"/>
                <w:szCs w:val="20"/>
              </w:rPr>
              <w:t xml:space="preserve">^WHO Upper Limits are specified in units of </w:t>
            </w:r>
            <w:proofErr w:type="spellStart"/>
            <w:r w:rsidRPr="00505285">
              <w:rPr>
                <w:rFonts w:eastAsia="Times New Roman" w:cs="Times New Roman"/>
                <w:szCs w:val="20"/>
              </w:rPr>
              <w:t>μg</w:t>
            </w:r>
            <w:proofErr w:type="spellEnd"/>
            <w:r w:rsidRPr="00505285">
              <w:rPr>
                <w:rFonts w:eastAsia="Times New Roman" w:cs="Times New Roman"/>
                <w:szCs w:val="20"/>
              </w:rPr>
              <w:t xml:space="preserve">/kg/day; the UL presented here has been derived from the UL of 30 </w:t>
            </w:r>
            <w:proofErr w:type="spellStart"/>
            <w:r w:rsidRPr="00505285">
              <w:rPr>
                <w:rFonts w:eastAsia="Times New Roman" w:cs="Times New Roman"/>
                <w:szCs w:val="20"/>
              </w:rPr>
              <w:t>μg</w:t>
            </w:r>
            <w:proofErr w:type="spellEnd"/>
            <w:r w:rsidRPr="00505285">
              <w:rPr>
                <w:rFonts w:eastAsia="Times New Roman" w:cs="Times New Roman"/>
                <w:szCs w:val="20"/>
              </w:rPr>
              <w:t>/kg/day,</w:t>
            </w:r>
            <w:r w:rsidRPr="00505285">
              <w:rPr>
                <w:rFonts w:eastAsia="Arial" w:cs="Arial"/>
                <w:szCs w:val="20"/>
              </w:rPr>
              <w:t xml:space="preserve"> and the adult UL calculated using the adult reference weight for comparison purposes (62.5kg NHMS 2025, ABS 2025a).</w:t>
            </w:r>
          </w:p>
        </w:tc>
      </w:tr>
      <w:tr w:rsidR="001025A2" w:rsidRPr="00505285" w14:paraId="63203F15" w14:textId="77777777" w:rsidTr="008029A1">
        <w:trPr>
          <w:gridAfter w:val="1"/>
          <w:cnfStyle w:val="000000100000" w:firstRow="0" w:lastRow="0" w:firstColumn="0" w:lastColumn="0" w:oddVBand="0" w:evenVBand="0" w:oddHBand="1" w:evenHBand="0" w:firstRowFirstColumn="0" w:firstRowLastColumn="0" w:lastRowFirstColumn="0" w:lastRowLastColumn="0"/>
          <w:wAfter w:w="55" w:type="dxa"/>
          <w:trHeight w:val="926"/>
        </w:trPr>
        <w:tc>
          <w:tcPr>
            <w:cnfStyle w:val="001000000000" w:firstRow="0" w:lastRow="0" w:firstColumn="1" w:lastColumn="0" w:oddVBand="0" w:evenVBand="0" w:oddHBand="0" w:evenHBand="0" w:firstRowFirstColumn="0" w:firstRowLastColumn="0" w:lastRowFirstColumn="0" w:lastRowLastColumn="0"/>
            <w:tcW w:w="1987" w:type="dxa"/>
            <w:hideMark/>
          </w:tcPr>
          <w:p w14:paraId="06E4B4B9" w14:textId="77777777" w:rsidR="001025A2" w:rsidRPr="00505285" w:rsidRDefault="001025A2">
            <w:pPr>
              <w:rPr>
                <w:rFonts w:eastAsia="Arial" w:cs="Helvetica"/>
                <w:szCs w:val="20"/>
              </w:rPr>
            </w:pPr>
            <w:r w:rsidRPr="00505285">
              <w:rPr>
                <w:rFonts w:eastAsia="Arial" w:cs="Arial"/>
                <w:szCs w:val="20"/>
              </w:rPr>
              <w:lastRenderedPageBreak/>
              <w:t>Balance of effects (benefits and harms)</w:t>
            </w:r>
          </w:p>
          <w:p w14:paraId="0EF5CAD7" w14:textId="77777777" w:rsidR="001025A2" w:rsidRPr="00505285" w:rsidRDefault="001025A2">
            <w:pPr>
              <w:ind w:right="-1346"/>
              <w:rPr>
                <w:rFonts w:eastAsia="Times New Roman" w:cs="Arial"/>
                <w:szCs w:val="20"/>
              </w:rPr>
            </w:pPr>
          </w:p>
        </w:tc>
        <w:tc>
          <w:tcPr>
            <w:tcW w:w="6377" w:type="dxa"/>
          </w:tcPr>
          <w:p w14:paraId="06736556" w14:textId="7DD9D77A" w:rsidR="001025A2" w:rsidRPr="00505285" w:rsidRDefault="001025A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Evidence suggests that the current Upper Level of 1,100</w:t>
            </w:r>
            <w:r w:rsidRPr="00505285">
              <w:rPr>
                <w:rFonts w:eastAsia="Times New Roman" w:cs="Times New Roman"/>
                <w:szCs w:val="20"/>
              </w:rPr>
              <w:t xml:space="preserve"> µg/day</w:t>
            </w:r>
            <w:r w:rsidRPr="00505285">
              <w:rPr>
                <w:rFonts w:eastAsia="Times New Roman" w:cs="Arial"/>
                <w:szCs w:val="20"/>
              </w:rPr>
              <w:t xml:space="preserve"> may not be protective of nearly all individuals in the population. Iodine excess can disrupt normal thyroid function, particularly where there is underlying thyroid disease. This includes autoimmune thyroid disease </w:t>
            </w:r>
            <w:r w:rsidR="00667A3D">
              <w:rPr>
                <w:rFonts w:eastAsia="Times New Roman" w:cs="Arial"/>
                <w:szCs w:val="20"/>
              </w:rPr>
              <w:t>–</w:t>
            </w:r>
            <w:r w:rsidRPr="00505285">
              <w:rPr>
                <w:rFonts w:eastAsia="Times New Roman" w:cs="Arial"/>
                <w:szCs w:val="20"/>
              </w:rPr>
              <w:t xml:space="preserve"> a common form of thyroid disease primarily affecting adult women </w:t>
            </w:r>
            <w:r w:rsidR="00667A3D">
              <w:rPr>
                <w:rFonts w:eastAsia="Times New Roman" w:cs="Arial"/>
                <w:szCs w:val="20"/>
              </w:rPr>
              <w:t>–</w:t>
            </w:r>
            <w:r w:rsidRPr="00505285">
              <w:rPr>
                <w:rFonts w:eastAsia="Times New Roman" w:cs="Arial"/>
                <w:szCs w:val="20"/>
              </w:rPr>
              <w:t xml:space="preserve"> or nodular thyroid disease, most common in the elderly or in people with a previous history of iodine deficiency. </w:t>
            </w:r>
          </w:p>
          <w:p w14:paraId="140355CF" w14:textId="77777777" w:rsidR="001025A2" w:rsidRPr="00505285" w:rsidRDefault="001025A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Despite introduction of mandatory fortification in 2009, data suggests that mild population deficiency may persist in some sub-populations, including women of reproductive age (ABS, 2025a). Growing interest in plant-forward diets (Roy Morgan 2016; Kantar 2022; Riverola et al. 2023) may further reduce individuals’ iodine intake and exacerbate existing deficiency in the population. This deficiency increases individual sensitivity to the effects of excess iodine. </w:t>
            </w:r>
          </w:p>
          <w:p w14:paraId="5EFF9733" w14:textId="3D810690" w:rsidR="001025A2" w:rsidRPr="00505285" w:rsidRDefault="001025A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Although data from Sang et. </w:t>
            </w:r>
            <w:r w:rsidR="00667A3D" w:rsidRPr="00505285">
              <w:rPr>
                <w:rFonts w:eastAsia="Times New Roman" w:cs="Arial"/>
                <w:szCs w:val="20"/>
              </w:rPr>
              <w:t>A</w:t>
            </w:r>
            <w:r w:rsidRPr="00505285">
              <w:rPr>
                <w:rFonts w:eastAsia="Times New Roman" w:cs="Arial"/>
                <w:szCs w:val="20"/>
              </w:rPr>
              <w:t xml:space="preserve">l. (2012) suggest that most individuals can readily adapt to high intakes of iodine, it also demonstrates increased frequency of elevated TSH and subclinical hypothyroidism with intakes above 600 </w:t>
            </w:r>
            <w:r w:rsidRPr="00505285">
              <w:rPr>
                <w:rFonts w:eastAsia="Times New Roman" w:cs="Times New Roman"/>
                <w:szCs w:val="20"/>
              </w:rPr>
              <w:t xml:space="preserve">µg/day. This is below the current UL of </w:t>
            </w:r>
            <w:r w:rsidRPr="00505285">
              <w:rPr>
                <w:rFonts w:eastAsia="Times New Roman" w:cs="Arial"/>
                <w:szCs w:val="20"/>
              </w:rPr>
              <w:t>1,100</w:t>
            </w:r>
            <w:r w:rsidRPr="00505285">
              <w:rPr>
                <w:rFonts w:eastAsia="Times New Roman" w:cs="Times New Roman"/>
                <w:szCs w:val="20"/>
              </w:rPr>
              <w:t xml:space="preserve"> µg/day. However, elevated TSH and subclinical hypothyroidism represent mild </w:t>
            </w:r>
            <w:r w:rsidRPr="00505285">
              <w:rPr>
                <w:rFonts w:eastAsia="Times New Roman" w:cs="Times New Roman"/>
                <w:szCs w:val="20"/>
              </w:rPr>
              <w:lastRenderedPageBreak/>
              <w:t xml:space="preserve">and reversible states. The relatively short duration of the Sang et. </w:t>
            </w:r>
            <w:r w:rsidR="00667A3D" w:rsidRPr="00505285">
              <w:rPr>
                <w:rFonts w:eastAsia="Times New Roman" w:cs="Times New Roman"/>
                <w:szCs w:val="20"/>
              </w:rPr>
              <w:t>A</w:t>
            </w:r>
            <w:r w:rsidRPr="00505285">
              <w:rPr>
                <w:rFonts w:eastAsia="Times New Roman" w:cs="Times New Roman"/>
                <w:szCs w:val="20"/>
              </w:rPr>
              <w:t>l. (2012) study makes it difficult to determine whether these observed effects represent a transient adaptive effect, or the onset of chronic subclinical hypothyroidism. Further evidence on the long-term effects of increased iodine on TSH and subclinical hypothyroidism are required to inform decision making.</w:t>
            </w:r>
          </w:p>
          <w:p w14:paraId="0E5877CA" w14:textId="198D2B5E" w:rsidR="001025A2" w:rsidRPr="00505285" w:rsidRDefault="001025A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lightGray"/>
              </w:rPr>
            </w:pPr>
            <w:r w:rsidRPr="00505285">
              <w:rPr>
                <w:rFonts w:eastAsia="Times New Roman" w:cs="Arial"/>
                <w:szCs w:val="20"/>
              </w:rPr>
              <w:t xml:space="preserve">The overwhelming public health concern </w:t>
            </w:r>
            <w:r w:rsidR="00667A3D">
              <w:rPr>
                <w:rFonts w:eastAsia="Times New Roman" w:cs="Arial"/>
                <w:szCs w:val="20"/>
              </w:rPr>
              <w:t>I</w:t>
            </w:r>
            <w:r w:rsidRPr="00505285">
              <w:rPr>
                <w:rFonts w:eastAsia="Times New Roman" w:cs="Arial"/>
                <w:szCs w:val="20"/>
              </w:rPr>
              <w:t xml:space="preserve">n Australia and New Zealand continues to be iodine deficiency, particularly in reproductive age females. </w:t>
            </w:r>
          </w:p>
        </w:tc>
        <w:tc>
          <w:tcPr>
            <w:tcW w:w="6380" w:type="dxa"/>
            <w:gridSpan w:val="2"/>
          </w:tcPr>
          <w:p w14:paraId="72F84850" w14:textId="67775488" w:rsidR="001025A2" w:rsidRPr="00505285" w:rsidRDefault="001025A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lastRenderedPageBreak/>
              <w:t xml:space="preserve">The proposed recommendations are expected to be protective of public health, including most individuals who are sensitive to the effects of excess iodine intakes. Although it is not feasible to set a UL that protects all individuals within the population </w:t>
            </w:r>
            <w:r w:rsidR="00667A3D">
              <w:rPr>
                <w:rFonts w:eastAsia="Times New Roman" w:cs="Arial"/>
                <w:szCs w:val="20"/>
              </w:rPr>
              <w:t>–</w:t>
            </w:r>
            <w:r w:rsidRPr="00505285">
              <w:rPr>
                <w:rFonts w:eastAsia="Times New Roman" w:cs="Arial"/>
                <w:szCs w:val="20"/>
              </w:rPr>
              <w:t xml:space="preserve"> because some individuals may be sensitive at intakes within the normal range </w:t>
            </w:r>
            <w:r w:rsidR="00667A3D">
              <w:rPr>
                <w:rFonts w:eastAsia="Times New Roman" w:cs="Arial"/>
                <w:szCs w:val="20"/>
              </w:rPr>
              <w:t>–</w:t>
            </w:r>
            <w:r w:rsidRPr="00505285">
              <w:rPr>
                <w:rFonts w:eastAsia="Times New Roman" w:cs="Arial"/>
                <w:szCs w:val="20"/>
              </w:rPr>
              <w:t xml:space="preserve"> the UL should aim to be protective of most individuals within the population. The recommendations should include a note to identify that some individuals may still respond adversely at levels of intake below the UL.</w:t>
            </w:r>
          </w:p>
          <w:p w14:paraId="39FB0D4A" w14:textId="05B7BE6F" w:rsidR="001025A2" w:rsidRPr="00505285" w:rsidRDefault="001025A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505285">
              <w:rPr>
                <w:rFonts w:eastAsia="Times New Roman" w:cs="Arial"/>
                <w:szCs w:val="20"/>
              </w:rPr>
              <w:t>Intakes from the 2011-13 Australian Health Survey (ABS, 2015) suggest that for the majority (95% or more) of the adult population, intakes remain within the range of 86 to 299</w:t>
            </w:r>
            <w:r w:rsidRPr="00505285">
              <w:rPr>
                <w:rFonts w:eastAsia="Times New Roman" w:cs="Times New Roman"/>
                <w:szCs w:val="20"/>
              </w:rPr>
              <w:t xml:space="preserve"> µg/day. These data are supported by more recent median UIC population data, suggesting that iodine deficiency </w:t>
            </w:r>
            <w:r w:rsidR="00667A3D">
              <w:rPr>
                <w:rFonts w:eastAsia="Times New Roman" w:cs="Times New Roman"/>
                <w:szCs w:val="20"/>
              </w:rPr>
              <w:t>–</w:t>
            </w:r>
            <w:r w:rsidRPr="00505285">
              <w:rPr>
                <w:rFonts w:eastAsia="Times New Roman" w:cs="Times New Roman"/>
                <w:szCs w:val="20"/>
              </w:rPr>
              <w:t xml:space="preserve"> rather than excess </w:t>
            </w:r>
            <w:r w:rsidR="00667A3D">
              <w:rPr>
                <w:rFonts w:eastAsia="Times New Roman" w:cs="Times New Roman"/>
                <w:szCs w:val="20"/>
              </w:rPr>
              <w:t>–</w:t>
            </w:r>
            <w:r w:rsidRPr="00505285">
              <w:rPr>
                <w:rFonts w:eastAsia="Times New Roman" w:cs="Times New Roman"/>
                <w:szCs w:val="20"/>
              </w:rPr>
              <w:t xml:space="preserve"> is a more prevalent concern within the Australian and New Zealand adult population. It is therefore unlikely that lowering the UL will result in a material increase in the number of individuals classified as ‘exceeding the UL’. Similarly, this provides a comfortable buffer between the proposed RDI of 150 µg/day, the upper range of intakes (299 µg/day) and the proposed UL of 600 µg/day.</w:t>
            </w:r>
          </w:p>
          <w:p w14:paraId="6F399CD5" w14:textId="20B9991D" w:rsidR="001025A2" w:rsidRPr="00505285" w:rsidRDefault="001025A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Times New Roman"/>
                <w:szCs w:val="20"/>
              </w:rPr>
              <w:lastRenderedPageBreak/>
              <w:t xml:space="preserve">Growing interest in seaweed consumption </w:t>
            </w:r>
            <w:r w:rsidR="00667A3D">
              <w:rPr>
                <w:rFonts w:eastAsia="Times New Roman" w:cs="Times New Roman"/>
                <w:szCs w:val="20"/>
              </w:rPr>
              <w:t>–</w:t>
            </w:r>
            <w:r w:rsidRPr="00505285">
              <w:rPr>
                <w:rFonts w:eastAsia="Times New Roman" w:cs="Times New Roman"/>
                <w:szCs w:val="20"/>
              </w:rPr>
              <w:t xml:space="preserve"> and the potential for intakes to exceed the UL due to the high iodine content in some seaweed varieties </w:t>
            </w:r>
            <w:r w:rsidR="00667A3D">
              <w:rPr>
                <w:rFonts w:eastAsia="Times New Roman" w:cs="Times New Roman"/>
                <w:szCs w:val="20"/>
              </w:rPr>
              <w:t>–</w:t>
            </w:r>
            <w:r w:rsidRPr="00505285">
              <w:rPr>
                <w:rFonts w:eastAsia="Times New Roman" w:cs="Times New Roman"/>
                <w:szCs w:val="20"/>
              </w:rPr>
              <w:t xml:space="preserve"> has been highlighted as a concern in other jurisdictions (EFSA, 2023). Consequently, it is proposed that any UL recommendation is accompanied by a statement to highlight that frequent </w:t>
            </w:r>
            <w:r w:rsidR="00667A3D">
              <w:rPr>
                <w:rFonts w:eastAsia="Times New Roman" w:cs="Times New Roman"/>
                <w:szCs w:val="20"/>
              </w:rPr>
              <w:t>–</w:t>
            </w:r>
            <w:r w:rsidRPr="00505285">
              <w:rPr>
                <w:rFonts w:eastAsia="Times New Roman" w:cs="Times New Roman"/>
                <w:szCs w:val="20"/>
              </w:rPr>
              <w:t xml:space="preserve"> or high </w:t>
            </w:r>
            <w:r w:rsidR="00667A3D">
              <w:rPr>
                <w:rFonts w:eastAsia="Times New Roman" w:cs="Times New Roman"/>
                <w:szCs w:val="20"/>
              </w:rPr>
              <w:t>–</w:t>
            </w:r>
            <w:r w:rsidRPr="00505285">
              <w:rPr>
                <w:rFonts w:eastAsia="Times New Roman" w:cs="Times New Roman"/>
                <w:szCs w:val="20"/>
              </w:rPr>
              <w:t xml:space="preserve"> consumption of seaweed or seaweed-containing products may lead to high habitual iodine intakes, increasing an individual’s risk of exceeding the UL.</w:t>
            </w:r>
          </w:p>
          <w:p w14:paraId="10428620" w14:textId="5B15CF53" w:rsidR="001025A2" w:rsidRPr="00505285" w:rsidRDefault="001025A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The overwhelming public health concern </w:t>
            </w:r>
            <w:r w:rsidR="00667A3D">
              <w:rPr>
                <w:rFonts w:eastAsia="Times New Roman" w:cs="Arial"/>
                <w:szCs w:val="20"/>
              </w:rPr>
              <w:t>I</w:t>
            </w:r>
            <w:r w:rsidRPr="00505285">
              <w:rPr>
                <w:rFonts w:eastAsia="Times New Roman" w:cs="Arial"/>
                <w:szCs w:val="20"/>
              </w:rPr>
              <w:t>n Australia and New Zealand continues to be iodine deficiency, particularly in reproductive age females. Any changes to the UL should be carefully communicated to avoid the suggestion that individuals should minimise their iodine intake, when there is no evidence to suggest thyroid disease due to iodine excess within the general population</w:t>
            </w:r>
          </w:p>
        </w:tc>
      </w:tr>
      <w:tr w:rsidR="001025A2" w:rsidRPr="00505285" w14:paraId="2981E941" w14:textId="77777777" w:rsidTr="008029A1">
        <w:trPr>
          <w:gridAfter w:val="1"/>
          <w:wAfter w:w="55" w:type="dxa"/>
        </w:trPr>
        <w:tc>
          <w:tcPr>
            <w:cnfStyle w:val="001000000000" w:firstRow="0" w:lastRow="0" w:firstColumn="1" w:lastColumn="0" w:oddVBand="0" w:evenVBand="0" w:oddHBand="0" w:evenHBand="0" w:firstRowFirstColumn="0" w:firstRowLastColumn="0" w:lastRowFirstColumn="0" w:lastRowLastColumn="0"/>
            <w:tcW w:w="1987" w:type="dxa"/>
          </w:tcPr>
          <w:p w14:paraId="6720F114" w14:textId="77777777" w:rsidR="001025A2" w:rsidRPr="00505285" w:rsidRDefault="001025A2">
            <w:pPr>
              <w:rPr>
                <w:rFonts w:eastAsia="Arial" w:cs="Arial"/>
                <w:szCs w:val="20"/>
              </w:rPr>
            </w:pPr>
            <w:r w:rsidRPr="00505285">
              <w:rPr>
                <w:rFonts w:eastAsia="Arial" w:cs="Arial"/>
                <w:szCs w:val="20"/>
              </w:rPr>
              <w:lastRenderedPageBreak/>
              <w:t>Certainty of the evidence</w:t>
            </w:r>
          </w:p>
        </w:tc>
        <w:tc>
          <w:tcPr>
            <w:tcW w:w="6377" w:type="dxa"/>
          </w:tcPr>
          <w:p w14:paraId="75CD6E0B" w14:textId="77777777" w:rsidR="001025A2" w:rsidRPr="00505285" w:rsidRDefault="001025A2">
            <w:pPr>
              <w:spacing w:before="120" w:after="0"/>
              <w:ind w:right="34"/>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The evidence underpinning current recommendations is limited by concerns about:</w:t>
            </w:r>
          </w:p>
          <w:p w14:paraId="65039DC5" w14:textId="77777777" w:rsidR="001025A2" w:rsidRPr="00505285" w:rsidRDefault="001025A2">
            <w:pPr>
              <w:spacing w:before="120" w:after="0"/>
              <w:ind w:right="34"/>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risk of bias: Gardner 1988 was assessed as having some concerns using ROB-2, and Paul 1988 as having serious concerns using ROBINS-I, and the intervention period was short for both studies</w:t>
            </w:r>
          </w:p>
          <w:p w14:paraId="56C87F7B" w14:textId="77777777" w:rsidR="001025A2" w:rsidRPr="00505285" w:rsidRDefault="001025A2">
            <w:pPr>
              <w:spacing w:before="120" w:after="0"/>
              <w:ind w:right="34"/>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imprecision: small sample sizes (N=30 or 32 participants across 3 intervention arms), </w:t>
            </w:r>
          </w:p>
          <w:p w14:paraId="64CF879E" w14:textId="77777777" w:rsidR="001025A2" w:rsidRPr="00505285" w:rsidRDefault="001025A2">
            <w:pPr>
              <w:spacing w:before="120" w:after="0"/>
              <w:ind w:right="34"/>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generalisability: one study included only men.</w:t>
            </w:r>
          </w:p>
          <w:p w14:paraId="0892B4DC" w14:textId="77777777" w:rsidR="001025A2" w:rsidRPr="00505285" w:rsidRDefault="001025A2">
            <w:pPr>
              <w:spacing w:before="120" w:after="0"/>
              <w:ind w:right="34"/>
              <w:cnfStyle w:val="000000000000" w:firstRow="0" w:lastRow="0" w:firstColumn="0" w:lastColumn="0" w:oddVBand="0" w:evenVBand="0" w:oddHBand="0" w:evenHBand="0" w:firstRowFirstColumn="0" w:firstRowLastColumn="0" w:lastRowFirstColumn="0" w:lastRowLastColumn="0"/>
              <w:rPr>
                <w:rFonts w:eastAsia="Arial" w:cs="Arial"/>
                <w:szCs w:val="20"/>
              </w:rPr>
            </w:pPr>
          </w:p>
        </w:tc>
        <w:tc>
          <w:tcPr>
            <w:tcW w:w="6380" w:type="dxa"/>
            <w:gridSpan w:val="2"/>
          </w:tcPr>
          <w:p w14:paraId="7F310414" w14:textId="77777777" w:rsidR="001025A2" w:rsidRPr="00505285" w:rsidRDefault="001025A2" w:rsidP="00B62D37">
            <w:pPr>
              <w:spacing w:before="0" w:after="0" w:line="240" w:lineRule="auto"/>
              <w:ind w:right="34"/>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Although the association between high iodine intake and elevated TSH is well-established, the evidence for the dose-response relationship is lacking. </w:t>
            </w:r>
          </w:p>
          <w:p w14:paraId="16768142" w14:textId="77777777" w:rsidR="001025A2" w:rsidRPr="00505285" w:rsidRDefault="001025A2" w:rsidP="00B62D37">
            <w:pPr>
              <w:spacing w:before="120" w:after="0" w:line="240" w:lineRule="auto"/>
              <w:ind w:right="34"/>
              <w:cnfStyle w:val="000000000000" w:firstRow="0" w:lastRow="0" w:firstColumn="0" w:lastColumn="0" w:oddVBand="0" w:evenVBand="0" w:oddHBand="0" w:evenHBand="0" w:firstRowFirstColumn="0" w:firstRowLastColumn="0" w:lastRowFirstColumn="0" w:lastRowLastColumn="0"/>
              <w:rPr>
                <w:rFonts w:eastAsia="Times New Roman" w:cs="Arial"/>
                <w:szCs w:val="20"/>
                <w:highlight w:val="yellow"/>
              </w:rPr>
            </w:pPr>
            <w:r w:rsidRPr="00505285">
              <w:rPr>
                <w:rFonts w:eastAsia="Times New Roman" w:cs="Arial"/>
                <w:szCs w:val="20"/>
              </w:rPr>
              <w:t xml:space="preserve">Risk of bias was assessed as being high or some concerns across the 5 interventional studies that examined the relationship between iodine dose and elevated TSH. Whilst the study by Sang et al (2012) was generally well-designed, the 12 intervention arms were not wholly concurrent, with the study split into two phases, four years apart (supplementation </w:t>
            </w:r>
            <w:r w:rsidRPr="00505285">
              <w:rPr>
                <w:rFonts w:ascii="Cambria Math" w:eastAsia="Times New Roman" w:hAnsi="Cambria Math" w:cs="Cambria Math"/>
                <w:szCs w:val="20"/>
              </w:rPr>
              <w:t>≥</w:t>
            </w:r>
            <w:r w:rsidRPr="00505285">
              <w:rPr>
                <w:rFonts w:eastAsia="Times New Roman" w:cs="Arial"/>
                <w:szCs w:val="20"/>
              </w:rPr>
              <w:t>500 µg/day in 2004; and &lt;500 µg/day in 2008). The study was also limited by small sample size, with approximately 19 participants for each arm.</w:t>
            </w:r>
          </w:p>
          <w:p w14:paraId="5B497C8B" w14:textId="77777777" w:rsidR="001025A2" w:rsidRPr="00505285" w:rsidRDefault="001025A2" w:rsidP="00B62D3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Arial" w:cs="Arial"/>
                <w:szCs w:val="20"/>
              </w:rPr>
            </w:pPr>
          </w:p>
          <w:p w14:paraId="2D3BC9D9" w14:textId="253FE60A" w:rsidR="001025A2" w:rsidRPr="00505285" w:rsidRDefault="001025A2" w:rsidP="00B62D3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 xml:space="preserve">The outcomes upon </w:t>
            </w:r>
            <w:proofErr w:type="spellStart"/>
            <w:r w:rsidR="00667A3D">
              <w:rPr>
                <w:rFonts w:eastAsia="Arial" w:cs="Arial"/>
                <w:szCs w:val="20"/>
              </w:rPr>
              <w:t>I</w:t>
            </w:r>
            <w:r w:rsidRPr="00505285">
              <w:rPr>
                <w:rFonts w:eastAsia="Arial" w:cs="Arial"/>
                <w:szCs w:val="20"/>
              </w:rPr>
              <w:t>h</w:t>
            </w:r>
            <w:proofErr w:type="spellEnd"/>
            <w:r w:rsidRPr="00505285">
              <w:rPr>
                <w:rFonts w:eastAsia="Arial" w:cs="Arial"/>
                <w:szCs w:val="20"/>
              </w:rPr>
              <w:t xml:space="preserve"> the UL </w:t>
            </w:r>
            <w:r w:rsidR="00667A3D">
              <w:rPr>
                <w:rFonts w:eastAsia="Arial" w:cs="Arial"/>
                <w:szCs w:val="20"/>
              </w:rPr>
              <w:t>I</w:t>
            </w:r>
            <w:r w:rsidRPr="00505285">
              <w:rPr>
                <w:rFonts w:eastAsia="Arial" w:cs="Arial"/>
                <w:szCs w:val="20"/>
              </w:rPr>
              <w:t xml:space="preserve">s to be established (subclinical hypothyroidism and elevated TSH) are also relatively soft end points, adding to uncertainty in the evidence. </w:t>
            </w:r>
          </w:p>
          <w:p w14:paraId="69BB4C24" w14:textId="77777777" w:rsidR="001025A2" w:rsidRPr="00505285" w:rsidRDefault="001025A2" w:rsidP="00B62D3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Arial" w:cs="Arial"/>
                <w:szCs w:val="20"/>
              </w:rPr>
            </w:pPr>
          </w:p>
          <w:p w14:paraId="5164F7C4" w14:textId="77777777" w:rsidR="001025A2" w:rsidRPr="00505285" w:rsidRDefault="001025A2">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Arial" w:cs="Arial"/>
                <w:szCs w:val="20"/>
              </w:rPr>
              <w:t>Overall, the evidence is very uncertain about the level of iodine intake at which adverse effects may occur.</w:t>
            </w:r>
          </w:p>
        </w:tc>
      </w:tr>
      <w:tr w:rsidR="001025A2" w:rsidRPr="00505285" w14:paraId="2B32AD96" w14:textId="77777777" w:rsidTr="008029A1">
        <w:trPr>
          <w:gridAfter w:val="1"/>
          <w:cnfStyle w:val="000000100000" w:firstRow="0" w:lastRow="0" w:firstColumn="0" w:lastColumn="0" w:oddVBand="0" w:evenVBand="0" w:oddHBand="1" w:evenHBand="0" w:firstRowFirstColumn="0" w:firstRowLastColumn="0" w:lastRowFirstColumn="0" w:lastRowLastColumn="0"/>
          <w:wAfter w:w="55" w:type="dxa"/>
        </w:trPr>
        <w:tc>
          <w:tcPr>
            <w:cnfStyle w:val="001000000000" w:firstRow="0" w:lastRow="0" w:firstColumn="1" w:lastColumn="0" w:oddVBand="0" w:evenVBand="0" w:oddHBand="0" w:evenHBand="0" w:firstRowFirstColumn="0" w:firstRowLastColumn="0" w:lastRowFirstColumn="0" w:lastRowLastColumn="0"/>
            <w:tcW w:w="1987" w:type="dxa"/>
          </w:tcPr>
          <w:p w14:paraId="77DE2E4A" w14:textId="77777777" w:rsidR="001025A2" w:rsidRPr="00505285" w:rsidRDefault="001025A2">
            <w:pPr>
              <w:rPr>
                <w:rFonts w:eastAsia="Arial" w:cs="Arial"/>
                <w:szCs w:val="20"/>
              </w:rPr>
            </w:pPr>
            <w:r w:rsidRPr="00505285">
              <w:rPr>
                <w:rFonts w:eastAsia="Arial" w:cs="Arial"/>
                <w:szCs w:val="20"/>
              </w:rPr>
              <w:lastRenderedPageBreak/>
              <w:t>Values, preferences and feasibility (consumers, communities)</w:t>
            </w:r>
          </w:p>
        </w:tc>
        <w:tc>
          <w:tcPr>
            <w:tcW w:w="12757" w:type="dxa"/>
            <w:gridSpan w:val="3"/>
          </w:tcPr>
          <w:p w14:paraId="21A2B842" w14:textId="77777777" w:rsidR="001025A2" w:rsidRPr="00505285" w:rsidRDefault="001025A2">
            <w:pPr>
              <w:spacing w:before="120"/>
              <w:ind w:right="170"/>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iCs/>
                <w:szCs w:val="20"/>
              </w:rPr>
              <w:t xml:space="preserve">Modelling suggests that iodine intakes will remain substantially below an UL of 600 or 1,100 </w:t>
            </w:r>
            <w:r w:rsidRPr="00505285">
              <w:rPr>
                <w:rFonts w:eastAsia="Times New Roman" w:cs="Times New Roman"/>
                <w:szCs w:val="20"/>
              </w:rPr>
              <w:t xml:space="preserve">µg/day for individuals with consumption aligned with the foundation diets (NHMRC, 2011). </w:t>
            </w:r>
            <w:r w:rsidRPr="00505285">
              <w:rPr>
                <w:rFonts w:eastAsia="Times New Roman" w:cs="Arial"/>
                <w:szCs w:val="20"/>
              </w:rPr>
              <w:t>Relevant food modelling data are shown at Table 3.</w:t>
            </w:r>
          </w:p>
          <w:p w14:paraId="7A837AB0" w14:textId="10D66012" w:rsidR="001025A2" w:rsidRPr="00505285" w:rsidRDefault="001025A2">
            <w:pPr>
              <w:keepNext/>
              <w:spacing w:after="200"/>
              <w:cnfStyle w:val="000000100000" w:firstRow="0" w:lastRow="0" w:firstColumn="0" w:lastColumn="0" w:oddVBand="0" w:evenVBand="0" w:oddHBand="1" w:evenHBand="0" w:firstRowFirstColumn="0" w:firstRowLastColumn="0" w:lastRowFirstColumn="0" w:lastRowLastColumn="0"/>
              <w:rPr>
                <w:rFonts w:eastAsia="Arial" w:cs="Arial"/>
                <w:iCs/>
                <w:caps/>
                <w:szCs w:val="20"/>
              </w:rPr>
            </w:pPr>
            <w:r w:rsidRPr="00505285">
              <w:rPr>
                <w:rFonts w:eastAsia="Arial" w:cs="Arial"/>
                <w:iCs/>
                <w:caps/>
                <w:szCs w:val="20"/>
              </w:rPr>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3</w:t>
            </w:r>
            <w:r w:rsidRPr="00505285">
              <w:rPr>
                <w:rFonts w:eastAsia="Arial" w:cs="Arial"/>
                <w:iCs/>
                <w:caps/>
                <w:noProof/>
                <w:szCs w:val="20"/>
              </w:rPr>
              <w:fldChar w:fldCharType="end"/>
            </w:r>
            <w:r w:rsidRPr="00505285">
              <w:rPr>
                <w:rFonts w:eastAsia="Arial" w:cs="Arial"/>
                <w:iCs/>
                <w:caps/>
                <w:szCs w:val="20"/>
              </w:rPr>
              <w:t xml:space="preserve"> </w:t>
            </w:r>
            <w:r w:rsidR="00667A3D">
              <w:rPr>
                <w:rFonts w:eastAsia="Arial" w:cs="Arial"/>
                <w:iCs/>
                <w:caps/>
                <w:szCs w:val="20"/>
              </w:rPr>
              <w:t>–</w:t>
            </w:r>
            <w:r w:rsidRPr="00505285">
              <w:rPr>
                <w:rFonts w:eastAsia="Arial" w:cs="Arial"/>
                <w:iCs/>
                <w:caps/>
                <w:szCs w:val="20"/>
              </w:rPr>
              <w:t xml:space="preserve"> Food modelling data (NHMRC, 2011) in adults</w:t>
            </w:r>
          </w:p>
          <w:tbl>
            <w:tblPr>
              <w:tblStyle w:val="TableGrid3"/>
              <w:tblW w:w="11974" w:type="dxa"/>
              <w:tblInd w:w="0" w:type="dxa"/>
              <w:tblLook w:val="04A0" w:firstRow="1" w:lastRow="0" w:firstColumn="1" w:lastColumn="0" w:noHBand="0" w:noVBand="1"/>
            </w:tblPr>
            <w:tblGrid>
              <w:gridCol w:w="1201"/>
              <w:gridCol w:w="1134"/>
              <w:gridCol w:w="1275"/>
              <w:gridCol w:w="993"/>
              <w:gridCol w:w="1275"/>
              <w:gridCol w:w="1276"/>
              <w:gridCol w:w="1276"/>
              <w:gridCol w:w="1134"/>
              <w:gridCol w:w="1276"/>
              <w:gridCol w:w="1134"/>
            </w:tblGrid>
            <w:tr w:rsidR="001025A2" w:rsidRPr="00505285" w14:paraId="3F4C7076" w14:textId="77777777">
              <w:tc>
                <w:tcPr>
                  <w:tcW w:w="1201" w:type="dxa"/>
                  <w:vMerge w:val="restart"/>
                  <w:shd w:val="clear" w:color="auto" w:fill="005F85"/>
                  <w:vAlign w:val="bottom"/>
                </w:tcPr>
                <w:p w14:paraId="2106B36A" w14:textId="77777777" w:rsidR="001025A2" w:rsidRPr="00505285" w:rsidRDefault="001025A2">
                  <w:pPr>
                    <w:spacing w:after="0"/>
                    <w:ind w:right="206"/>
                    <w:rPr>
                      <w:rFonts w:eastAsia="Times New Roman" w:cs="Arial"/>
                      <w:b/>
                      <w:bCs/>
                      <w:color w:val="FFFFFF"/>
                      <w:szCs w:val="20"/>
                    </w:rPr>
                  </w:pPr>
                  <w:r w:rsidRPr="00505285">
                    <w:rPr>
                      <w:rFonts w:eastAsia="Times New Roman" w:cs="Arial"/>
                      <w:b/>
                      <w:bCs/>
                      <w:color w:val="FFFFFF"/>
                      <w:szCs w:val="20"/>
                    </w:rPr>
                    <w:t>Age group (years)</w:t>
                  </w:r>
                </w:p>
              </w:tc>
              <w:tc>
                <w:tcPr>
                  <w:tcW w:w="1134" w:type="dxa"/>
                  <w:shd w:val="clear" w:color="auto" w:fill="005F85"/>
                </w:tcPr>
                <w:p w14:paraId="191DBE8E" w14:textId="77777777" w:rsidR="001025A2" w:rsidRPr="00505285" w:rsidRDefault="001025A2">
                  <w:pPr>
                    <w:spacing w:after="0"/>
                    <w:jc w:val="center"/>
                    <w:rPr>
                      <w:rFonts w:eastAsia="Times New Roman" w:cs="Arial"/>
                      <w:b/>
                      <w:bCs/>
                      <w:color w:val="FFFFFF"/>
                      <w:szCs w:val="20"/>
                    </w:rPr>
                  </w:pPr>
                  <w:r w:rsidRPr="00505285">
                    <w:rPr>
                      <w:rFonts w:eastAsia="Times New Roman" w:cs="Arial"/>
                      <w:b/>
                      <w:bCs/>
                      <w:color w:val="FFFFFF"/>
                      <w:szCs w:val="20"/>
                    </w:rPr>
                    <w:t>Core food groups^</w:t>
                  </w:r>
                </w:p>
              </w:tc>
              <w:tc>
                <w:tcPr>
                  <w:tcW w:w="2268" w:type="dxa"/>
                  <w:gridSpan w:val="2"/>
                  <w:shd w:val="clear" w:color="auto" w:fill="005F85"/>
                </w:tcPr>
                <w:p w14:paraId="25240748" w14:textId="57F4C25D" w:rsidR="001025A2" w:rsidRPr="00505285" w:rsidRDefault="001025A2">
                  <w:pPr>
                    <w:spacing w:after="0"/>
                    <w:jc w:val="center"/>
                    <w:rPr>
                      <w:rFonts w:eastAsia="Times New Roman" w:cs="Arial"/>
                      <w:b/>
                      <w:bCs/>
                      <w:color w:val="FFFFFF"/>
                      <w:szCs w:val="20"/>
                    </w:rPr>
                  </w:pPr>
                  <w:r w:rsidRPr="00505285">
                    <w:rPr>
                      <w:rFonts w:eastAsia="Times New Roman" w:cs="Arial"/>
                      <w:b/>
                      <w:bCs/>
                      <w:color w:val="FFFFFF"/>
                      <w:szCs w:val="20"/>
                    </w:rPr>
                    <w:t xml:space="preserve">Foundation diets </w:t>
                  </w:r>
                  <w:r w:rsidR="00667A3D">
                    <w:rPr>
                      <w:rFonts w:eastAsia="Times New Roman" w:cs="Arial"/>
                      <w:b/>
                      <w:bCs/>
                      <w:color w:val="FFFFFF"/>
                      <w:szCs w:val="20"/>
                    </w:rPr>
                    <w:t>–</w:t>
                  </w:r>
                  <w:r w:rsidRPr="00505285">
                    <w:rPr>
                      <w:rFonts w:eastAsia="Times New Roman" w:cs="Arial"/>
                      <w:b/>
                      <w:bCs/>
                      <w:color w:val="FFFFFF"/>
                      <w:szCs w:val="20"/>
                    </w:rPr>
                    <w:t xml:space="preserve"> overall</w:t>
                  </w:r>
                </w:p>
              </w:tc>
              <w:tc>
                <w:tcPr>
                  <w:tcW w:w="2551" w:type="dxa"/>
                  <w:gridSpan w:val="2"/>
                  <w:shd w:val="clear" w:color="auto" w:fill="005F85"/>
                </w:tcPr>
                <w:p w14:paraId="723829BF" w14:textId="77777777" w:rsidR="001025A2" w:rsidRPr="00505285" w:rsidRDefault="001025A2">
                  <w:pPr>
                    <w:spacing w:after="0"/>
                    <w:jc w:val="center"/>
                    <w:rPr>
                      <w:rFonts w:eastAsia="Times New Roman" w:cs="Arial"/>
                      <w:b/>
                      <w:bCs/>
                      <w:color w:val="FFFFFF"/>
                      <w:szCs w:val="20"/>
                    </w:rPr>
                  </w:pPr>
                  <w:r w:rsidRPr="00505285">
                    <w:rPr>
                      <w:rFonts w:eastAsia="Times New Roman" w:cs="Arial"/>
                      <w:b/>
                      <w:bCs/>
                      <w:color w:val="FFFFFF"/>
                      <w:szCs w:val="20"/>
                    </w:rPr>
                    <w:t>Rice-based</w:t>
                  </w:r>
                </w:p>
              </w:tc>
              <w:tc>
                <w:tcPr>
                  <w:tcW w:w="2410" w:type="dxa"/>
                  <w:gridSpan w:val="2"/>
                  <w:shd w:val="clear" w:color="auto" w:fill="005F85"/>
                </w:tcPr>
                <w:p w14:paraId="6FA6875C" w14:textId="77777777" w:rsidR="001025A2" w:rsidRPr="00505285" w:rsidRDefault="001025A2">
                  <w:pPr>
                    <w:spacing w:after="0"/>
                    <w:ind w:right="27"/>
                    <w:jc w:val="center"/>
                    <w:rPr>
                      <w:rFonts w:eastAsia="Times New Roman" w:cs="Arial"/>
                      <w:b/>
                      <w:bCs/>
                      <w:color w:val="FFFFFF"/>
                      <w:szCs w:val="20"/>
                    </w:rPr>
                  </w:pPr>
                  <w:r w:rsidRPr="00505285">
                    <w:rPr>
                      <w:rFonts w:eastAsia="Times New Roman" w:cs="Arial"/>
                      <w:b/>
                      <w:bCs/>
                      <w:color w:val="FFFFFF"/>
                      <w:szCs w:val="20"/>
                    </w:rPr>
                    <w:t>Pasta-based</w:t>
                  </w:r>
                </w:p>
              </w:tc>
              <w:tc>
                <w:tcPr>
                  <w:tcW w:w="2410" w:type="dxa"/>
                  <w:gridSpan w:val="2"/>
                  <w:shd w:val="clear" w:color="auto" w:fill="005F85"/>
                </w:tcPr>
                <w:p w14:paraId="62A3C1BE" w14:textId="77777777" w:rsidR="001025A2" w:rsidRPr="00505285" w:rsidRDefault="001025A2">
                  <w:pPr>
                    <w:spacing w:after="0"/>
                    <w:ind w:right="34"/>
                    <w:jc w:val="center"/>
                    <w:rPr>
                      <w:rFonts w:eastAsia="Times New Roman" w:cs="Arial"/>
                      <w:b/>
                      <w:bCs/>
                      <w:color w:val="FFFFFF"/>
                      <w:szCs w:val="20"/>
                    </w:rPr>
                  </w:pPr>
                  <w:proofErr w:type="spellStart"/>
                  <w:r w:rsidRPr="00505285">
                    <w:rPr>
                      <w:rFonts w:eastAsia="Times New Roman" w:cs="Arial"/>
                      <w:b/>
                      <w:bCs/>
                      <w:color w:val="FFFFFF"/>
                      <w:szCs w:val="20"/>
                    </w:rPr>
                    <w:t>Lacto</w:t>
                  </w:r>
                  <w:proofErr w:type="spellEnd"/>
                  <w:r w:rsidRPr="00505285">
                    <w:rPr>
                      <w:rFonts w:eastAsia="Times New Roman" w:cs="Arial"/>
                      <w:b/>
                      <w:bCs/>
                      <w:color w:val="FFFFFF"/>
                      <w:szCs w:val="20"/>
                    </w:rPr>
                    <w:t>-ovo-vego</w:t>
                  </w:r>
                </w:p>
              </w:tc>
            </w:tr>
            <w:tr w:rsidR="001025A2" w:rsidRPr="00505285" w14:paraId="6B1B7ABE" w14:textId="77777777">
              <w:trPr>
                <w:trHeight w:val="400"/>
              </w:trPr>
              <w:tc>
                <w:tcPr>
                  <w:tcW w:w="1201" w:type="dxa"/>
                  <w:vMerge/>
                  <w:shd w:val="clear" w:color="auto" w:fill="005F85"/>
                </w:tcPr>
                <w:p w14:paraId="728341EB" w14:textId="77777777" w:rsidR="001025A2" w:rsidRPr="00505285" w:rsidRDefault="001025A2">
                  <w:pPr>
                    <w:spacing w:after="0"/>
                    <w:ind w:right="-1346"/>
                    <w:rPr>
                      <w:rFonts w:eastAsia="Times New Roman" w:cs="Arial"/>
                      <w:b/>
                      <w:bCs/>
                      <w:color w:val="FFFFFF"/>
                      <w:szCs w:val="20"/>
                    </w:rPr>
                  </w:pPr>
                </w:p>
              </w:tc>
              <w:tc>
                <w:tcPr>
                  <w:tcW w:w="1134" w:type="dxa"/>
                  <w:vMerge w:val="restart"/>
                  <w:shd w:val="clear" w:color="auto" w:fill="005F85"/>
                  <w:vAlign w:val="bottom"/>
                </w:tcPr>
                <w:p w14:paraId="3084D985" w14:textId="77777777" w:rsidR="001025A2" w:rsidRPr="00505285" w:rsidRDefault="001025A2">
                  <w:pPr>
                    <w:spacing w:after="0"/>
                    <w:jc w:val="center"/>
                    <w:rPr>
                      <w:rFonts w:eastAsia="Times New Roman" w:cs="Arial"/>
                      <w:b/>
                      <w:bCs/>
                      <w:color w:val="FFFFFF"/>
                      <w:szCs w:val="20"/>
                    </w:rPr>
                  </w:pPr>
                  <w:r w:rsidRPr="00505285">
                    <w:rPr>
                      <w:rFonts w:eastAsia="Times New Roman" w:cs="Arial"/>
                      <w:b/>
                      <w:bCs/>
                      <w:color w:val="FFFFFF"/>
                      <w:szCs w:val="20"/>
                    </w:rPr>
                    <w:t>Intake in persons</w:t>
                  </w:r>
                </w:p>
                <w:p w14:paraId="7399949C" w14:textId="77777777" w:rsidR="001025A2" w:rsidRPr="00505285" w:rsidRDefault="001025A2">
                  <w:pPr>
                    <w:spacing w:after="0"/>
                    <w:jc w:val="center"/>
                    <w:rPr>
                      <w:rFonts w:eastAsia="Times New Roman" w:cs="Arial"/>
                      <w:b/>
                      <w:bCs/>
                      <w:color w:val="FFFFFF"/>
                      <w:szCs w:val="20"/>
                    </w:rPr>
                  </w:pPr>
                  <w:r w:rsidRPr="00505285">
                    <w:rPr>
                      <w:rFonts w:eastAsia="Times New Roman" w:cs="Arial"/>
                      <w:b/>
                      <w:bCs/>
                      <w:color w:val="FFFFFF"/>
                      <w:szCs w:val="20"/>
                    </w:rPr>
                    <w:t>(µg/day)</w:t>
                  </w:r>
                </w:p>
              </w:tc>
              <w:tc>
                <w:tcPr>
                  <w:tcW w:w="1275" w:type="dxa"/>
                  <w:vMerge w:val="restart"/>
                  <w:shd w:val="clear" w:color="auto" w:fill="005F85"/>
                  <w:vAlign w:val="bottom"/>
                </w:tcPr>
                <w:p w14:paraId="65E727F2" w14:textId="77777777" w:rsidR="001025A2" w:rsidRPr="00505285" w:rsidRDefault="001025A2">
                  <w:pPr>
                    <w:spacing w:after="0"/>
                    <w:rPr>
                      <w:rFonts w:eastAsia="Times New Roman" w:cs="Arial"/>
                      <w:b/>
                      <w:bCs/>
                      <w:color w:val="FFFFFF"/>
                      <w:szCs w:val="20"/>
                    </w:rPr>
                  </w:pPr>
                  <w:r w:rsidRPr="00505285">
                    <w:rPr>
                      <w:rFonts w:eastAsia="Times New Roman" w:cs="Arial"/>
                      <w:b/>
                      <w:bCs/>
                      <w:color w:val="FFFFFF"/>
                      <w:szCs w:val="20"/>
                    </w:rPr>
                    <w:t>Intake in males</w:t>
                  </w:r>
                </w:p>
                <w:p w14:paraId="6FF451BE" w14:textId="77777777" w:rsidR="001025A2" w:rsidRPr="00505285" w:rsidRDefault="001025A2">
                  <w:pPr>
                    <w:spacing w:after="0"/>
                    <w:rPr>
                      <w:rFonts w:eastAsia="Times New Roman" w:cs="Arial"/>
                      <w:b/>
                      <w:bCs/>
                      <w:color w:val="FFFFFF"/>
                      <w:szCs w:val="20"/>
                    </w:rPr>
                  </w:pPr>
                  <w:r w:rsidRPr="00505285">
                    <w:rPr>
                      <w:rFonts w:eastAsia="Times New Roman" w:cs="Arial"/>
                      <w:b/>
                      <w:bCs/>
                      <w:color w:val="FFFFFF"/>
                      <w:szCs w:val="20"/>
                    </w:rPr>
                    <w:t>(µg/day)</w:t>
                  </w:r>
                </w:p>
              </w:tc>
              <w:tc>
                <w:tcPr>
                  <w:tcW w:w="993" w:type="dxa"/>
                  <w:vMerge w:val="restart"/>
                  <w:shd w:val="clear" w:color="auto" w:fill="005F85"/>
                  <w:vAlign w:val="bottom"/>
                </w:tcPr>
                <w:p w14:paraId="0AF0D645" w14:textId="77777777" w:rsidR="001025A2" w:rsidRPr="00505285" w:rsidRDefault="001025A2">
                  <w:pPr>
                    <w:spacing w:after="0"/>
                    <w:ind w:right="-112"/>
                    <w:rPr>
                      <w:rFonts w:eastAsia="Times New Roman" w:cs="Arial"/>
                      <w:b/>
                      <w:bCs/>
                      <w:color w:val="FFFFFF"/>
                      <w:szCs w:val="20"/>
                    </w:rPr>
                  </w:pPr>
                  <w:r w:rsidRPr="00505285">
                    <w:rPr>
                      <w:rFonts w:eastAsia="Times New Roman" w:cs="Arial"/>
                      <w:b/>
                      <w:bCs/>
                      <w:color w:val="FFFFFF"/>
                      <w:szCs w:val="20"/>
                    </w:rPr>
                    <w:t>Intake in females</w:t>
                  </w:r>
                </w:p>
                <w:p w14:paraId="5458CC70" w14:textId="77777777" w:rsidR="001025A2" w:rsidRPr="00505285" w:rsidRDefault="001025A2">
                  <w:pPr>
                    <w:spacing w:after="0"/>
                    <w:ind w:right="-112"/>
                    <w:rPr>
                      <w:rFonts w:eastAsia="Times New Roman" w:cs="Arial"/>
                      <w:b/>
                      <w:bCs/>
                      <w:color w:val="FFFFFF"/>
                      <w:szCs w:val="20"/>
                    </w:rPr>
                  </w:pPr>
                  <w:r w:rsidRPr="00505285">
                    <w:rPr>
                      <w:rFonts w:eastAsia="Times New Roman" w:cs="Arial"/>
                      <w:b/>
                      <w:bCs/>
                      <w:color w:val="FFFFFF"/>
                      <w:szCs w:val="20"/>
                    </w:rPr>
                    <w:t>(µg/day)</w:t>
                  </w:r>
                </w:p>
              </w:tc>
              <w:tc>
                <w:tcPr>
                  <w:tcW w:w="1275" w:type="dxa"/>
                  <w:vMerge w:val="restart"/>
                  <w:shd w:val="clear" w:color="auto" w:fill="005F85"/>
                  <w:vAlign w:val="bottom"/>
                </w:tcPr>
                <w:p w14:paraId="6DA7C771" w14:textId="77777777" w:rsidR="001025A2" w:rsidRPr="00505285" w:rsidRDefault="001025A2">
                  <w:pPr>
                    <w:spacing w:after="0"/>
                    <w:rPr>
                      <w:rFonts w:eastAsia="Times New Roman" w:cs="Arial"/>
                      <w:b/>
                      <w:bCs/>
                      <w:color w:val="FFFFFF"/>
                      <w:szCs w:val="20"/>
                    </w:rPr>
                  </w:pPr>
                  <w:r w:rsidRPr="00505285">
                    <w:rPr>
                      <w:rFonts w:eastAsia="Times New Roman" w:cs="Arial"/>
                      <w:b/>
                      <w:bCs/>
                      <w:color w:val="FFFFFF"/>
                      <w:szCs w:val="20"/>
                    </w:rPr>
                    <w:t>Intake in males</w:t>
                  </w:r>
                </w:p>
                <w:p w14:paraId="589B2353" w14:textId="77777777" w:rsidR="001025A2" w:rsidRPr="00505285" w:rsidRDefault="001025A2">
                  <w:pPr>
                    <w:spacing w:after="0"/>
                    <w:rPr>
                      <w:rFonts w:eastAsia="Times New Roman" w:cs="Arial"/>
                      <w:b/>
                      <w:bCs/>
                      <w:color w:val="FFFFFF"/>
                      <w:szCs w:val="20"/>
                    </w:rPr>
                  </w:pPr>
                  <w:r w:rsidRPr="00505285">
                    <w:rPr>
                      <w:rFonts w:eastAsia="Times New Roman" w:cs="Arial"/>
                      <w:b/>
                      <w:bCs/>
                      <w:color w:val="FFFFFF"/>
                      <w:szCs w:val="20"/>
                    </w:rPr>
                    <w:t>(µg/day)</w:t>
                  </w:r>
                </w:p>
              </w:tc>
              <w:tc>
                <w:tcPr>
                  <w:tcW w:w="1276" w:type="dxa"/>
                  <w:vMerge w:val="restart"/>
                  <w:shd w:val="clear" w:color="auto" w:fill="005F85"/>
                  <w:vAlign w:val="bottom"/>
                </w:tcPr>
                <w:p w14:paraId="52A708EF" w14:textId="77777777" w:rsidR="001025A2" w:rsidRPr="00505285" w:rsidRDefault="001025A2">
                  <w:pPr>
                    <w:spacing w:after="0"/>
                    <w:ind w:right="-112"/>
                    <w:rPr>
                      <w:rFonts w:eastAsia="Times New Roman" w:cs="Arial"/>
                      <w:b/>
                      <w:bCs/>
                      <w:color w:val="FFFFFF"/>
                      <w:szCs w:val="20"/>
                    </w:rPr>
                  </w:pPr>
                  <w:r w:rsidRPr="00505285">
                    <w:rPr>
                      <w:rFonts w:eastAsia="Times New Roman" w:cs="Arial"/>
                      <w:b/>
                      <w:bCs/>
                      <w:color w:val="FFFFFF"/>
                      <w:szCs w:val="20"/>
                    </w:rPr>
                    <w:t>Intake in females</w:t>
                  </w:r>
                </w:p>
                <w:p w14:paraId="6D0E943C" w14:textId="77777777" w:rsidR="001025A2" w:rsidRPr="00505285" w:rsidRDefault="001025A2">
                  <w:pPr>
                    <w:spacing w:after="0"/>
                    <w:ind w:right="-110"/>
                    <w:rPr>
                      <w:rFonts w:eastAsia="Times New Roman" w:cs="Arial"/>
                      <w:b/>
                      <w:bCs/>
                      <w:color w:val="FFFFFF"/>
                      <w:szCs w:val="20"/>
                    </w:rPr>
                  </w:pPr>
                  <w:r w:rsidRPr="00505285">
                    <w:rPr>
                      <w:rFonts w:eastAsia="Times New Roman" w:cs="Arial"/>
                      <w:b/>
                      <w:bCs/>
                      <w:color w:val="FFFFFF"/>
                      <w:szCs w:val="20"/>
                    </w:rPr>
                    <w:t>(µg/day)</w:t>
                  </w:r>
                </w:p>
              </w:tc>
              <w:tc>
                <w:tcPr>
                  <w:tcW w:w="1276" w:type="dxa"/>
                  <w:vMerge w:val="restart"/>
                  <w:shd w:val="clear" w:color="auto" w:fill="005F85"/>
                  <w:vAlign w:val="bottom"/>
                </w:tcPr>
                <w:p w14:paraId="6359B2B6" w14:textId="77777777" w:rsidR="001025A2" w:rsidRPr="00505285" w:rsidRDefault="001025A2">
                  <w:pPr>
                    <w:spacing w:after="0"/>
                    <w:rPr>
                      <w:rFonts w:eastAsia="Times New Roman" w:cs="Arial"/>
                      <w:b/>
                      <w:bCs/>
                      <w:color w:val="FFFFFF"/>
                      <w:szCs w:val="20"/>
                    </w:rPr>
                  </w:pPr>
                  <w:r w:rsidRPr="00505285">
                    <w:rPr>
                      <w:rFonts w:eastAsia="Times New Roman" w:cs="Arial"/>
                      <w:b/>
                      <w:bCs/>
                      <w:color w:val="FFFFFF"/>
                      <w:szCs w:val="20"/>
                    </w:rPr>
                    <w:t>Intake in males</w:t>
                  </w:r>
                </w:p>
                <w:p w14:paraId="0329E622" w14:textId="77777777" w:rsidR="001025A2" w:rsidRPr="00505285" w:rsidRDefault="001025A2">
                  <w:pPr>
                    <w:spacing w:after="0"/>
                    <w:rPr>
                      <w:rFonts w:eastAsia="Times New Roman" w:cs="Arial"/>
                      <w:b/>
                      <w:bCs/>
                      <w:color w:val="FFFFFF"/>
                      <w:szCs w:val="20"/>
                    </w:rPr>
                  </w:pPr>
                  <w:r w:rsidRPr="00505285">
                    <w:rPr>
                      <w:rFonts w:eastAsia="Times New Roman" w:cs="Arial"/>
                      <w:b/>
                      <w:bCs/>
                      <w:color w:val="FFFFFF"/>
                      <w:szCs w:val="20"/>
                    </w:rPr>
                    <w:t>(µg/day)</w:t>
                  </w:r>
                </w:p>
              </w:tc>
              <w:tc>
                <w:tcPr>
                  <w:tcW w:w="1134" w:type="dxa"/>
                  <w:vMerge w:val="restart"/>
                  <w:shd w:val="clear" w:color="auto" w:fill="005F85"/>
                  <w:vAlign w:val="bottom"/>
                </w:tcPr>
                <w:p w14:paraId="796E5D0C" w14:textId="77777777" w:rsidR="001025A2" w:rsidRPr="00505285" w:rsidRDefault="001025A2">
                  <w:pPr>
                    <w:spacing w:after="0"/>
                    <w:ind w:right="-112"/>
                    <w:rPr>
                      <w:rFonts w:eastAsia="Times New Roman" w:cs="Arial"/>
                      <w:b/>
                      <w:bCs/>
                      <w:color w:val="FFFFFF"/>
                      <w:szCs w:val="20"/>
                    </w:rPr>
                  </w:pPr>
                  <w:r w:rsidRPr="00505285">
                    <w:rPr>
                      <w:rFonts w:eastAsia="Times New Roman" w:cs="Arial"/>
                      <w:b/>
                      <w:bCs/>
                      <w:color w:val="FFFFFF"/>
                      <w:szCs w:val="20"/>
                    </w:rPr>
                    <w:t>Intake in females</w:t>
                  </w:r>
                </w:p>
                <w:p w14:paraId="19F48622" w14:textId="77777777" w:rsidR="001025A2" w:rsidRPr="00505285" w:rsidRDefault="001025A2">
                  <w:pPr>
                    <w:spacing w:after="0"/>
                    <w:ind w:right="-108"/>
                    <w:rPr>
                      <w:rFonts w:eastAsia="Times New Roman" w:cs="Arial"/>
                      <w:b/>
                      <w:bCs/>
                      <w:color w:val="FFFFFF"/>
                      <w:szCs w:val="20"/>
                    </w:rPr>
                  </w:pPr>
                  <w:r w:rsidRPr="00505285">
                    <w:rPr>
                      <w:rFonts w:eastAsia="Times New Roman" w:cs="Arial"/>
                      <w:b/>
                      <w:bCs/>
                      <w:color w:val="FFFFFF"/>
                      <w:szCs w:val="20"/>
                    </w:rPr>
                    <w:t>(µg/day)</w:t>
                  </w:r>
                </w:p>
              </w:tc>
              <w:tc>
                <w:tcPr>
                  <w:tcW w:w="1276" w:type="dxa"/>
                  <w:vMerge w:val="restart"/>
                  <w:shd w:val="clear" w:color="auto" w:fill="005F85"/>
                  <w:vAlign w:val="bottom"/>
                </w:tcPr>
                <w:p w14:paraId="54CA78A1" w14:textId="77777777" w:rsidR="001025A2" w:rsidRPr="00505285" w:rsidRDefault="001025A2">
                  <w:pPr>
                    <w:spacing w:after="0"/>
                    <w:rPr>
                      <w:rFonts w:eastAsia="Times New Roman" w:cs="Arial"/>
                      <w:b/>
                      <w:bCs/>
                      <w:color w:val="FFFFFF"/>
                      <w:szCs w:val="20"/>
                    </w:rPr>
                  </w:pPr>
                  <w:r w:rsidRPr="00505285">
                    <w:rPr>
                      <w:rFonts w:eastAsia="Times New Roman" w:cs="Arial"/>
                      <w:b/>
                      <w:bCs/>
                      <w:color w:val="FFFFFF"/>
                      <w:szCs w:val="20"/>
                    </w:rPr>
                    <w:t>Intake in males</w:t>
                  </w:r>
                </w:p>
                <w:p w14:paraId="76828DC1" w14:textId="77777777" w:rsidR="001025A2" w:rsidRPr="00505285" w:rsidRDefault="001025A2">
                  <w:pPr>
                    <w:spacing w:after="0"/>
                    <w:rPr>
                      <w:rFonts w:eastAsia="Times New Roman" w:cs="Arial"/>
                      <w:b/>
                      <w:bCs/>
                      <w:color w:val="FFFFFF"/>
                      <w:szCs w:val="20"/>
                    </w:rPr>
                  </w:pPr>
                  <w:r w:rsidRPr="00505285">
                    <w:rPr>
                      <w:rFonts w:eastAsia="Times New Roman" w:cs="Arial"/>
                      <w:b/>
                      <w:bCs/>
                      <w:color w:val="FFFFFF"/>
                      <w:szCs w:val="20"/>
                    </w:rPr>
                    <w:t>(µg/day)</w:t>
                  </w:r>
                </w:p>
              </w:tc>
              <w:tc>
                <w:tcPr>
                  <w:tcW w:w="1134" w:type="dxa"/>
                  <w:vMerge w:val="restart"/>
                  <w:shd w:val="clear" w:color="auto" w:fill="005F85"/>
                  <w:vAlign w:val="bottom"/>
                </w:tcPr>
                <w:p w14:paraId="09851A14" w14:textId="77777777" w:rsidR="001025A2" w:rsidRPr="00505285" w:rsidRDefault="001025A2">
                  <w:pPr>
                    <w:spacing w:after="0"/>
                    <w:ind w:right="-112"/>
                    <w:rPr>
                      <w:rFonts w:eastAsia="Times New Roman" w:cs="Arial"/>
                      <w:b/>
                      <w:bCs/>
                      <w:color w:val="FFFFFF"/>
                      <w:szCs w:val="20"/>
                    </w:rPr>
                  </w:pPr>
                  <w:r w:rsidRPr="00505285">
                    <w:rPr>
                      <w:rFonts w:eastAsia="Times New Roman" w:cs="Arial"/>
                      <w:b/>
                      <w:bCs/>
                      <w:color w:val="FFFFFF"/>
                      <w:szCs w:val="20"/>
                    </w:rPr>
                    <w:t>Intake in females</w:t>
                  </w:r>
                </w:p>
                <w:p w14:paraId="52463992" w14:textId="77777777" w:rsidR="001025A2" w:rsidRPr="00505285" w:rsidRDefault="001025A2">
                  <w:pPr>
                    <w:spacing w:after="0"/>
                    <w:ind w:right="-104"/>
                    <w:rPr>
                      <w:rFonts w:eastAsia="Times New Roman" w:cs="Arial"/>
                      <w:b/>
                      <w:bCs/>
                      <w:color w:val="FFFFFF"/>
                      <w:szCs w:val="20"/>
                    </w:rPr>
                  </w:pPr>
                  <w:r w:rsidRPr="00505285">
                    <w:rPr>
                      <w:rFonts w:eastAsia="Times New Roman" w:cs="Arial"/>
                      <w:b/>
                      <w:bCs/>
                      <w:color w:val="FFFFFF"/>
                      <w:szCs w:val="20"/>
                    </w:rPr>
                    <w:t>(µg/day)</w:t>
                  </w:r>
                </w:p>
              </w:tc>
            </w:tr>
            <w:tr w:rsidR="001025A2" w:rsidRPr="00505285" w14:paraId="75A37D80" w14:textId="77777777">
              <w:trPr>
                <w:trHeight w:val="400"/>
              </w:trPr>
              <w:tc>
                <w:tcPr>
                  <w:tcW w:w="1201" w:type="dxa"/>
                  <w:vMerge/>
                  <w:shd w:val="clear" w:color="auto" w:fill="005F85"/>
                </w:tcPr>
                <w:p w14:paraId="1840A9A9" w14:textId="77777777" w:rsidR="001025A2" w:rsidRPr="00505285" w:rsidRDefault="001025A2">
                  <w:pPr>
                    <w:spacing w:after="0"/>
                    <w:ind w:right="-1346"/>
                    <w:rPr>
                      <w:rFonts w:eastAsia="Times New Roman" w:cs="Arial"/>
                      <w:b/>
                      <w:bCs/>
                      <w:color w:val="FFFFFF"/>
                      <w:szCs w:val="20"/>
                    </w:rPr>
                  </w:pPr>
                </w:p>
              </w:tc>
              <w:tc>
                <w:tcPr>
                  <w:tcW w:w="1134" w:type="dxa"/>
                  <w:vMerge/>
                  <w:shd w:val="clear" w:color="auto" w:fill="005F85"/>
                </w:tcPr>
                <w:p w14:paraId="03B97BC2" w14:textId="77777777" w:rsidR="001025A2" w:rsidRPr="00505285" w:rsidRDefault="001025A2">
                  <w:pPr>
                    <w:spacing w:after="0"/>
                    <w:jc w:val="center"/>
                    <w:rPr>
                      <w:rFonts w:eastAsia="Times New Roman" w:cs="Arial"/>
                      <w:b/>
                      <w:bCs/>
                      <w:color w:val="FFFFFF"/>
                      <w:szCs w:val="20"/>
                    </w:rPr>
                  </w:pPr>
                </w:p>
              </w:tc>
              <w:tc>
                <w:tcPr>
                  <w:tcW w:w="1275" w:type="dxa"/>
                  <w:vMerge/>
                  <w:shd w:val="clear" w:color="auto" w:fill="005F85"/>
                </w:tcPr>
                <w:p w14:paraId="7DCD8043" w14:textId="77777777" w:rsidR="001025A2" w:rsidRPr="00505285" w:rsidRDefault="001025A2">
                  <w:pPr>
                    <w:spacing w:after="0"/>
                    <w:rPr>
                      <w:rFonts w:eastAsia="Times New Roman" w:cs="Arial"/>
                      <w:b/>
                      <w:bCs/>
                      <w:color w:val="FFFFFF"/>
                      <w:szCs w:val="20"/>
                    </w:rPr>
                  </w:pPr>
                </w:p>
              </w:tc>
              <w:tc>
                <w:tcPr>
                  <w:tcW w:w="993" w:type="dxa"/>
                  <w:vMerge/>
                  <w:shd w:val="clear" w:color="auto" w:fill="005F85"/>
                </w:tcPr>
                <w:p w14:paraId="4FBE92C9" w14:textId="77777777" w:rsidR="001025A2" w:rsidRPr="00505285" w:rsidRDefault="001025A2">
                  <w:pPr>
                    <w:spacing w:after="0"/>
                    <w:rPr>
                      <w:rFonts w:eastAsia="Times New Roman" w:cs="Arial"/>
                      <w:b/>
                      <w:bCs/>
                      <w:color w:val="FFFFFF"/>
                      <w:szCs w:val="20"/>
                    </w:rPr>
                  </w:pPr>
                </w:p>
              </w:tc>
              <w:tc>
                <w:tcPr>
                  <w:tcW w:w="1275" w:type="dxa"/>
                  <w:vMerge/>
                  <w:shd w:val="clear" w:color="auto" w:fill="005F85"/>
                </w:tcPr>
                <w:p w14:paraId="5D11FA04" w14:textId="77777777" w:rsidR="001025A2" w:rsidRPr="00505285" w:rsidRDefault="001025A2">
                  <w:pPr>
                    <w:spacing w:after="0"/>
                    <w:rPr>
                      <w:rFonts w:eastAsia="Times New Roman" w:cs="Arial"/>
                      <w:b/>
                      <w:bCs/>
                      <w:color w:val="FFFFFF"/>
                      <w:szCs w:val="20"/>
                    </w:rPr>
                  </w:pPr>
                </w:p>
              </w:tc>
              <w:tc>
                <w:tcPr>
                  <w:tcW w:w="1276" w:type="dxa"/>
                  <w:vMerge/>
                  <w:shd w:val="clear" w:color="auto" w:fill="005F85"/>
                </w:tcPr>
                <w:p w14:paraId="15B152DB" w14:textId="77777777" w:rsidR="001025A2" w:rsidRPr="00505285" w:rsidRDefault="001025A2">
                  <w:pPr>
                    <w:spacing w:after="0"/>
                    <w:rPr>
                      <w:rFonts w:eastAsia="Times New Roman" w:cs="Arial"/>
                      <w:b/>
                      <w:bCs/>
                      <w:color w:val="FFFFFF"/>
                      <w:szCs w:val="20"/>
                    </w:rPr>
                  </w:pPr>
                </w:p>
              </w:tc>
              <w:tc>
                <w:tcPr>
                  <w:tcW w:w="1276" w:type="dxa"/>
                  <w:vMerge/>
                  <w:shd w:val="clear" w:color="auto" w:fill="005F85"/>
                </w:tcPr>
                <w:p w14:paraId="4EC46882" w14:textId="77777777" w:rsidR="001025A2" w:rsidRPr="00505285" w:rsidRDefault="001025A2">
                  <w:pPr>
                    <w:spacing w:after="0"/>
                    <w:rPr>
                      <w:rFonts w:eastAsia="Times New Roman" w:cs="Arial"/>
                      <w:b/>
                      <w:bCs/>
                      <w:color w:val="FFFFFF"/>
                      <w:szCs w:val="20"/>
                    </w:rPr>
                  </w:pPr>
                </w:p>
              </w:tc>
              <w:tc>
                <w:tcPr>
                  <w:tcW w:w="1134" w:type="dxa"/>
                  <w:vMerge/>
                  <w:shd w:val="clear" w:color="auto" w:fill="005F85"/>
                </w:tcPr>
                <w:p w14:paraId="5FEA31F8" w14:textId="77777777" w:rsidR="001025A2" w:rsidRPr="00505285" w:rsidRDefault="001025A2">
                  <w:pPr>
                    <w:spacing w:after="0"/>
                    <w:rPr>
                      <w:rFonts w:eastAsia="Times New Roman" w:cs="Arial"/>
                      <w:b/>
                      <w:bCs/>
                      <w:color w:val="FFFFFF"/>
                      <w:szCs w:val="20"/>
                    </w:rPr>
                  </w:pPr>
                </w:p>
              </w:tc>
              <w:tc>
                <w:tcPr>
                  <w:tcW w:w="1276" w:type="dxa"/>
                  <w:vMerge/>
                  <w:shd w:val="clear" w:color="auto" w:fill="005F85"/>
                </w:tcPr>
                <w:p w14:paraId="368BE2C4" w14:textId="77777777" w:rsidR="001025A2" w:rsidRPr="00505285" w:rsidRDefault="001025A2">
                  <w:pPr>
                    <w:spacing w:after="0"/>
                    <w:rPr>
                      <w:rFonts w:eastAsia="Times New Roman" w:cs="Arial"/>
                      <w:b/>
                      <w:bCs/>
                      <w:color w:val="FFFFFF"/>
                      <w:szCs w:val="20"/>
                    </w:rPr>
                  </w:pPr>
                </w:p>
              </w:tc>
              <w:tc>
                <w:tcPr>
                  <w:tcW w:w="1134" w:type="dxa"/>
                  <w:vMerge/>
                  <w:shd w:val="clear" w:color="auto" w:fill="005F85"/>
                </w:tcPr>
                <w:p w14:paraId="2F8753B8" w14:textId="77777777" w:rsidR="001025A2" w:rsidRPr="00505285" w:rsidRDefault="001025A2">
                  <w:pPr>
                    <w:spacing w:after="0"/>
                    <w:rPr>
                      <w:rFonts w:eastAsia="Times New Roman" w:cs="Arial"/>
                      <w:b/>
                      <w:bCs/>
                      <w:color w:val="FFFFFF"/>
                      <w:szCs w:val="20"/>
                    </w:rPr>
                  </w:pPr>
                </w:p>
              </w:tc>
            </w:tr>
            <w:tr w:rsidR="001025A2" w:rsidRPr="00505285" w14:paraId="42A86C2A" w14:textId="77777777">
              <w:tc>
                <w:tcPr>
                  <w:tcW w:w="1201" w:type="dxa"/>
                </w:tcPr>
                <w:p w14:paraId="1C129887" w14:textId="77777777" w:rsidR="001025A2" w:rsidRPr="00505285" w:rsidRDefault="001025A2">
                  <w:pPr>
                    <w:spacing w:after="0"/>
                    <w:ind w:right="-1346"/>
                    <w:rPr>
                      <w:rFonts w:eastAsia="Times New Roman" w:cs="Arial"/>
                      <w:szCs w:val="20"/>
                    </w:rPr>
                  </w:pPr>
                  <w:r w:rsidRPr="00505285">
                    <w:rPr>
                      <w:rFonts w:eastAsia="Times New Roman" w:cs="Arial"/>
                      <w:szCs w:val="20"/>
                    </w:rPr>
                    <w:t>19-30 yr</w:t>
                  </w:r>
                </w:p>
              </w:tc>
              <w:tc>
                <w:tcPr>
                  <w:tcW w:w="1134" w:type="dxa"/>
                  <w:vMerge w:val="restart"/>
                  <w:vAlign w:val="center"/>
                </w:tcPr>
                <w:p w14:paraId="107244CB" w14:textId="77777777" w:rsidR="001025A2" w:rsidRPr="00505285" w:rsidRDefault="001025A2">
                  <w:pPr>
                    <w:spacing w:after="0"/>
                    <w:ind w:right="38"/>
                    <w:jc w:val="center"/>
                    <w:rPr>
                      <w:rFonts w:eastAsia="Times New Roman" w:cs="Arial"/>
                      <w:szCs w:val="20"/>
                    </w:rPr>
                  </w:pPr>
                  <w:r w:rsidRPr="00505285">
                    <w:rPr>
                      <w:rFonts w:eastAsia="Times New Roman" w:cs="Arial"/>
                      <w:szCs w:val="20"/>
                    </w:rPr>
                    <w:t>148</w:t>
                  </w:r>
                </w:p>
              </w:tc>
              <w:tc>
                <w:tcPr>
                  <w:tcW w:w="1275" w:type="dxa"/>
                </w:tcPr>
                <w:p w14:paraId="0AC5D9BF"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197</w:t>
                  </w:r>
                </w:p>
              </w:tc>
              <w:tc>
                <w:tcPr>
                  <w:tcW w:w="993" w:type="dxa"/>
                </w:tcPr>
                <w:p w14:paraId="633F1820"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210</w:t>
                  </w:r>
                </w:p>
              </w:tc>
              <w:tc>
                <w:tcPr>
                  <w:tcW w:w="1275" w:type="dxa"/>
                </w:tcPr>
                <w:p w14:paraId="068D761F" w14:textId="77777777" w:rsidR="001025A2" w:rsidRPr="00505285" w:rsidRDefault="001025A2">
                  <w:pPr>
                    <w:spacing w:after="0"/>
                    <w:ind w:right="36"/>
                    <w:jc w:val="center"/>
                    <w:rPr>
                      <w:rFonts w:eastAsia="Times New Roman" w:cs="Arial"/>
                      <w:szCs w:val="20"/>
                    </w:rPr>
                  </w:pPr>
                  <w:r w:rsidRPr="00505285">
                    <w:rPr>
                      <w:rFonts w:eastAsia="Times New Roman" w:cs="Arial"/>
                      <w:szCs w:val="20"/>
                    </w:rPr>
                    <w:t>213</w:t>
                  </w:r>
                </w:p>
              </w:tc>
              <w:tc>
                <w:tcPr>
                  <w:tcW w:w="1276" w:type="dxa"/>
                </w:tcPr>
                <w:p w14:paraId="7BF9255A"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204</w:t>
                  </w:r>
                </w:p>
              </w:tc>
              <w:tc>
                <w:tcPr>
                  <w:tcW w:w="1276" w:type="dxa"/>
                </w:tcPr>
                <w:p w14:paraId="201AE056" w14:textId="77777777" w:rsidR="001025A2" w:rsidRPr="00505285" w:rsidRDefault="001025A2">
                  <w:pPr>
                    <w:spacing w:after="0"/>
                    <w:ind w:right="27"/>
                    <w:jc w:val="center"/>
                    <w:rPr>
                      <w:rFonts w:eastAsia="Times New Roman" w:cs="Arial"/>
                      <w:szCs w:val="20"/>
                    </w:rPr>
                  </w:pPr>
                  <w:r w:rsidRPr="00505285">
                    <w:rPr>
                      <w:rFonts w:eastAsia="Times New Roman" w:cs="Arial"/>
                      <w:szCs w:val="20"/>
                    </w:rPr>
                    <w:t>181</w:t>
                  </w:r>
                </w:p>
              </w:tc>
              <w:tc>
                <w:tcPr>
                  <w:tcW w:w="1134" w:type="dxa"/>
                </w:tcPr>
                <w:p w14:paraId="421D19C9" w14:textId="77777777" w:rsidR="001025A2" w:rsidRPr="00505285" w:rsidRDefault="001025A2">
                  <w:pPr>
                    <w:spacing w:after="0"/>
                    <w:ind w:right="27"/>
                    <w:jc w:val="center"/>
                    <w:rPr>
                      <w:rFonts w:eastAsia="Times New Roman" w:cs="Arial"/>
                      <w:szCs w:val="20"/>
                    </w:rPr>
                  </w:pPr>
                  <w:r w:rsidRPr="00505285">
                    <w:rPr>
                      <w:rFonts w:eastAsia="Times New Roman" w:cs="Arial"/>
                      <w:szCs w:val="20"/>
                    </w:rPr>
                    <w:t>187</w:t>
                  </w:r>
                </w:p>
              </w:tc>
              <w:tc>
                <w:tcPr>
                  <w:tcW w:w="1276" w:type="dxa"/>
                </w:tcPr>
                <w:p w14:paraId="717305FD" w14:textId="77777777" w:rsidR="001025A2" w:rsidRPr="00505285" w:rsidRDefault="001025A2">
                  <w:pPr>
                    <w:spacing w:after="0"/>
                    <w:ind w:right="34"/>
                    <w:jc w:val="center"/>
                    <w:rPr>
                      <w:rFonts w:eastAsia="Times New Roman" w:cs="Arial"/>
                      <w:szCs w:val="20"/>
                    </w:rPr>
                  </w:pPr>
                  <w:r w:rsidRPr="00505285">
                    <w:rPr>
                      <w:rFonts w:eastAsia="Times New Roman" w:cs="Arial"/>
                      <w:szCs w:val="20"/>
                    </w:rPr>
                    <w:t>177</w:t>
                  </w:r>
                </w:p>
              </w:tc>
              <w:tc>
                <w:tcPr>
                  <w:tcW w:w="1134" w:type="dxa"/>
                </w:tcPr>
                <w:p w14:paraId="64B9B02C" w14:textId="77777777" w:rsidR="001025A2" w:rsidRPr="00505285" w:rsidRDefault="001025A2">
                  <w:pPr>
                    <w:spacing w:after="0"/>
                    <w:ind w:right="34"/>
                    <w:jc w:val="center"/>
                    <w:rPr>
                      <w:rFonts w:eastAsia="Times New Roman" w:cs="Arial"/>
                      <w:szCs w:val="20"/>
                    </w:rPr>
                  </w:pPr>
                  <w:r w:rsidRPr="00505285">
                    <w:rPr>
                      <w:rFonts w:eastAsia="Times New Roman" w:cs="Arial"/>
                      <w:szCs w:val="20"/>
                    </w:rPr>
                    <w:t>173</w:t>
                  </w:r>
                </w:p>
              </w:tc>
            </w:tr>
            <w:tr w:rsidR="001025A2" w:rsidRPr="00505285" w14:paraId="3C3185C9" w14:textId="77777777">
              <w:tc>
                <w:tcPr>
                  <w:tcW w:w="1201" w:type="dxa"/>
                </w:tcPr>
                <w:p w14:paraId="524A5B7A" w14:textId="77777777" w:rsidR="001025A2" w:rsidRPr="00505285" w:rsidRDefault="001025A2">
                  <w:pPr>
                    <w:spacing w:after="0"/>
                    <w:ind w:right="-1346"/>
                    <w:rPr>
                      <w:rFonts w:eastAsia="Times New Roman" w:cs="Arial"/>
                      <w:szCs w:val="20"/>
                    </w:rPr>
                  </w:pPr>
                  <w:r w:rsidRPr="00505285">
                    <w:rPr>
                      <w:rFonts w:eastAsia="Times New Roman" w:cs="Arial"/>
                      <w:szCs w:val="20"/>
                    </w:rPr>
                    <w:t>31-50 yr</w:t>
                  </w:r>
                </w:p>
              </w:tc>
              <w:tc>
                <w:tcPr>
                  <w:tcW w:w="1134" w:type="dxa"/>
                  <w:vMerge/>
                </w:tcPr>
                <w:p w14:paraId="09A43775" w14:textId="77777777" w:rsidR="001025A2" w:rsidRPr="00505285" w:rsidRDefault="001025A2">
                  <w:pPr>
                    <w:spacing w:after="0"/>
                    <w:ind w:right="38"/>
                    <w:jc w:val="center"/>
                    <w:rPr>
                      <w:rFonts w:eastAsia="Times New Roman" w:cs="Arial"/>
                      <w:szCs w:val="20"/>
                    </w:rPr>
                  </w:pPr>
                </w:p>
              </w:tc>
              <w:tc>
                <w:tcPr>
                  <w:tcW w:w="1275" w:type="dxa"/>
                </w:tcPr>
                <w:p w14:paraId="7BF038B3"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210</w:t>
                  </w:r>
                </w:p>
              </w:tc>
              <w:tc>
                <w:tcPr>
                  <w:tcW w:w="993" w:type="dxa"/>
                </w:tcPr>
                <w:p w14:paraId="49BC29E1"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211</w:t>
                  </w:r>
                </w:p>
              </w:tc>
              <w:tc>
                <w:tcPr>
                  <w:tcW w:w="1275" w:type="dxa"/>
                </w:tcPr>
                <w:p w14:paraId="529F8A82" w14:textId="77777777" w:rsidR="001025A2" w:rsidRPr="00505285" w:rsidRDefault="001025A2">
                  <w:pPr>
                    <w:spacing w:after="0"/>
                    <w:ind w:right="36"/>
                    <w:jc w:val="center"/>
                    <w:rPr>
                      <w:rFonts w:eastAsia="Times New Roman" w:cs="Arial"/>
                      <w:szCs w:val="20"/>
                    </w:rPr>
                  </w:pPr>
                  <w:r w:rsidRPr="00505285">
                    <w:rPr>
                      <w:rFonts w:eastAsia="Times New Roman" w:cs="Arial"/>
                      <w:szCs w:val="20"/>
                    </w:rPr>
                    <w:t>224</w:t>
                  </w:r>
                </w:p>
              </w:tc>
              <w:tc>
                <w:tcPr>
                  <w:tcW w:w="1276" w:type="dxa"/>
                </w:tcPr>
                <w:p w14:paraId="4D917B09"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210</w:t>
                  </w:r>
                </w:p>
              </w:tc>
              <w:tc>
                <w:tcPr>
                  <w:tcW w:w="1276" w:type="dxa"/>
                </w:tcPr>
                <w:p w14:paraId="6129F1FE" w14:textId="77777777" w:rsidR="001025A2" w:rsidRPr="00505285" w:rsidRDefault="001025A2">
                  <w:pPr>
                    <w:spacing w:after="0"/>
                    <w:ind w:right="27"/>
                    <w:jc w:val="center"/>
                    <w:rPr>
                      <w:rFonts w:eastAsia="Times New Roman" w:cs="Arial"/>
                      <w:szCs w:val="20"/>
                    </w:rPr>
                  </w:pPr>
                  <w:r w:rsidRPr="00505285">
                    <w:rPr>
                      <w:rFonts w:eastAsia="Times New Roman" w:cs="Arial"/>
                      <w:szCs w:val="20"/>
                    </w:rPr>
                    <w:t>192</w:t>
                  </w:r>
                </w:p>
              </w:tc>
              <w:tc>
                <w:tcPr>
                  <w:tcW w:w="1134" w:type="dxa"/>
                </w:tcPr>
                <w:p w14:paraId="2135826E" w14:textId="77777777" w:rsidR="001025A2" w:rsidRPr="00505285" w:rsidRDefault="001025A2">
                  <w:pPr>
                    <w:spacing w:after="0"/>
                    <w:ind w:right="27"/>
                    <w:jc w:val="center"/>
                    <w:rPr>
                      <w:rFonts w:eastAsia="Times New Roman" w:cs="Arial"/>
                      <w:szCs w:val="20"/>
                    </w:rPr>
                  </w:pPr>
                  <w:r w:rsidRPr="00505285">
                    <w:rPr>
                      <w:rFonts w:eastAsia="Times New Roman" w:cs="Arial"/>
                      <w:szCs w:val="20"/>
                    </w:rPr>
                    <w:t>197</w:t>
                  </w:r>
                </w:p>
              </w:tc>
              <w:tc>
                <w:tcPr>
                  <w:tcW w:w="1276" w:type="dxa"/>
                </w:tcPr>
                <w:p w14:paraId="1CD971AE"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190</w:t>
                  </w:r>
                </w:p>
              </w:tc>
              <w:tc>
                <w:tcPr>
                  <w:tcW w:w="1134" w:type="dxa"/>
                </w:tcPr>
                <w:p w14:paraId="5CEAF122" w14:textId="77777777" w:rsidR="001025A2" w:rsidRPr="00505285" w:rsidRDefault="001025A2">
                  <w:pPr>
                    <w:spacing w:after="0"/>
                    <w:ind w:right="34"/>
                    <w:jc w:val="center"/>
                    <w:rPr>
                      <w:rFonts w:eastAsia="Times New Roman" w:cs="Arial"/>
                      <w:szCs w:val="20"/>
                    </w:rPr>
                  </w:pPr>
                  <w:r w:rsidRPr="00505285">
                    <w:rPr>
                      <w:rFonts w:eastAsia="Times New Roman" w:cs="Arial"/>
                      <w:szCs w:val="20"/>
                    </w:rPr>
                    <w:t>178</w:t>
                  </w:r>
                </w:p>
              </w:tc>
            </w:tr>
            <w:tr w:rsidR="001025A2" w:rsidRPr="00505285" w14:paraId="24707C82" w14:textId="77777777">
              <w:tc>
                <w:tcPr>
                  <w:tcW w:w="1201" w:type="dxa"/>
                </w:tcPr>
                <w:p w14:paraId="52E64117" w14:textId="77777777" w:rsidR="001025A2" w:rsidRPr="00505285" w:rsidRDefault="001025A2">
                  <w:pPr>
                    <w:spacing w:after="0"/>
                    <w:ind w:right="-1346"/>
                    <w:rPr>
                      <w:rFonts w:eastAsia="Times New Roman" w:cs="Arial"/>
                      <w:szCs w:val="20"/>
                    </w:rPr>
                  </w:pPr>
                  <w:r w:rsidRPr="00505285">
                    <w:rPr>
                      <w:rFonts w:eastAsia="Times New Roman" w:cs="Arial"/>
                      <w:szCs w:val="20"/>
                    </w:rPr>
                    <w:t>51-70 yr</w:t>
                  </w:r>
                </w:p>
              </w:tc>
              <w:tc>
                <w:tcPr>
                  <w:tcW w:w="1134" w:type="dxa"/>
                  <w:vMerge/>
                </w:tcPr>
                <w:p w14:paraId="665BFDB9" w14:textId="77777777" w:rsidR="001025A2" w:rsidRPr="00505285" w:rsidRDefault="001025A2">
                  <w:pPr>
                    <w:spacing w:after="0"/>
                    <w:ind w:right="38"/>
                    <w:jc w:val="center"/>
                    <w:rPr>
                      <w:rFonts w:eastAsia="Times New Roman" w:cs="Arial"/>
                      <w:szCs w:val="20"/>
                    </w:rPr>
                  </w:pPr>
                </w:p>
              </w:tc>
              <w:tc>
                <w:tcPr>
                  <w:tcW w:w="1275" w:type="dxa"/>
                </w:tcPr>
                <w:p w14:paraId="72219166"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219</w:t>
                  </w:r>
                </w:p>
              </w:tc>
              <w:tc>
                <w:tcPr>
                  <w:tcW w:w="993" w:type="dxa"/>
                </w:tcPr>
                <w:p w14:paraId="0CD3E52D"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275</w:t>
                  </w:r>
                </w:p>
              </w:tc>
              <w:tc>
                <w:tcPr>
                  <w:tcW w:w="1275" w:type="dxa"/>
                </w:tcPr>
                <w:p w14:paraId="380BB136" w14:textId="77777777" w:rsidR="001025A2" w:rsidRPr="00505285" w:rsidRDefault="001025A2">
                  <w:pPr>
                    <w:spacing w:after="0"/>
                    <w:ind w:right="36"/>
                    <w:jc w:val="center"/>
                    <w:rPr>
                      <w:rFonts w:eastAsia="Times New Roman" w:cs="Arial"/>
                      <w:szCs w:val="20"/>
                    </w:rPr>
                  </w:pPr>
                  <w:r w:rsidRPr="00505285">
                    <w:rPr>
                      <w:rFonts w:eastAsia="Times New Roman" w:cs="Arial"/>
                      <w:szCs w:val="20"/>
                    </w:rPr>
                    <w:t>229</w:t>
                  </w:r>
                </w:p>
              </w:tc>
              <w:tc>
                <w:tcPr>
                  <w:tcW w:w="1276" w:type="dxa"/>
                </w:tcPr>
                <w:p w14:paraId="339A317F"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290</w:t>
                  </w:r>
                </w:p>
              </w:tc>
              <w:tc>
                <w:tcPr>
                  <w:tcW w:w="1276" w:type="dxa"/>
                </w:tcPr>
                <w:p w14:paraId="3D69968D" w14:textId="77777777" w:rsidR="001025A2" w:rsidRPr="00505285" w:rsidRDefault="001025A2">
                  <w:pPr>
                    <w:spacing w:after="0"/>
                    <w:ind w:right="27"/>
                    <w:jc w:val="center"/>
                    <w:rPr>
                      <w:rFonts w:eastAsia="Times New Roman" w:cs="Arial"/>
                      <w:szCs w:val="20"/>
                    </w:rPr>
                  </w:pPr>
                  <w:r w:rsidRPr="00505285">
                    <w:rPr>
                      <w:rFonts w:eastAsia="Times New Roman" w:cs="Arial"/>
                      <w:szCs w:val="20"/>
                    </w:rPr>
                    <w:t>198</w:t>
                  </w:r>
                </w:p>
              </w:tc>
              <w:tc>
                <w:tcPr>
                  <w:tcW w:w="1134" w:type="dxa"/>
                </w:tcPr>
                <w:p w14:paraId="16C168A8" w14:textId="77777777" w:rsidR="001025A2" w:rsidRPr="00505285" w:rsidRDefault="001025A2">
                  <w:pPr>
                    <w:spacing w:after="0"/>
                    <w:ind w:right="27"/>
                    <w:jc w:val="center"/>
                    <w:rPr>
                      <w:rFonts w:eastAsia="Times New Roman" w:cs="Arial"/>
                      <w:szCs w:val="20"/>
                    </w:rPr>
                  </w:pPr>
                  <w:r w:rsidRPr="00505285">
                    <w:rPr>
                      <w:rFonts w:eastAsia="Times New Roman" w:cs="Arial"/>
                      <w:szCs w:val="20"/>
                    </w:rPr>
                    <w:t>229</w:t>
                  </w:r>
                </w:p>
              </w:tc>
              <w:tc>
                <w:tcPr>
                  <w:tcW w:w="1276" w:type="dxa"/>
                </w:tcPr>
                <w:p w14:paraId="14D8A8CF"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198</w:t>
                  </w:r>
                </w:p>
              </w:tc>
              <w:tc>
                <w:tcPr>
                  <w:tcW w:w="1134" w:type="dxa"/>
                </w:tcPr>
                <w:p w14:paraId="56D0D461" w14:textId="77777777" w:rsidR="001025A2" w:rsidRPr="00505285" w:rsidRDefault="001025A2">
                  <w:pPr>
                    <w:spacing w:after="0"/>
                    <w:ind w:right="34"/>
                    <w:jc w:val="center"/>
                    <w:rPr>
                      <w:rFonts w:eastAsia="Times New Roman" w:cs="Arial"/>
                      <w:szCs w:val="20"/>
                    </w:rPr>
                  </w:pPr>
                  <w:r w:rsidRPr="00505285">
                    <w:rPr>
                      <w:rFonts w:eastAsia="Times New Roman" w:cs="Arial"/>
                      <w:szCs w:val="20"/>
                    </w:rPr>
                    <w:t>233</w:t>
                  </w:r>
                </w:p>
              </w:tc>
            </w:tr>
            <w:tr w:rsidR="001025A2" w:rsidRPr="00505285" w14:paraId="099367FC" w14:textId="77777777">
              <w:tc>
                <w:tcPr>
                  <w:tcW w:w="1201" w:type="dxa"/>
                </w:tcPr>
                <w:p w14:paraId="0A6556F4" w14:textId="77777777" w:rsidR="001025A2" w:rsidRPr="00505285" w:rsidRDefault="001025A2">
                  <w:pPr>
                    <w:spacing w:after="0"/>
                    <w:ind w:right="-1346"/>
                    <w:rPr>
                      <w:rFonts w:eastAsia="Times New Roman" w:cs="Arial"/>
                      <w:szCs w:val="20"/>
                    </w:rPr>
                  </w:pPr>
                  <w:r w:rsidRPr="00505285">
                    <w:rPr>
                      <w:rFonts w:eastAsia="Times New Roman" w:cs="Arial"/>
                      <w:szCs w:val="20"/>
                    </w:rPr>
                    <w:t>70+ yr</w:t>
                  </w:r>
                </w:p>
              </w:tc>
              <w:tc>
                <w:tcPr>
                  <w:tcW w:w="1134" w:type="dxa"/>
                  <w:vMerge/>
                </w:tcPr>
                <w:p w14:paraId="6CC58C4E" w14:textId="77777777" w:rsidR="001025A2" w:rsidRPr="00505285" w:rsidRDefault="001025A2">
                  <w:pPr>
                    <w:spacing w:after="0"/>
                    <w:ind w:right="38"/>
                    <w:jc w:val="center"/>
                    <w:rPr>
                      <w:rFonts w:eastAsia="Times New Roman" w:cs="Arial"/>
                      <w:szCs w:val="20"/>
                    </w:rPr>
                  </w:pPr>
                </w:p>
              </w:tc>
              <w:tc>
                <w:tcPr>
                  <w:tcW w:w="1275" w:type="dxa"/>
                </w:tcPr>
                <w:p w14:paraId="71A478FB"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256</w:t>
                  </w:r>
                </w:p>
              </w:tc>
              <w:tc>
                <w:tcPr>
                  <w:tcW w:w="993" w:type="dxa"/>
                </w:tcPr>
                <w:p w14:paraId="4DC21DB5"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260</w:t>
                  </w:r>
                </w:p>
              </w:tc>
              <w:tc>
                <w:tcPr>
                  <w:tcW w:w="1275" w:type="dxa"/>
                </w:tcPr>
                <w:p w14:paraId="2AFA9195"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275</w:t>
                  </w:r>
                </w:p>
              </w:tc>
              <w:tc>
                <w:tcPr>
                  <w:tcW w:w="1276" w:type="dxa"/>
                </w:tcPr>
                <w:p w14:paraId="69AFB906"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289</w:t>
                  </w:r>
                </w:p>
              </w:tc>
              <w:tc>
                <w:tcPr>
                  <w:tcW w:w="1276" w:type="dxa"/>
                </w:tcPr>
                <w:p w14:paraId="155A085A" w14:textId="77777777" w:rsidR="001025A2" w:rsidRPr="00505285" w:rsidRDefault="001025A2">
                  <w:pPr>
                    <w:spacing w:after="0"/>
                    <w:ind w:right="27"/>
                    <w:jc w:val="center"/>
                    <w:rPr>
                      <w:rFonts w:eastAsia="Times New Roman" w:cs="Arial"/>
                      <w:szCs w:val="20"/>
                    </w:rPr>
                  </w:pPr>
                  <w:r w:rsidRPr="00505285">
                    <w:rPr>
                      <w:rFonts w:eastAsia="Times New Roman" w:cs="Arial"/>
                      <w:szCs w:val="20"/>
                    </w:rPr>
                    <w:t>249</w:t>
                  </w:r>
                </w:p>
              </w:tc>
              <w:tc>
                <w:tcPr>
                  <w:tcW w:w="1134" w:type="dxa"/>
                </w:tcPr>
                <w:p w14:paraId="39FF311F"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223</w:t>
                  </w:r>
                </w:p>
              </w:tc>
              <w:tc>
                <w:tcPr>
                  <w:tcW w:w="1276" w:type="dxa"/>
                </w:tcPr>
                <w:p w14:paraId="0E0C5698"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215</w:t>
                  </w:r>
                </w:p>
              </w:tc>
              <w:tc>
                <w:tcPr>
                  <w:tcW w:w="1134" w:type="dxa"/>
                </w:tcPr>
                <w:p w14:paraId="0A62C104" w14:textId="77777777" w:rsidR="001025A2" w:rsidRPr="00505285" w:rsidRDefault="001025A2">
                  <w:pPr>
                    <w:spacing w:after="0"/>
                    <w:ind w:right="-115"/>
                    <w:jc w:val="center"/>
                    <w:rPr>
                      <w:rFonts w:eastAsia="Times New Roman" w:cs="Arial"/>
                      <w:szCs w:val="20"/>
                    </w:rPr>
                  </w:pPr>
                  <w:r w:rsidRPr="00505285">
                    <w:rPr>
                      <w:rFonts w:eastAsia="Times New Roman" w:cs="Arial"/>
                      <w:szCs w:val="20"/>
                    </w:rPr>
                    <w:t>218</w:t>
                  </w:r>
                </w:p>
              </w:tc>
            </w:tr>
          </w:tbl>
          <w:p w14:paraId="7708E47E" w14:textId="77777777" w:rsidR="001025A2" w:rsidRPr="00505285" w:rsidRDefault="001025A2">
            <w:pPr>
              <w:spacing w:before="120" w:after="0"/>
              <w:ind w:right="314"/>
              <w:cnfStyle w:val="000000100000" w:firstRow="0" w:lastRow="0" w:firstColumn="0" w:lastColumn="0" w:oddVBand="0" w:evenVBand="0" w:oddHBand="1" w:evenHBand="0" w:firstRowFirstColumn="0" w:firstRowLastColumn="0" w:lastRowFirstColumn="0" w:lastRowLastColumn="0"/>
              <w:rPr>
                <w:rFonts w:eastAsia="Times New Roman" w:cs="Arial"/>
                <w:iCs/>
                <w:szCs w:val="20"/>
              </w:rPr>
            </w:pPr>
            <w:r w:rsidRPr="00505285">
              <w:rPr>
                <w:rFonts w:eastAsia="Times New Roman" w:cs="Arial"/>
                <w:iCs/>
                <w:szCs w:val="20"/>
              </w:rPr>
              <w:t>National intake data (</w:t>
            </w:r>
            <w:r w:rsidRPr="00505285">
              <w:rPr>
                <w:rFonts w:eastAsia="Times New Roman" w:cs="Arial"/>
                <w:bCs/>
                <w:iCs/>
                <w:szCs w:val="20"/>
              </w:rPr>
              <w:t>ABS, 2013</w:t>
            </w:r>
            <w:r w:rsidRPr="00505285">
              <w:rPr>
                <w:rFonts w:eastAsia="Times New Roman" w:cs="Arial"/>
                <w:iCs/>
                <w:szCs w:val="20"/>
              </w:rPr>
              <w:t xml:space="preserve">) and population exposure data (ABS 2025a, </w:t>
            </w:r>
            <w:proofErr w:type="spellStart"/>
            <w:r w:rsidRPr="00505285">
              <w:rPr>
                <w:rFonts w:eastAsia="Times New Roman" w:cs="Arial"/>
                <w:iCs/>
                <w:szCs w:val="20"/>
              </w:rPr>
              <w:t>NZMoH</w:t>
            </w:r>
            <w:proofErr w:type="spellEnd"/>
            <w:r w:rsidRPr="00505285">
              <w:rPr>
                <w:rFonts w:eastAsia="Times New Roman" w:cs="Arial"/>
                <w:iCs/>
                <w:szCs w:val="20"/>
              </w:rPr>
              <w:t xml:space="preserve"> 2020) suggest that both the current UL of 1,100 and the proposed UL of 600</w:t>
            </w:r>
            <w:r w:rsidRPr="00505285">
              <w:rPr>
                <w:rFonts w:eastAsia="Times New Roman" w:cs="Times New Roman"/>
                <w:szCs w:val="20"/>
              </w:rPr>
              <w:t xml:space="preserve"> µg/day are feasible, with insufficient iodine intake more prevalent within the Australian and New Zealand population than excess intakes.</w:t>
            </w:r>
          </w:p>
        </w:tc>
      </w:tr>
      <w:tr w:rsidR="001025A2" w:rsidRPr="00505285" w14:paraId="5213B21A" w14:textId="77777777" w:rsidTr="008029A1">
        <w:trPr>
          <w:gridAfter w:val="1"/>
          <w:wAfter w:w="55" w:type="dxa"/>
        </w:trPr>
        <w:tc>
          <w:tcPr>
            <w:cnfStyle w:val="001000000000" w:firstRow="0" w:lastRow="0" w:firstColumn="1" w:lastColumn="0" w:oddVBand="0" w:evenVBand="0" w:oddHBand="0" w:evenHBand="0" w:firstRowFirstColumn="0" w:firstRowLastColumn="0" w:lastRowFirstColumn="0" w:lastRowLastColumn="0"/>
            <w:tcW w:w="1987" w:type="dxa"/>
          </w:tcPr>
          <w:p w14:paraId="523A180D" w14:textId="77777777" w:rsidR="001025A2" w:rsidRPr="00505285" w:rsidRDefault="001025A2">
            <w:pPr>
              <w:rPr>
                <w:rFonts w:eastAsia="Arial" w:cs="Arial"/>
                <w:szCs w:val="20"/>
              </w:rPr>
            </w:pPr>
            <w:r w:rsidRPr="00505285">
              <w:rPr>
                <w:rFonts w:eastAsia="Arial" w:cs="Arial"/>
                <w:szCs w:val="20"/>
              </w:rPr>
              <w:t xml:space="preserve">Resource impacts </w:t>
            </w:r>
          </w:p>
        </w:tc>
        <w:tc>
          <w:tcPr>
            <w:tcW w:w="6377" w:type="dxa"/>
          </w:tcPr>
          <w:p w14:paraId="19B98C48" w14:textId="77777777" w:rsidR="001025A2" w:rsidRPr="00505285" w:rsidRDefault="001025A2">
            <w:pPr>
              <w:spacing w:before="120" w:after="0"/>
              <w:ind w:right="-114"/>
              <w:cnfStyle w:val="000000000000" w:firstRow="0" w:lastRow="0" w:firstColumn="0" w:lastColumn="0" w:oddVBand="0" w:evenVBand="0" w:oddHBand="0" w:evenHBand="0" w:firstRowFirstColumn="0" w:firstRowLastColumn="0" w:lastRowFirstColumn="0" w:lastRowLastColumn="0"/>
              <w:rPr>
                <w:rFonts w:eastAsia="Times New Roman" w:cs="Arial"/>
                <w:i/>
                <w:szCs w:val="20"/>
                <w:highlight w:val="lightGray"/>
              </w:rPr>
            </w:pPr>
            <w:r w:rsidRPr="00505285">
              <w:rPr>
                <w:rFonts w:eastAsia="Times New Roman" w:cs="Arial"/>
                <w:szCs w:val="20"/>
              </w:rPr>
              <w:t>Retaining the current values for adults has no material implications. Although adult age groupings are being adjusted to align with new age groups, the adult NRVs are the same for all age groups so there is no material impact of this change. Consequently, this minor change to age groupings should have no implications for regulators, including FSANZ (food and food products) and TGA (supplements).</w:t>
            </w:r>
          </w:p>
        </w:tc>
        <w:tc>
          <w:tcPr>
            <w:tcW w:w="6380" w:type="dxa"/>
            <w:gridSpan w:val="2"/>
          </w:tcPr>
          <w:p w14:paraId="7E476CA9" w14:textId="77777777" w:rsidR="001025A2" w:rsidRPr="00505285" w:rsidRDefault="001025A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 proposed change to the UL is significant, and may have implications for regulators, including FSANZ (food and food products) and TGA (supplements). Views will be sought during targeted/stakeholder consultation and considered when developing final NRVs. </w:t>
            </w:r>
          </w:p>
          <w:p w14:paraId="15208CAD" w14:textId="77777777" w:rsidR="001025A2" w:rsidRPr="00505285" w:rsidRDefault="001025A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 Australia New Zealand Food Standards Code requires the addition of iodised salt in bread.  Iodised salt contains no less than 25 mg/kg (or </w:t>
            </w:r>
            <w:r w:rsidRPr="00505285">
              <w:rPr>
                <w:rFonts w:eastAsia="Times New Roman" w:cs="Times New Roman"/>
                <w:szCs w:val="20"/>
              </w:rPr>
              <w:t>µg</w:t>
            </w:r>
            <w:r w:rsidRPr="00505285">
              <w:rPr>
                <w:rFonts w:eastAsia="Times New Roman" w:cs="Arial"/>
                <w:szCs w:val="20"/>
              </w:rPr>
              <w:t>/g) of iodine and no more than 65 mg/kg of iodine.</w:t>
            </w:r>
          </w:p>
          <w:p w14:paraId="1CC1974D" w14:textId="77777777" w:rsidR="001025A2" w:rsidRPr="00505285" w:rsidRDefault="001025A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There are a small number of foods permitted to add iodine up to a maximum of: </w:t>
            </w:r>
          </w:p>
          <w:p w14:paraId="49D61F44" w14:textId="77777777"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15 µg/200mL- legumes, cereals, nuts, </w:t>
            </w:r>
            <w:proofErr w:type="gramStart"/>
            <w:r w:rsidRPr="00505285">
              <w:rPr>
                <w:rFonts w:eastAsia="Times New Roman" w:cs="Arial"/>
                <w:szCs w:val="20"/>
              </w:rPr>
              <w:t>seed based</w:t>
            </w:r>
            <w:proofErr w:type="gramEnd"/>
            <w:r w:rsidRPr="00505285">
              <w:rPr>
                <w:rFonts w:eastAsia="Times New Roman" w:cs="Arial"/>
                <w:szCs w:val="20"/>
              </w:rPr>
              <w:t xml:space="preserve"> beverages </w:t>
            </w:r>
          </w:p>
          <w:p w14:paraId="367A59AE" w14:textId="6E94DD5D"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lastRenderedPageBreak/>
              <w:t xml:space="preserve">15 </w:t>
            </w:r>
            <w:r w:rsidRPr="00505285">
              <w:rPr>
                <w:rFonts w:eastAsia="Times New Roman" w:cs="Times New Roman"/>
                <w:szCs w:val="20"/>
              </w:rPr>
              <w:t>µg/</w:t>
            </w:r>
            <w:r w:rsidRPr="00505285">
              <w:rPr>
                <w:rFonts w:eastAsia="Times New Roman" w:cs="Arial"/>
                <w:szCs w:val="20"/>
              </w:rPr>
              <w:t xml:space="preserve">150g </w:t>
            </w:r>
            <w:r w:rsidR="00667A3D">
              <w:rPr>
                <w:rFonts w:eastAsia="Times New Roman" w:cs="Arial"/>
                <w:szCs w:val="20"/>
              </w:rPr>
              <w:t>–</w:t>
            </w:r>
            <w:r w:rsidRPr="00505285">
              <w:rPr>
                <w:rFonts w:eastAsia="Times New Roman" w:cs="Arial"/>
                <w:szCs w:val="20"/>
              </w:rPr>
              <w:t xml:space="preserve"> legume-based analogues of yoghurt and dairy desserts </w:t>
            </w:r>
          </w:p>
          <w:p w14:paraId="0ECF4A38" w14:textId="0D7DB652"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10 </w:t>
            </w:r>
            <w:r w:rsidRPr="00505285">
              <w:rPr>
                <w:rFonts w:eastAsia="Times New Roman" w:cs="Times New Roman"/>
                <w:szCs w:val="20"/>
              </w:rPr>
              <w:t>µg/</w:t>
            </w:r>
            <w:r w:rsidRPr="00505285">
              <w:rPr>
                <w:rFonts w:eastAsia="Times New Roman" w:cs="Arial"/>
                <w:szCs w:val="20"/>
              </w:rPr>
              <w:t xml:space="preserve">25g </w:t>
            </w:r>
            <w:r w:rsidR="00667A3D">
              <w:rPr>
                <w:rFonts w:eastAsia="Times New Roman" w:cs="Arial"/>
                <w:szCs w:val="20"/>
              </w:rPr>
              <w:t>–</w:t>
            </w:r>
            <w:r w:rsidRPr="00505285">
              <w:rPr>
                <w:rFonts w:eastAsia="Times New Roman" w:cs="Arial"/>
                <w:szCs w:val="20"/>
              </w:rPr>
              <w:t xml:space="preserve"> legume-based analogues of cheese </w:t>
            </w:r>
          </w:p>
          <w:p w14:paraId="415F104C" w14:textId="598E7417"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38 </w:t>
            </w:r>
            <w:r w:rsidRPr="00505285">
              <w:rPr>
                <w:rFonts w:eastAsia="Times New Roman" w:cs="Times New Roman"/>
                <w:szCs w:val="20"/>
              </w:rPr>
              <w:t>µg/</w:t>
            </w:r>
            <w:r w:rsidRPr="00505285">
              <w:rPr>
                <w:rFonts w:eastAsia="Times New Roman" w:cs="Arial"/>
                <w:szCs w:val="20"/>
              </w:rPr>
              <w:t xml:space="preserve">600mL </w:t>
            </w:r>
            <w:r w:rsidR="00667A3D">
              <w:rPr>
                <w:rFonts w:eastAsia="Times New Roman" w:cs="Arial"/>
                <w:szCs w:val="20"/>
              </w:rPr>
              <w:t>–</w:t>
            </w:r>
            <w:r w:rsidRPr="00505285">
              <w:rPr>
                <w:rFonts w:eastAsia="Times New Roman" w:cs="Arial"/>
                <w:szCs w:val="20"/>
              </w:rPr>
              <w:t xml:space="preserve"> formulated beverages</w:t>
            </w:r>
          </w:p>
          <w:p w14:paraId="77011829" w14:textId="77777777"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These products are unlikely to be impacted by changes to the Upper Level </w:t>
            </w:r>
          </w:p>
          <w:p w14:paraId="0008D3F6" w14:textId="77777777" w:rsidR="001025A2" w:rsidRPr="00505285" w:rsidRDefault="001025A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Special Purpose Foods must include iodine up to a maximum of: </w:t>
            </w:r>
          </w:p>
          <w:p w14:paraId="6DB8299B" w14:textId="652C4FAB"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75 µg/serve </w:t>
            </w:r>
            <w:r w:rsidR="00667A3D">
              <w:rPr>
                <w:rFonts w:eastAsia="Times New Roman" w:cs="Arial"/>
                <w:szCs w:val="20"/>
              </w:rPr>
              <w:t>–</w:t>
            </w:r>
            <w:r w:rsidRPr="00505285">
              <w:rPr>
                <w:rFonts w:eastAsia="Times New Roman" w:cs="Arial"/>
                <w:szCs w:val="20"/>
              </w:rPr>
              <w:t xml:space="preserve"> formulated meal replacements </w:t>
            </w:r>
          </w:p>
          <w:p w14:paraId="4D2103B7" w14:textId="4877A5EC"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75 µg/serve </w:t>
            </w:r>
            <w:r w:rsidR="00667A3D">
              <w:rPr>
                <w:rFonts w:eastAsia="Times New Roman" w:cs="Arial"/>
                <w:szCs w:val="20"/>
              </w:rPr>
              <w:t>–</w:t>
            </w:r>
            <w:r w:rsidRPr="00505285">
              <w:rPr>
                <w:rFonts w:eastAsia="Times New Roman" w:cs="Arial"/>
                <w:szCs w:val="20"/>
              </w:rPr>
              <w:t xml:space="preserve"> formulated supplementary foods</w:t>
            </w:r>
          </w:p>
          <w:p w14:paraId="06985408" w14:textId="7A7E1677"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75 µg/one-day quantity </w:t>
            </w:r>
            <w:r w:rsidR="00667A3D">
              <w:rPr>
                <w:rFonts w:eastAsia="Times New Roman" w:cs="Arial"/>
                <w:szCs w:val="20"/>
              </w:rPr>
              <w:t>–</w:t>
            </w:r>
            <w:r w:rsidRPr="00505285">
              <w:rPr>
                <w:rFonts w:eastAsia="Times New Roman" w:cs="Arial"/>
                <w:szCs w:val="20"/>
              </w:rPr>
              <w:t xml:space="preserve"> formulated supplementary sports food </w:t>
            </w:r>
          </w:p>
          <w:p w14:paraId="1CDC7480" w14:textId="37348F2D"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Times New Roman"/>
                <w:szCs w:val="20"/>
              </w:rPr>
              <w:t xml:space="preserve">84 µg/MJ </w:t>
            </w:r>
            <w:r w:rsidR="00667A3D">
              <w:rPr>
                <w:rFonts w:eastAsia="Times New Roman" w:cs="Times New Roman"/>
                <w:szCs w:val="20"/>
              </w:rPr>
              <w:t>–</w:t>
            </w:r>
            <w:r w:rsidRPr="00505285">
              <w:rPr>
                <w:rFonts w:eastAsia="Times New Roman" w:cs="Times New Roman"/>
                <w:szCs w:val="20"/>
              </w:rPr>
              <w:t xml:space="preserve"> food for special medical purposes represented as a sole source of nutrition</w:t>
            </w:r>
            <w:r w:rsidRPr="00505285">
              <w:rPr>
                <w:rFonts w:eastAsia="Times New Roman" w:cs="Arial"/>
                <w:szCs w:val="20"/>
              </w:rPr>
              <w:t xml:space="preserve"> </w:t>
            </w:r>
          </w:p>
          <w:p w14:paraId="506E11D0" w14:textId="77777777" w:rsidR="001025A2" w:rsidRPr="00505285" w:rsidRDefault="001025A2">
            <w:pPr>
              <w:spacing w:after="0"/>
              <w:ind w:right="170"/>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Times New Roman"/>
                <w:szCs w:val="20"/>
              </w:rPr>
              <w:t xml:space="preserve">Very low energy diets </w:t>
            </w:r>
            <w:r w:rsidRPr="00505285">
              <w:rPr>
                <w:rFonts w:eastAsia="Times New Roman" w:cs="Arial"/>
                <w:szCs w:val="20"/>
              </w:rPr>
              <w:t xml:space="preserve">require a minimum </w:t>
            </w:r>
            <w:r w:rsidRPr="00505285">
              <w:rPr>
                <w:rFonts w:eastAsia="Times New Roman" w:cs="Times New Roman"/>
                <w:szCs w:val="20"/>
              </w:rPr>
              <w:t>140 µg</w:t>
            </w:r>
            <w:r w:rsidRPr="00505285">
              <w:rPr>
                <w:rFonts w:eastAsia="Times New Roman" w:cs="Arial"/>
                <w:szCs w:val="20"/>
              </w:rPr>
              <w:t xml:space="preserve"> iodine per daily intake. At normal levels of consumption these products are unlikely to be impacted by changes to the Upper Level </w:t>
            </w:r>
          </w:p>
          <w:p w14:paraId="29AE450F" w14:textId="77777777" w:rsidR="001025A2" w:rsidRPr="00505285" w:rsidRDefault="001025A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In April 2025 TGA recalled multiple vitamin and perinatal products due to lack of or excessive potassium iodine. TGA requires warning statements on preparations for internal therapeutic use with 300</w:t>
            </w:r>
            <w:r w:rsidRPr="00505285">
              <w:rPr>
                <w:rFonts w:eastAsia="Times New Roman" w:cs="Times New Roman"/>
                <w:szCs w:val="20"/>
              </w:rPr>
              <w:t>µg</w:t>
            </w:r>
            <w:r w:rsidRPr="00505285">
              <w:rPr>
                <w:rFonts w:eastAsia="Times New Roman" w:cs="Arial"/>
                <w:szCs w:val="20"/>
              </w:rPr>
              <w:t xml:space="preserve"> or more of iodine. </w:t>
            </w:r>
          </w:p>
          <w:p w14:paraId="1D9C2AE4" w14:textId="2C805151" w:rsidR="001025A2" w:rsidRPr="00505285" w:rsidRDefault="001025A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i/>
                <w:iCs/>
                <w:szCs w:val="20"/>
              </w:rPr>
            </w:pPr>
            <w:r w:rsidRPr="00505285">
              <w:rPr>
                <w:rFonts w:eastAsia="Times New Roman" w:cs="Arial"/>
                <w:i/>
                <w:iCs/>
                <w:szCs w:val="20"/>
              </w:rPr>
              <w:t xml:space="preserve">CAUTION </w:t>
            </w:r>
            <w:r w:rsidR="00667A3D">
              <w:rPr>
                <w:rFonts w:eastAsia="Times New Roman" w:cs="Arial"/>
                <w:i/>
                <w:iCs/>
                <w:szCs w:val="20"/>
              </w:rPr>
              <w:t>–</w:t>
            </w:r>
            <w:r w:rsidRPr="00505285">
              <w:rPr>
                <w:rFonts w:eastAsia="Times New Roman" w:cs="Arial"/>
                <w:i/>
                <w:iCs/>
                <w:szCs w:val="20"/>
              </w:rPr>
              <w:t xml:space="preserve"> Total iodine intake may exceed recommended level when taking this preparation</w:t>
            </w:r>
          </w:p>
          <w:p w14:paraId="0B262986" w14:textId="3FAAF966" w:rsidR="001025A2" w:rsidRPr="00505285" w:rsidRDefault="001025A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i/>
                <w:iCs/>
                <w:szCs w:val="20"/>
              </w:rPr>
            </w:pPr>
            <w:r w:rsidRPr="00505285">
              <w:rPr>
                <w:rFonts w:eastAsia="Times New Roman" w:cs="Arial"/>
                <w:i/>
                <w:iCs/>
                <w:szCs w:val="20"/>
              </w:rPr>
              <w:t xml:space="preserve">WARNING </w:t>
            </w:r>
            <w:r w:rsidR="00667A3D">
              <w:rPr>
                <w:rFonts w:eastAsia="Times New Roman" w:cs="Arial"/>
                <w:i/>
                <w:iCs/>
                <w:szCs w:val="20"/>
              </w:rPr>
              <w:t>–</w:t>
            </w:r>
            <w:r w:rsidRPr="00505285">
              <w:rPr>
                <w:rFonts w:eastAsia="Times New Roman" w:cs="Arial"/>
                <w:i/>
                <w:iCs/>
                <w:szCs w:val="20"/>
              </w:rPr>
              <w:t xml:space="preserve"> Contains iodine </w:t>
            </w:r>
            <w:r w:rsidRPr="00505285">
              <w:rPr>
                <w:rFonts w:ascii="Cambria Math" w:eastAsia="Times New Roman" w:hAnsi="Cambria Math" w:cs="Cambria Math"/>
                <w:i/>
                <w:iCs/>
                <w:szCs w:val="20"/>
              </w:rPr>
              <w:t>‑</w:t>
            </w:r>
            <w:r w:rsidRPr="00505285">
              <w:rPr>
                <w:rFonts w:eastAsia="Times New Roman" w:cs="Arial"/>
                <w:i/>
                <w:iCs/>
                <w:szCs w:val="20"/>
              </w:rPr>
              <w:t xml:space="preserve"> do not take when pregnant except on physician</w:t>
            </w:r>
            <w:r w:rsidRPr="00505285">
              <w:rPr>
                <w:rFonts w:eastAsia="Times New Roman" w:cs="Gotham Book"/>
                <w:i/>
                <w:iCs/>
                <w:szCs w:val="20"/>
              </w:rPr>
              <w:t>’</w:t>
            </w:r>
            <w:r w:rsidRPr="00505285">
              <w:rPr>
                <w:rFonts w:eastAsia="Times New Roman" w:cs="Arial"/>
                <w:i/>
                <w:iCs/>
                <w:szCs w:val="20"/>
              </w:rPr>
              <w:t>s advice.</w:t>
            </w:r>
          </w:p>
        </w:tc>
      </w:tr>
      <w:tr w:rsidR="001025A2" w:rsidRPr="00505285" w14:paraId="5049E2DC" w14:textId="77777777" w:rsidTr="008029A1">
        <w:trPr>
          <w:gridAfter w:val="1"/>
          <w:cnfStyle w:val="000000100000" w:firstRow="0" w:lastRow="0" w:firstColumn="0" w:lastColumn="0" w:oddVBand="0" w:evenVBand="0" w:oddHBand="1" w:evenHBand="0" w:firstRowFirstColumn="0" w:firstRowLastColumn="0" w:lastRowFirstColumn="0" w:lastRowLastColumn="0"/>
          <w:wAfter w:w="55" w:type="dxa"/>
        </w:trPr>
        <w:tc>
          <w:tcPr>
            <w:cnfStyle w:val="001000000000" w:firstRow="0" w:lastRow="0" w:firstColumn="1" w:lastColumn="0" w:oddVBand="0" w:evenVBand="0" w:oddHBand="0" w:evenHBand="0" w:firstRowFirstColumn="0" w:firstRowLastColumn="0" w:lastRowFirstColumn="0" w:lastRowLastColumn="0"/>
            <w:tcW w:w="1987" w:type="dxa"/>
          </w:tcPr>
          <w:p w14:paraId="58A460AB" w14:textId="77777777" w:rsidR="001025A2" w:rsidRPr="00505285" w:rsidRDefault="001025A2">
            <w:pPr>
              <w:rPr>
                <w:rFonts w:eastAsia="Arial" w:cs="Arial"/>
                <w:szCs w:val="20"/>
              </w:rPr>
            </w:pPr>
            <w:r w:rsidRPr="00505285">
              <w:rPr>
                <w:rFonts w:eastAsia="Arial" w:cs="Arial"/>
                <w:szCs w:val="20"/>
              </w:rPr>
              <w:lastRenderedPageBreak/>
              <w:t>Other factors (health equity impacts, sustainability)</w:t>
            </w:r>
          </w:p>
        </w:tc>
        <w:tc>
          <w:tcPr>
            <w:tcW w:w="6377" w:type="dxa"/>
          </w:tcPr>
          <w:p w14:paraId="351D5611" w14:textId="1FB3FBCC" w:rsidR="001025A2" w:rsidRPr="00505285" w:rsidRDefault="001025A2">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
                <w:szCs w:val="20"/>
                <w:highlight w:val="lightGray"/>
              </w:rPr>
            </w:pPr>
            <w:r w:rsidRPr="00505285">
              <w:rPr>
                <w:rFonts w:eastAsia="Times New Roman" w:cs="Arial"/>
                <w:szCs w:val="20"/>
              </w:rPr>
              <w:t xml:space="preserve">The UL should aim to be protective of almost all individuals within the population. Maintaining the UL of 1,100 </w:t>
            </w:r>
            <w:r w:rsidRPr="00505285">
              <w:rPr>
                <w:rFonts w:eastAsia="Times New Roman" w:cs="Times New Roman"/>
                <w:szCs w:val="20"/>
              </w:rPr>
              <w:t xml:space="preserve">µg/day may expose some individuals to the health effects of iodine excess </w:t>
            </w:r>
            <w:r w:rsidR="00667A3D">
              <w:rPr>
                <w:rFonts w:eastAsia="Times New Roman" w:cs="Times New Roman"/>
                <w:szCs w:val="20"/>
              </w:rPr>
              <w:t>–</w:t>
            </w:r>
            <w:r w:rsidRPr="00505285">
              <w:rPr>
                <w:rFonts w:eastAsia="Times New Roman" w:cs="Times New Roman"/>
                <w:szCs w:val="20"/>
              </w:rPr>
              <w:t xml:space="preserve"> notably subclinical hypothyroidism, overt hypo- or hyper- </w:t>
            </w:r>
            <w:proofErr w:type="spellStart"/>
            <w:r w:rsidRPr="00505285">
              <w:rPr>
                <w:rFonts w:eastAsia="Times New Roman" w:cs="Times New Roman"/>
                <w:szCs w:val="20"/>
              </w:rPr>
              <w:t>thyroidism</w:t>
            </w:r>
            <w:proofErr w:type="spellEnd"/>
            <w:r w:rsidRPr="00505285">
              <w:rPr>
                <w:rFonts w:eastAsia="Times New Roman" w:cs="Times New Roman"/>
                <w:szCs w:val="20"/>
              </w:rPr>
              <w:t xml:space="preserve">, and associated chronic diseases. Some groups may </w:t>
            </w:r>
            <w:r w:rsidRPr="00505285">
              <w:rPr>
                <w:rFonts w:eastAsia="Times New Roman" w:cs="Times New Roman"/>
                <w:szCs w:val="20"/>
              </w:rPr>
              <w:lastRenderedPageBreak/>
              <w:t>be at increased risk of experiencing adverse effects at lower levels of iodine intake, including migrants (who may have an increased risk of iodine deficiency) and women or older adults (increased risk of underlying thyroid abnormalities). These groups may bear an inequitable health burden associated with maintaining the UL at current levels.</w:t>
            </w:r>
          </w:p>
        </w:tc>
        <w:tc>
          <w:tcPr>
            <w:tcW w:w="6380" w:type="dxa"/>
            <w:gridSpan w:val="2"/>
          </w:tcPr>
          <w:p w14:paraId="417B8AC4" w14:textId="71451E50" w:rsidR="001025A2" w:rsidRPr="00505285" w:rsidRDefault="001025A2">
            <w:pPr>
              <w:spacing w:before="120" w:after="0"/>
              <w:ind w:right="31"/>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505285">
              <w:rPr>
                <w:rFonts w:eastAsia="Times New Roman" w:cs="Arial"/>
                <w:szCs w:val="20"/>
              </w:rPr>
              <w:lastRenderedPageBreak/>
              <w:t xml:space="preserve">The UL should aim to be protective of almost all </w:t>
            </w:r>
            <w:r w:rsidR="00667A3D">
              <w:rPr>
                <w:rFonts w:eastAsia="Times New Roman" w:cs="Arial"/>
                <w:szCs w:val="20"/>
              </w:rPr>
              <w:t>I</w:t>
            </w:r>
            <w:r w:rsidRPr="00505285">
              <w:rPr>
                <w:rFonts w:eastAsia="Times New Roman" w:cs="Arial"/>
                <w:szCs w:val="20"/>
              </w:rPr>
              <w:t xml:space="preserve">ndividuals within the population. Reducing the UL to 600 </w:t>
            </w:r>
            <w:r w:rsidRPr="00505285">
              <w:rPr>
                <w:rFonts w:eastAsia="Times New Roman" w:cs="Times New Roman"/>
                <w:szCs w:val="20"/>
              </w:rPr>
              <w:t xml:space="preserve">µg/day ensures that a greater proportion of the population are protected, including individuals with underlying thyroid disorders, older adults and those with a previous history of iodine deficiency. </w:t>
            </w:r>
          </w:p>
          <w:p w14:paraId="3B874AB5" w14:textId="4F758EC4" w:rsidR="001025A2" w:rsidRPr="00505285" w:rsidRDefault="001025A2">
            <w:pPr>
              <w:spacing w:before="120" w:after="0"/>
              <w:ind w:right="31"/>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Times New Roman"/>
                <w:szCs w:val="20"/>
              </w:rPr>
              <w:lastRenderedPageBreak/>
              <w:t xml:space="preserve">Previous iodine deficiency and underlying thyroid disease may increase a person’s sensitivity to iodine excess. These risk factors may be inequitably distributed among the population, affecting vulnerable groups including migrants </w:t>
            </w:r>
            <w:r w:rsidR="00667A3D">
              <w:rPr>
                <w:rFonts w:eastAsia="Times New Roman" w:cs="Times New Roman"/>
                <w:szCs w:val="20"/>
              </w:rPr>
              <w:t>–</w:t>
            </w:r>
            <w:r w:rsidRPr="00505285">
              <w:rPr>
                <w:rFonts w:eastAsia="Times New Roman" w:cs="Times New Roman"/>
                <w:szCs w:val="20"/>
              </w:rPr>
              <w:t xml:space="preserve"> who may be at increased risk of iodine deficiency (Magri et. </w:t>
            </w:r>
            <w:r w:rsidR="00667A3D" w:rsidRPr="00505285">
              <w:rPr>
                <w:rFonts w:eastAsia="Times New Roman" w:cs="Times New Roman"/>
                <w:szCs w:val="20"/>
              </w:rPr>
              <w:t>A</w:t>
            </w:r>
            <w:r w:rsidRPr="00505285">
              <w:rPr>
                <w:rFonts w:eastAsia="Times New Roman" w:cs="Times New Roman"/>
                <w:szCs w:val="20"/>
              </w:rPr>
              <w:t xml:space="preserve">l. 2019) </w:t>
            </w:r>
            <w:r w:rsidR="00667A3D">
              <w:rPr>
                <w:rFonts w:eastAsia="Times New Roman" w:cs="Times New Roman"/>
                <w:szCs w:val="20"/>
              </w:rPr>
              <w:t>–</w:t>
            </w:r>
            <w:r w:rsidRPr="00505285">
              <w:rPr>
                <w:rFonts w:eastAsia="Times New Roman" w:cs="Times New Roman"/>
                <w:szCs w:val="20"/>
              </w:rPr>
              <w:t xml:space="preserve"> and women or older adults in whom underlying thyroid abnormalities are more prevalent (Mammen and Cappola 2023, </w:t>
            </w:r>
            <w:r w:rsidRPr="00505285">
              <w:rPr>
                <w:rFonts w:eastAsia="Arial" w:cs="Arial"/>
                <w:szCs w:val="20"/>
              </w:rPr>
              <w:t>Miller et al 2016</w:t>
            </w:r>
            <w:r w:rsidRPr="00505285">
              <w:rPr>
                <w:rFonts w:eastAsia="Times New Roman" w:cs="Times New Roman"/>
                <w:szCs w:val="20"/>
              </w:rPr>
              <w:t>). It is important to ensure that the UL is established at a value that is protective of these population groups.</w:t>
            </w:r>
          </w:p>
        </w:tc>
      </w:tr>
      <w:tr w:rsidR="001025A2" w:rsidRPr="00505285" w14:paraId="65EC58A8" w14:textId="77777777" w:rsidTr="008029A1">
        <w:trPr>
          <w:gridAfter w:val="1"/>
          <w:wAfter w:w="55" w:type="dxa"/>
        </w:trPr>
        <w:tc>
          <w:tcPr>
            <w:cnfStyle w:val="001000000000" w:firstRow="0" w:lastRow="0" w:firstColumn="1" w:lastColumn="0" w:oddVBand="0" w:evenVBand="0" w:oddHBand="0" w:evenHBand="0" w:firstRowFirstColumn="0" w:firstRowLastColumn="0" w:lastRowFirstColumn="0" w:lastRowLastColumn="0"/>
            <w:tcW w:w="1987" w:type="dxa"/>
          </w:tcPr>
          <w:p w14:paraId="3D90FB59" w14:textId="77777777" w:rsidR="001025A2" w:rsidRPr="00505285" w:rsidRDefault="001025A2">
            <w:pPr>
              <w:rPr>
                <w:rFonts w:eastAsia="Arial" w:cs="Arial"/>
                <w:szCs w:val="20"/>
              </w:rPr>
            </w:pPr>
            <w:r w:rsidRPr="00505285">
              <w:rPr>
                <w:rFonts w:eastAsia="Arial" w:cs="Arial"/>
                <w:szCs w:val="20"/>
              </w:rPr>
              <w:lastRenderedPageBreak/>
              <w:t>Decision</w:t>
            </w:r>
          </w:p>
        </w:tc>
        <w:tc>
          <w:tcPr>
            <w:tcW w:w="12757" w:type="dxa"/>
            <w:gridSpan w:val="3"/>
          </w:tcPr>
          <w:p w14:paraId="7E074E9C" w14:textId="77777777" w:rsidR="001025A2" w:rsidRPr="00505285" w:rsidRDefault="001025A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b/>
                <w:bCs/>
                <w:szCs w:val="20"/>
              </w:rPr>
            </w:pPr>
            <w:r w:rsidRPr="00505285">
              <w:rPr>
                <w:rFonts w:eastAsia="Times New Roman" w:cs="Arial"/>
                <w:b/>
                <w:bCs/>
                <w:szCs w:val="20"/>
              </w:rPr>
              <w:t xml:space="preserve">Option 2 was selected as it provides protection for almost all individuals within the population, </w:t>
            </w:r>
            <w:r w:rsidRPr="00505285">
              <w:rPr>
                <w:rFonts w:eastAsia="Times New Roman" w:cs="Times New Roman"/>
                <w:b/>
                <w:bCs/>
                <w:szCs w:val="20"/>
              </w:rPr>
              <w:t>whilst allowing for a diverse range of intakes above the RDI within the Australian and New Zealand population</w:t>
            </w:r>
            <w:r w:rsidRPr="00505285">
              <w:rPr>
                <w:rFonts w:eastAsia="Times New Roman" w:cs="Arial"/>
                <w:b/>
                <w:bCs/>
                <w:szCs w:val="20"/>
              </w:rPr>
              <w:t xml:space="preserve">. </w:t>
            </w:r>
          </w:p>
          <w:p w14:paraId="795FA93C" w14:textId="77777777" w:rsidR="001025A2" w:rsidRPr="00505285" w:rsidRDefault="001025A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b/>
                <w:bCs/>
                <w:szCs w:val="20"/>
              </w:rPr>
            </w:pPr>
            <w:r w:rsidRPr="00505285">
              <w:rPr>
                <w:rFonts w:eastAsia="Times New Roman" w:cs="Arial"/>
                <w:b/>
                <w:bCs/>
                <w:szCs w:val="20"/>
              </w:rPr>
              <w:t xml:space="preserve">Despite almost halving the existing UL (1,100 </w:t>
            </w:r>
            <w:r w:rsidRPr="00505285">
              <w:rPr>
                <w:rFonts w:eastAsia="Times New Roman" w:cs="Times New Roman"/>
                <w:b/>
                <w:bCs/>
                <w:szCs w:val="20"/>
              </w:rPr>
              <w:t>µg/day)</w:t>
            </w:r>
            <w:r w:rsidRPr="00505285">
              <w:rPr>
                <w:rFonts w:eastAsia="Times New Roman" w:cs="Arial"/>
                <w:b/>
                <w:bCs/>
                <w:szCs w:val="20"/>
              </w:rPr>
              <w:t xml:space="preserve">, the proposed UL (600 </w:t>
            </w:r>
            <w:r w:rsidRPr="00505285">
              <w:rPr>
                <w:rFonts w:eastAsia="Times New Roman" w:cs="Times New Roman"/>
                <w:b/>
                <w:bCs/>
                <w:szCs w:val="20"/>
              </w:rPr>
              <w:t xml:space="preserve">µg/day) </w:t>
            </w:r>
            <w:r w:rsidRPr="00505285">
              <w:rPr>
                <w:rFonts w:eastAsia="Times New Roman" w:cs="Arial"/>
                <w:b/>
                <w:bCs/>
                <w:szCs w:val="20"/>
              </w:rPr>
              <w:t>remains significantly higher than the RDI of 150</w:t>
            </w:r>
            <w:r w:rsidRPr="00505285">
              <w:rPr>
                <w:rFonts w:eastAsia="Times New Roman" w:cs="Times New Roman"/>
                <w:b/>
                <w:bCs/>
                <w:szCs w:val="20"/>
              </w:rPr>
              <w:t xml:space="preserve">µg/day. Population data suggests that adult intakes in Australia and New Zealand do not approach the revised UL for most (95%+) of the population, reducing the risk that non-sensitive individuals with higher intakes may be classified as ‘exceeding the UL’ where there may be no significant risk of harm. </w:t>
            </w:r>
          </w:p>
        </w:tc>
      </w:tr>
    </w:tbl>
    <w:p w14:paraId="5A9E7AEF" w14:textId="77777777" w:rsidR="00247C82" w:rsidRDefault="00247C82" w:rsidP="001468D2"/>
    <w:p w14:paraId="384BE675" w14:textId="77777777" w:rsidR="00667A3D" w:rsidRPr="001468D2" w:rsidRDefault="00667A3D" w:rsidP="001468D2"/>
    <w:p w14:paraId="5362621D" w14:textId="2A4600EE" w:rsidR="001025A2" w:rsidRDefault="00247C82" w:rsidP="00247C82">
      <w:pPr>
        <w:pStyle w:val="Heading5"/>
      </w:pPr>
      <w:r w:rsidRPr="00247C82">
        <w:t>Pregnancy</w:t>
      </w:r>
    </w:p>
    <w:tbl>
      <w:tblPr>
        <w:tblStyle w:val="DefaultTable11"/>
        <w:tblW w:w="5481" w:type="pct"/>
        <w:tblInd w:w="-431" w:type="dxa"/>
        <w:tblBorders>
          <w:top w:val="single" w:sz="4" w:space="0" w:color="4216FF"/>
          <w:left w:val="single" w:sz="4" w:space="0" w:color="4216FF"/>
          <w:bottom w:val="single" w:sz="4" w:space="0" w:color="4216FF"/>
          <w:right w:val="single" w:sz="4" w:space="0" w:color="4216FF"/>
          <w:insideH w:val="single" w:sz="4" w:space="0" w:color="4216FF"/>
          <w:insideV w:val="single" w:sz="4" w:space="0" w:color="4216FF"/>
        </w:tblBorders>
        <w:tblLayout w:type="fixed"/>
        <w:tblLook w:val="04A0" w:firstRow="1" w:lastRow="0" w:firstColumn="1" w:lastColumn="0" w:noHBand="0" w:noVBand="1"/>
      </w:tblPr>
      <w:tblGrid>
        <w:gridCol w:w="1987"/>
        <w:gridCol w:w="5810"/>
        <w:gridCol w:w="596"/>
        <w:gridCol w:w="6350"/>
      </w:tblGrid>
      <w:tr w:rsidR="00247C82" w:rsidRPr="00505285" w14:paraId="0B08E79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hideMark/>
          </w:tcPr>
          <w:p w14:paraId="0482C8CC" w14:textId="77777777" w:rsidR="00247C82" w:rsidRPr="00505285" w:rsidRDefault="00247C82">
            <w:pPr>
              <w:rPr>
                <w:rFonts w:eastAsia="Times New Roman" w:cs="Arial"/>
                <w:szCs w:val="20"/>
              </w:rPr>
            </w:pPr>
            <w:r w:rsidRPr="00505285">
              <w:rPr>
                <w:rFonts w:eastAsia="Times New Roman" w:cs="Arial"/>
                <w:szCs w:val="20"/>
              </w:rPr>
              <w:t>Criterion</w:t>
            </w:r>
          </w:p>
        </w:tc>
        <w:tc>
          <w:tcPr>
            <w:tcW w:w="6406" w:type="dxa"/>
            <w:gridSpan w:val="2"/>
            <w:tcBorders>
              <w:top w:val="single" w:sz="4" w:space="0" w:color="77BCD9"/>
              <w:left w:val="single" w:sz="4" w:space="0" w:color="77BCD9"/>
              <w:bottom w:val="single" w:sz="4" w:space="0" w:color="77BCD9"/>
              <w:right w:val="single" w:sz="4" w:space="0" w:color="77BCD9"/>
            </w:tcBorders>
          </w:tcPr>
          <w:p w14:paraId="285DFD06" w14:textId="77777777" w:rsidR="00247C82" w:rsidRPr="00505285" w:rsidRDefault="00247C82">
            <w:pPr>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u w:val="single"/>
              </w:rPr>
              <w:t>OPTION 1</w:t>
            </w:r>
            <w:r w:rsidRPr="00505285">
              <w:rPr>
                <w:rFonts w:eastAsia="Times New Roman" w:cs="Arial"/>
                <w:szCs w:val="20"/>
              </w:rPr>
              <w:t>:</w:t>
            </w:r>
          </w:p>
          <w:p w14:paraId="38C08A86" w14:textId="77777777" w:rsidR="00247C82" w:rsidRPr="00505285" w:rsidRDefault="00247C8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Maintain current UL recommendations </w:t>
            </w:r>
          </w:p>
          <w:p w14:paraId="4D8F0B20" w14:textId="77777777" w:rsidR="00247C82" w:rsidRPr="00505285" w:rsidRDefault="00247C8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Adapt current UL to new age groupings</w:t>
            </w:r>
          </w:p>
        </w:tc>
        <w:tc>
          <w:tcPr>
            <w:tcW w:w="6350" w:type="dxa"/>
            <w:tcBorders>
              <w:top w:val="single" w:sz="4" w:space="0" w:color="77BCD9"/>
              <w:left w:val="single" w:sz="4" w:space="0" w:color="77BCD9"/>
              <w:bottom w:val="single" w:sz="4" w:space="0" w:color="77BCD9"/>
              <w:right w:val="single" w:sz="4" w:space="0" w:color="77BCD9"/>
            </w:tcBorders>
          </w:tcPr>
          <w:p w14:paraId="03AA994E" w14:textId="77777777" w:rsidR="00247C82" w:rsidRPr="00505285" w:rsidRDefault="00247C82">
            <w:pPr>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u w:val="single"/>
              </w:rPr>
              <w:t>OPTION 2</w:t>
            </w:r>
            <w:r w:rsidRPr="00505285">
              <w:rPr>
                <w:rFonts w:eastAsia="Times New Roman" w:cs="Arial"/>
                <w:szCs w:val="20"/>
              </w:rPr>
              <w:t>:</w:t>
            </w:r>
          </w:p>
          <w:p w14:paraId="42C7EE2C" w14:textId="77777777" w:rsidR="00247C82" w:rsidRPr="00505285" w:rsidRDefault="00247C8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Reduce UL to reflect recent evidence suggestive of an increased risk of subclinical hypothyroidism at intakes below the current UL</w:t>
            </w:r>
          </w:p>
        </w:tc>
      </w:tr>
      <w:tr w:rsidR="00247C82" w:rsidRPr="00505285" w14:paraId="41C3B8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tcPr>
          <w:p w14:paraId="6FA9BBB6" w14:textId="77777777" w:rsidR="00247C82" w:rsidRPr="00505285" w:rsidRDefault="00247C82">
            <w:pPr>
              <w:rPr>
                <w:rFonts w:eastAsia="Times New Roman" w:cs="Arial"/>
                <w:szCs w:val="20"/>
              </w:rPr>
            </w:pPr>
            <w:r w:rsidRPr="00505285">
              <w:rPr>
                <w:rFonts w:eastAsia="Times New Roman" w:cs="Arial"/>
                <w:szCs w:val="20"/>
              </w:rPr>
              <w:t>Example recommendation</w:t>
            </w:r>
          </w:p>
        </w:tc>
        <w:tc>
          <w:tcPr>
            <w:tcW w:w="6406" w:type="dxa"/>
            <w:gridSpan w:val="2"/>
            <w:tcBorders>
              <w:left w:val="single" w:sz="4" w:space="0" w:color="77BCD9"/>
            </w:tcBorders>
          </w:tcPr>
          <w:tbl>
            <w:tblPr>
              <w:tblStyle w:val="TableGrid3"/>
              <w:tblW w:w="0" w:type="auto"/>
              <w:tblInd w:w="0" w:type="dxa"/>
              <w:tblLook w:val="06A0" w:firstRow="1" w:lastRow="0" w:firstColumn="1" w:lastColumn="0" w:noHBand="1" w:noVBand="1"/>
            </w:tblPr>
            <w:tblGrid>
              <w:gridCol w:w="1914"/>
              <w:gridCol w:w="2122"/>
            </w:tblGrid>
            <w:tr w:rsidR="00C63D4E" w:rsidRPr="00505285" w14:paraId="469D928E" w14:textId="77777777" w:rsidTr="00C63D4E">
              <w:tc>
                <w:tcPr>
                  <w:tcW w:w="1914" w:type="dxa"/>
                </w:tcPr>
                <w:p w14:paraId="6F7AAA43" w14:textId="77777777" w:rsidR="00C63D4E" w:rsidRPr="00505285" w:rsidRDefault="00C63D4E">
                  <w:pPr>
                    <w:spacing w:after="0"/>
                    <w:rPr>
                      <w:rFonts w:eastAsia="Times New Roman" w:cs="Arial"/>
                      <w:b/>
                      <w:bCs/>
                      <w:i/>
                      <w:iCs/>
                      <w:szCs w:val="20"/>
                    </w:rPr>
                  </w:pPr>
                </w:p>
              </w:tc>
              <w:tc>
                <w:tcPr>
                  <w:tcW w:w="2122" w:type="dxa"/>
                </w:tcPr>
                <w:p w14:paraId="4FE2B098" w14:textId="77777777" w:rsidR="00C63D4E" w:rsidRPr="00505285" w:rsidRDefault="00C63D4E">
                  <w:pPr>
                    <w:spacing w:after="0"/>
                    <w:jc w:val="center"/>
                    <w:rPr>
                      <w:rFonts w:eastAsia="Times New Roman" w:cs="Arial"/>
                      <w:b/>
                      <w:bCs/>
                      <w:i/>
                      <w:iCs/>
                      <w:szCs w:val="20"/>
                    </w:rPr>
                  </w:pPr>
                  <w:r w:rsidRPr="00505285">
                    <w:rPr>
                      <w:rFonts w:eastAsia="Times New Roman" w:cs="Arial"/>
                      <w:b/>
                      <w:bCs/>
                      <w:i/>
                      <w:iCs/>
                      <w:szCs w:val="20"/>
                    </w:rPr>
                    <w:t>UL</w:t>
                  </w:r>
                </w:p>
              </w:tc>
            </w:tr>
            <w:tr w:rsidR="00247C82" w:rsidRPr="00505285" w14:paraId="55E80CF3" w14:textId="77777777" w:rsidTr="00C63D4E">
              <w:tc>
                <w:tcPr>
                  <w:tcW w:w="1914" w:type="dxa"/>
                </w:tcPr>
                <w:p w14:paraId="260C3B89" w14:textId="77777777" w:rsidR="00247C82" w:rsidRPr="00505285" w:rsidRDefault="00247C82">
                  <w:pPr>
                    <w:spacing w:after="0"/>
                    <w:rPr>
                      <w:rFonts w:eastAsia="Times New Roman" w:cs="Arial"/>
                      <w:b/>
                      <w:bCs/>
                      <w:i/>
                      <w:iCs/>
                      <w:szCs w:val="20"/>
                    </w:rPr>
                  </w:pPr>
                  <w:r w:rsidRPr="00505285">
                    <w:rPr>
                      <w:rFonts w:eastAsia="Times New Roman" w:cs="Arial"/>
                      <w:b/>
                      <w:bCs/>
                      <w:i/>
                      <w:iCs/>
                      <w:szCs w:val="20"/>
                    </w:rPr>
                    <w:t>Pregnancy</w:t>
                  </w:r>
                </w:p>
              </w:tc>
              <w:tc>
                <w:tcPr>
                  <w:tcW w:w="2122" w:type="dxa"/>
                </w:tcPr>
                <w:p w14:paraId="3E54CA77" w14:textId="77777777" w:rsidR="00247C82" w:rsidRPr="00505285" w:rsidRDefault="00247C82">
                  <w:pPr>
                    <w:spacing w:after="0"/>
                    <w:rPr>
                      <w:rFonts w:eastAsia="Times New Roman" w:cs="Arial"/>
                      <w:b/>
                      <w:bCs/>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bl>
          <w:p w14:paraId="42459853" w14:textId="77777777" w:rsidR="00247C82" w:rsidRPr="00505285" w:rsidRDefault="00247C82">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i/>
                <w:iCs/>
                <w:szCs w:val="20"/>
              </w:rPr>
            </w:pPr>
          </w:p>
        </w:tc>
        <w:tc>
          <w:tcPr>
            <w:tcW w:w="6350" w:type="dxa"/>
          </w:tcPr>
          <w:tbl>
            <w:tblPr>
              <w:tblStyle w:val="TableGrid3"/>
              <w:tblW w:w="0" w:type="auto"/>
              <w:tblInd w:w="0" w:type="dxa"/>
              <w:tblLook w:val="06A0" w:firstRow="1" w:lastRow="0" w:firstColumn="1" w:lastColumn="0" w:noHBand="1" w:noVBand="1"/>
            </w:tblPr>
            <w:tblGrid>
              <w:gridCol w:w="2277"/>
              <w:gridCol w:w="1475"/>
            </w:tblGrid>
            <w:tr w:rsidR="00C63D4E" w:rsidRPr="00505285" w14:paraId="7000B1CE" w14:textId="77777777" w:rsidTr="00C63D4E">
              <w:tc>
                <w:tcPr>
                  <w:tcW w:w="2277" w:type="dxa"/>
                </w:tcPr>
                <w:p w14:paraId="057C65CE" w14:textId="77777777" w:rsidR="00C63D4E" w:rsidRPr="00505285" w:rsidRDefault="00C63D4E">
                  <w:pPr>
                    <w:spacing w:after="0"/>
                    <w:rPr>
                      <w:rFonts w:eastAsia="Times New Roman" w:cs="Arial"/>
                      <w:b/>
                      <w:bCs/>
                      <w:i/>
                      <w:iCs/>
                      <w:szCs w:val="20"/>
                    </w:rPr>
                  </w:pPr>
                </w:p>
              </w:tc>
              <w:tc>
                <w:tcPr>
                  <w:tcW w:w="1475" w:type="dxa"/>
                </w:tcPr>
                <w:p w14:paraId="105A371B" w14:textId="77777777" w:rsidR="00C63D4E" w:rsidRPr="00505285" w:rsidRDefault="00C63D4E">
                  <w:pPr>
                    <w:spacing w:after="0"/>
                    <w:jc w:val="center"/>
                    <w:rPr>
                      <w:rFonts w:eastAsia="Times New Roman" w:cs="Arial"/>
                      <w:b/>
                      <w:bCs/>
                      <w:i/>
                      <w:iCs/>
                      <w:szCs w:val="20"/>
                    </w:rPr>
                  </w:pPr>
                  <w:r w:rsidRPr="00505285">
                    <w:rPr>
                      <w:rFonts w:eastAsia="Times New Roman" w:cs="Arial"/>
                      <w:b/>
                      <w:bCs/>
                      <w:i/>
                      <w:iCs/>
                      <w:szCs w:val="20"/>
                    </w:rPr>
                    <w:t>UL</w:t>
                  </w:r>
                </w:p>
              </w:tc>
            </w:tr>
            <w:tr w:rsidR="00247C82" w:rsidRPr="00505285" w14:paraId="56963342" w14:textId="77777777" w:rsidTr="00C63D4E">
              <w:tc>
                <w:tcPr>
                  <w:tcW w:w="2277" w:type="dxa"/>
                </w:tcPr>
                <w:p w14:paraId="65B226D4" w14:textId="77777777" w:rsidR="00247C82" w:rsidRPr="00505285" w:rsidRDefault="00247C82">
                  <w:pPr>
                    <w:spacing w:after="0"/>
                    <w:rPr>
                      <w:rFonts w:eastAsia="Times New Roman" w:cs="Arial"/>
                      <w:b/>
                      <w:bCs/>
                      <w:i/>
                      <w:iCs/>
                      <w:szCs w:val="20"/>
                    </w:rPr>
                  </w:pPr>
                  <w:r w:rsidRPr="00505285">
                    <w:rPr>
                      <w:rFonts w:eastAsia="Times New Roman" w:cs="Arial"/>
                      <w:b/>
                      <w:bCs/>
                      <w:i/>
                      <w:iCs/>
                      <w:szCs w:val="20"/>
                    </w:rPr>
                    <w:t>Pregnancy</w:t>
                  </w:r>
                </w:p>
              </w:tc>
              <w:tc>
                <w:tcPr>
                  <w:tcW w:w="1475" w:type="dxa"/>
                </w:tcPr>
                <w:p w14:paraId="7E888654" w14:textId="77777777" w:rsidR="00247C82" w:rsidRPr="00505285" w:rsidRDefault="00247C82">
                  <w:pPr>
                    <w:spacing w:after="0"/>
                    <w:rPr>
                      <w:rFonts w:eastAsia="Times New Roman" w:cs="Arial"/>
                      <w:b/>
                      <w:bCs/>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bl>
          <w:p w14:paraId="5B3956CC" w14:textId="77777777" w:rsidR="00247C82" w:rsidRPr="00505285" w:rsidRDefault="00247C82">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rPr>
            </w:pPr>
          </w:p>
        </w:tc>
      </w:tr>
      <w:tr w:rsidR="00247C82" w:rsidRPr="00505285" w14:paraId="4D1577D6" w14:textId="77777777" w:rsidTr="00BC66DF">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tcPr>
          <w:p w14:paraId="0C8C27BC" w14:textId="77777777" w:rsidR="00247C82" w:rsidRPr="00505285" w:rsidRDefault="00247C82">
            <w:pPr>
              <w:rPr>
                <w:rFonts w:eastAsia="Times New Roman" w:cs="Arial"/>
                <w:szCs w:val="20"/>
              </w:rPr>
            </w:pPr>
            <w:r w:rsidRPr="00505285">
              <w:rPr>
                <w:rFonts w:eastAsia="Times New Roman" w:cs="Arial"/>
                <w:szCs w:val="20"/>
              </w:rPr>
              <w:t>Health evidence profile and supporting information</w:t>
            </w:r>
          </w:p>
        </w:tc>
        <w:tc>
          <w:tcPr>
            <w:tcW w:w="6406" w:type="dxa"/>
            <w:gridSpan w:val="2"/>
            <w:tcBorders>
              <w:left w:val="single" w:sz="4" w:space="0" w:color="77BCD9"/>
            </w:tcBorders>
          </w:tcPr>
          <w:p w14:paraId="77DD0C58"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Times New Roman" w:cs="Arial"/>
                <w:szCs w:val="20"/>
              </w:rPr>
              <w:t xml:space="preserve">Current recommendations </w:t>
            </w:r>
            <w:r w:rsidRPr="00505285">
              <w:rPr>
                <w:rFonts w:eastAsia="Arial" w:cs="Arial"/>
                <w:szCs w:val="20"/>
              </w:rPr>
              <w:t xml:space="preserve">for pregnancy are based on the recommended UL in adults, based </w:t>
            </w:r>
            <w:r w:rsidRPr="00505285">
              <w:rPr>
                <w:rFonts w:eastAsia="Times New Roman" w:cs="Arial"/>
                <w:szCs w:val="20"/>
              </w:rPr>
              <w:t xml:space="preserve">on the assumption that there was no evidence of increased sensitivity in these populations. </w:t>
            </w:r>
          </w:p>
          <w:p w14:paraId="762F7CE2"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lastRenderedPageBreak/>
              <w:t xml:space="preserve">More recently, concerns have been raised about the effect of high maternal iodine intake on </w:t>
            </w:r>
            <w:proofErr w:type="spellStart"/>
            <w:r w:rsidRPr="00505285">
              <w:rPr>
                <w:rFonts w:eastAsia="Arial" w:cs="Arial"/>
                <w:szCs w:val="20"/>
              </w:rPr>
              <w:t>fetal</w:t>
            </w:r>
            <w:proofErr w:type="spellEnd"/>
            <w:r w:rsidRPr="00505285">
              <w:rPr>
                <w:rFonts w:eastAsia="Arial" w:cs="Arial"/>
                <w:szCs w:val="20"/>
              </w:rPr>
              <w:t xml:space="preserve"> development during pregnancy. The </w:t>
            </w:r>
            <w:r w:rsidRPr="00505285">
              <w:rPr>
                <w:rFonts w:eastAsia="Times New Roman" w:cs="Arial"/>
                <w:szCs w:val="20"/>
              </w:rPr>
              <w:t xml:space="preserve">developing </w:t>
            </w:r>
            <w:proofErr w:type="spellStart"/>
            <w:r w:rsidRPr="00505285">
              <w:rPr>
                <w:rFonts w:eastAsia="Times New Roman" w:cs="Arial"/>
                <w:szCs w:val="20"/>
              </w:rPr>
              <w:t>fetus</w:t>
            </w:r>
            <w:proofErr w:type="spellEnd"/>
            <w:r w:rsidRPr="00505285">
              <w:rPr>
                <w:rFonts w:eastAsia="Times New Roman" w:cs="Arial"/>
                <w:szCs w:val="20"/>
              </w:rPr>
              <w:t xml:space="preserve"> is particularly vulnerable to excess iodine, as the Wolff-</w:t>
            </w:r>
            <w:proofErr w:type="spellStart"/>
            <w:r w:rsidRPr="00505285">
              <w:rPr>
                <w:rFonts w:eastAsia="Times New Roman" w:cs="Arial"/>
                <w:szCs w:val="20"/>
              </w:rPr>
              <w:t>Chaikoff</w:t>
            </w:r>
            <w:proofErr w:type="spellEnd"/>
            <w:r w:rsidRPr="00505285">
              <w:rPr>
                <w:rFonts w:eastAsia="Times New Roman" w:cs="Arial"/>
                <w:szCs w:val="20"/>
              </w:rPr>
              <w:t xml:space="preserve"> escape mechanism does not begin to develop until around 36 weeks gestation, fully maturing during the early neonatal period</w:t>
            </w:r>
            <w:r w:rsidRPr="00505285">
              <w:rPr>
                <w:rFonts w:eastAsia="Arial" w:cs="Arial"/>
                <w:szCs w:val="20"/>
              </w:rPr>
              <w:t>.</w:t>
            </w:r>
          </w:p>
          <w:p w14:paraId="16D6E01E"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highlight w:val="yellow"/>
              </w:rPr>
            </w:pPr>
            <w:r w:rsidRPr="00505285">
              <w:rPr>
                <w:rFonts w:eastAsia="Times New Roman" w:cs="Arial"/>
                <w:szCs w:val="20"/>
              </w:rPr>
              <w:t>Relevant data and considerations are summarised under ‘Option 2’.</w:t>
            </w:r>
          </w:p>
        </w:tc>
        <w:tc>
          <w:tcPr>
            <w:tcW w:w="6350" w:type="dxa"/>
          </w:tcPr>
          <w:p w14:paraId="4C6095AC"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lastRenderedPageBreak/>
              <w:t xml:space="preserve">The WHO defines UIC &gt; 500ug/L during pregnancy as an “excess intake” (WHO, 2007). However, in this context the term excess refers to intakes that are “in excess of the amount required to prevent and control iodine deficiency”. </w:t>
            </w:r>
            <w:r w:rsidRPr="00505285">
              <w:rPr>
                <w:rFonts w:eastAsia="Arial" w:cs="Arial"/>
                <w:szCs w:val="20"/>
              </w:rPr>
              <w:lastRenderedPageBreak/>
              <w:t xml:space="preserve">Consequently, the 500 µg/L threshold should not be interpreted as describing a UL. </w:t>
            </w:r>
          </w:p>
          <w:p w14:paraId="305AB8DC"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There remains a dearth of good quality data on the effects of high intakes of iodine on maternal and child outcomes during pregnancy. Nevertheless, concerns have been raised about the effect of high iodine intakes during pregnancy and adverse effects on the foetus, due to the inability to escape from the Wolff-</w:t>
            </w:r>
            <w:proofErr w:type="spellStart"/>
            <w:r w:rsidRPr="00505285">
              <w:rPr>
                <w:rFonts w:eastAsia="Arial" w:cs="Arial"/>
                <w:szCs w:val="20"/>
              </w:rPr>
              <w:t>Chaikoff</w:t>
            </w:r>
            <w:proofErr w:type="spellEnd"/>
            <w:r w:rsidRPr="00505285">
              <w:rPr>
                <w:rFonts w:eastAsia="Arial" w:cs="Arial"/>
                <w:szCs w:val="20"/>
              </w:rPr>
              <w:t xml:space="preserve"> effect, which begins to develop around 36 weeks gestation, fully maturing during the early neonatal period. </w:t>
            </w:r>
          </w:p>
          <w:p w14:paraId="23728D71"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Data from cross-sectional studies suggest that intakes &gt;500 µg/day during pregnancy may be associated with maternal thyroid dysfunction (Wu et al 2023; Shi et al 2015; Guo et al 2025). However, the evidence is not compelling, with a 2018 systematic review reporting inconsistent findings across studies (Katagiri 2018). Concerns about imprecise estimation of intake based on urinary iodine during pregnancy and limited generalisability to the Australian and New Zealand nutritional context further limit certainty in the evidence. </w:t>
            </w:r>
          </w:p>
          <w:p w14:paraId="7CA8E065"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In the absence of robust evidence for the effects of excess iodine intake during pregnancy, it is proposed that the adult UL of 600 µg/day be adopted. </w:t>
            </w:r>
          </w:p>
          <w:p w14:paraId="75B5734E"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 overwhelming public health concern in Australia and New Zealand continues to be iodine deficiency during pregnancy. Any changes to the UL during pregnancy should be carefully communicated to ensure that the need for supplementation during pregnancy continues to be a core message. </w:t>
            </w:r>
          </w:p>
        </w:tc>
      </w:tr>
      <w:tr w:rsidR="00247C82" w:rsidRPr="00505285" w14:paraId="6310D9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tcPr>
          <w:p w14:paraId="4BA33A5D" w14:textId="77777777" w:rsidR="00247C82" w:rsidRPr="00505285" w:rsidRDefault="00247C82">
            <w:pPr>
              <w:rPr>
                <w:rFonts w:eastAsia="Times New Roman" w:cs="Arial"/>
                <w:szCs w:val="20"/>
              </w:rPr>
            </w:pPr>
            <w:r w:rsidRPr="00505285">
              <w:rPr>
                <w:rFonts w:eastAsia="Times New Roman" w:cs="Arial"/>
                <w:szCs w:val="20"/>
              </w:rPr>
              <w:lastRenderedPageBreak/>
              <w:t xml:space="preserve">Iodine exposure in Australia and New Zealand </w:t>
            </w:r>
          </w:p>
        </w:tc>
        <w:tc>
          <w:tcPr>
            <w:tcW w:w="12756" w:type="dxa"/>
            <w:gridSpan w:val="3"/>
            <w:tcBorders>
              <w:left w:val="single" w:sz="4" w:space="0" w:color="77BCD9"/>
            </w:tcBorders>
          </w:tcPr>
          <w:p w14:paraId="5002D1A8"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 xml:space="preserve">In Australia, the 2011-12 NHMS (ABS, 2013) reported median UIC for pregnant and breastfeeding women aged 16-44 years of 116 </w:t>
            </w:r>
            <w:proofErr w:type="spellStart"/>
            <w:r w:rsidRPr="00505285">
              <w:rPr>
                <w:rFonts w:eastAsia="Arial" w:cs="Arial"/>
                <w:szCs w:val="20"/>
              </w:rPr>
              <w:t>μg</w:t>
            </w:r>
            <w:proofErr w:type="spellEnd"/>
            <w:r w:rsidRPr="00505285">
              <w:rPr>
                <w:rFonts w:eastAsia="Arial" w:cs="Arial"/>
                <w:szCs w:val="20"/>
              </w:rPr>
              <w:t>/L and 103 </w:t>
            </w:r>
            <w:proofErr w:type="spellStart"/>
            <w:r w:rsidRPr="00505285">
              <w:rPr>
                <w:rFonts w:eastAsia="Arial" w:cs="Arial"/>
                <w:szCs w:val="20"/>
              </w:rPr>
              <w:t>μg</w:t>
            </w:r>
            <w:proofErr w:type="spellEnd"/>
            <w:r w:rsidRPr="00505285">
              <w:rPr>
                <w:rFonts w:eastAsia="Arial" w:cs="Arial"/>
                <w:szCs w:val="20"/>
              </w:rPr>
              <w:t xml:space="preserve">/L respectively. These values were lower than the median UIC for all Australian women of that age reported in the 2011-12 NHMS (121 </w:t>
            </w:r>
            <w:proofErr w:type="spellStart"/>
            <w:r w:rsidRPr="00505285">
              <w:rPr>
                <w:rFonts w:eastAsia="Arial" w:cs="Arial"/>
                <w:szCs w:val="20"/>
              </w:rPr>
              <w:t>μg</w:t>
            </w:r>
            <w:proofErr w:type="spellEnd"/>
            <w:r w:rsidRPr="00505285">
              <w:rPr>
                <w:rFonts w:eastAsia="Arial" w:cs="Arial"/>
                <w:szCs w:val="20"/>
              </w:rPr>
              <w:t xml:space="preserve">/L) and are indicative of insufficient intakes during pregnancy under WHO criteria (WHO, 2013). </w:t>
            </w:r>
          </w:p>
          <w:p w14:paraId="17320C00"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 xml:space="preserve">Although 2022-24 NHMS data is not available for pregnant cohorts, median UIC in non-pregnant, reproductive-age females (16 to 44 years) was 101µg/L indicating borderline sufficiency (ABS, 2025a). However, females aged 25 to 34 years and 35 to 44 </w:t>
            </w:r>
            <w:r w:rsidRPr="00505285">
              <w:rPr>
                <w:rFonts w:eastAsia="Arial" w:cs="Arial"/>
                <w:szCs w:val="20"/>
              </w:rPr>
              <w:lastRenderedPageBreak/>
              <w:t xml:space="preserve">years are mildly deficient, with median UIC of 87µg/L and 97µg/L respectively, and more than 20% of individuals with UIC &lt;50 in both age groups. </w:t>
            </w:r>
          </w:p>
          <w:p w14:paraId="76031A0A"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These findings are echoed in data from the 2014/15 NZHS which - while based on a small cohort of pregnant women (N=110) - reported median UIC of 114µg/L (95% CI: 87, 141µg/L), below the WHO-recommended median UIC of 150µg/L (NZ MoH, 2020; WHO, 2013).</w:t>
            </w:r>
          </w:p>
          <w:p w14:paraId="700ADAC1"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 xml:space="preserve">Although intake data are unavailable for pregnant women, the </w:t>
            </w:r>
            <w:r w:rsidRPr="00505285">
              <w:rPr>
                <w:rFonts w:eastAsia="Times New Roman" w:cs="Arial"/>
                <w:szCs w:val="20"/>
              </w:rPr>
              <w:t xml:space="preserve">2011-13 Australian Health Survey (ABS, 2015) found </w:t>
            </w:r>
            <w:r w:rsidRPr="00505285">
              <w:rPr>
                <w:rFonts w:eastAsia="Arial" w:cs="Arial"/>
                <w:szCs w:val="20"/>
              </w:rPr>
              <w:t>that 95% of females aged 19-50 yrs have intakes well below the proposed UL of 600 µg/day, as shown in Table 4. Recently released dietary intake data from the 2023 NNPAS (ABS, 2025b) suggests similar intakes in reproductive age females, although 95% confidence intervals and the percentage exceeding the UL were not reported.</w:t>
            </w:r>
          </w:p>
          <w:p w14:paraId="6B771852" w14:textId="77777777" w:rsidR="00247C82" w:rsidRPr="00505285" w:rsidRDefault="00247C82">
            <w:pPr>
              <w:keepNext/>
              <w:spacing w:after="200"/>
              <w:cnfStyle w:val="000000100000" w:firstRow="0" w:lastRow="0" w:firstColumn="0" w:lastColumn="0" w:oddVBand="0" w:evenVBand="0" w:oddHBand="1" w:evenHBand="0" w:firstRowFirstColumn="0" w:firstRowLastColumn="0" w:lastRowFirstColumn="0" w:lastRowLastColumn="0"/>
              <w:rPr>
                <w:rFonts w:eastAsia="Arial" w:cs="Arial"/>
                <w:iCs/>
                <w:caps/>
                <w:szCs w:val="20"/>
              </w:rPr>
            </w:pPr>
            <w:r w:rsidRPr="00505285">
              <w:rPr>
                <w:rFonts w:eastAsia="Arial" w:cs="Arial"/>
                <w:iCs/>
                <w:caps/>
                <w:szCs w:val="20"/>
              </w:rPr>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4</w:t>
            </w:r>
            <w:r w:rsidRPr="00505285">
              <w:rPr>
                <w:rFonts w:eastAsia="Arial" w:cs="Arial"/>
                <w:iCs/>
                <w:caps/>
                <w:noProof/>
                <w:szCs w:val="20"/>
              </w:rPr>
              <w:fldChar w:fldCharType="end"/>
            </w:r>
            <w:r w:rsidRPr="00505285">
              <w:rPr>
                <w:rFonts w:eastAsia="Arial" w:cs="Arial"/>
                <w:iCs/>
                <w:caps/>
                <w:szCs w:val="20"/>
              </w:rPr>
              <w:t xml:space="preserve"> - INTAKE IN REPRODUCTIVE-AGE FEMALES (19-50 years), 2023 NNPAS (ABS, 2025b) and AHS 2011-13 (ABS, 2015)</w:t>
            </w:r>
          </w:p>
          <w:tbl>
            <w:tblPr>
              <w:tblW w:w="12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3118"/>
              <w:gridCol w:w="2410"/>
              <w:gridCol w:w="1984"/>
              <w:gridCol w:w="1985"/>
            </w:tblGrid>
            <w:tr w:rsidR="00247C82" w:rsidRPr="00505285" w14:paraId="6AECC10C" w14:textId="77777777">
              <w:trPr>
                <w:trHeight w:val="300"/>
              </w:trPr>
              <w:tc>
                <w:tcPr>
                  <w:tcW w:w="2724" w:type="dxa"/>
                  <w:vMerge w:val="restart"/>
                  <w:shd w:val="clear" w:color="auto" w:fill="005F85"/>
                  <w:noWrap/>
                  <w:vAlign w:val="center"/>
                </w:tcPr>
                <w:p w14:paraId="52ECE585" w14:textId="77777777" w:rsidR="00247C82" w:rsidRPr="00505285" w:rsidRDefault="00247C82">
                  <w:pPr>
                    <w:keepNext/>
                    <w:spacing w:after="0" w:line="240" w:lineRule="auto"/>
                    <w:rPr>
                      <w:rFonts w:eastAsia="Times New Roman" w:cs="Calibri"/>
                      <w:b/>
                      <w:bCs/>
                      <w:color w:val="FFFFFF"/>
                      <w:szCs w:val="20"/>
                    </w:rPr>
                  </w:pPr>
                  <w:r w:rsidRPr="00505285">
                    <w:rPr>
                      <w:rFonts w:eastAsia="Times New Roman" w:cs="Calibri"/>
                      <w:b/>
                      <w:bCs/>
                      <w:color w:val="FFFFFF"/>
                      <w:szCs w:val="20"/>
                    </w:rPr>
                    <w:t>Age groups (years)</w:t>
                  </w:r>
                </w:p>
                <w:p w14:paraId="652DF029" w14:textId="77777777" w:rsidR="00247C82" w:rsidRPr="00505285" w:rsidRDefault="00247C82">
                  <w:pPr>
                    <w:keepNext/>
                    <w:spacing w:after="0" w:line="240" w:lineRule="auto"/>
                    <w:rPr>
                      <w:rFonts w:eastAsia="Times New Roman" w:cs="Calibri"/>
                      <w:b/>
                      <w:bCs/>
                      <w:color w:val="FFFFFF"/>
                      <w:szCs w:val="20"/>
                    </w:rPr>
                  </w:pPr>
                  <w:r w:rsidRPr="00505285">
                    <w:rPr>
                      <w:rFonts w:eastAsia="Times New Roman" w:cs="Calibri"/>
                      <w:b/>
                      <w:bCs/>
                      <w:color w:val="FFFFFF"/>
                      <w:szCs w:val="20"/>
                    </w:rPr>
                    <w:t>2023 / 2011-13</w:t>
                  </w:r>
                </w:p>
              </w:tc>
              <w:tc>
                <w:tcPr>
                  <w:tcW w:w="3118" w:type="dxa"/>
                  <w:shd w:val="clear" w:color="auto" w:fill="005F85"/>
                </w:tcPr>
                <w:p w14:paraId="2E6354B9"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 xml:space="preserve">2023 </w:t>
                  </w:r>
                  <w:proofErr w:type="gramStart"/>
                  <w:r w:rsidRPr="00505285">
                    <w:rPr>
                      <w:rFonts w:eastAsia="Times New Roman" w:cs="Calibri"/>
                      <w:b/>
                      <w:bCs/>
                      <w:color w:val="FFFFFF"/>
                      <w:szCs w:val="20"/>
                    </w:rPr>
                    <w:t>NNPAS  (</w:t>
                  </w:r>
                  <w:proofErr w:type="gramEnd"/>
                  <w:r w:rsidRPr="00505285">
                    <w:rPr>
                      <w:rFonts w:eastAsia="Times New Roman" w:cs="Calibri"/>
                      <w:b/>
                      <w:bCs/>
                      <w:color w:val="FFFFFF"/>
                      <w:szCs w:val="20"/>
                    </w:rPr>
                    <w:t>ABS, 2025b)</w:t>
                  </w:r>
                </w:p>
              </w:tc>
              <w:tc>
                <w:tcPr>
                  <w:tcW w:w="6379" w:type="dxa"/>
                  <w:gridSpan w:val="3"/>
                  <w:shd w:val="clear" w:color="auto" w:fill="005F85"/>
                  <w:vAlign w:val="center"/>
                </w:tcPr>
                <w:p w14:paraId="33B61267"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2011-13 AHS (ABS, 2015)</w:t>
                  </w:r>
                </w:p>
              </w:tc>
            </w:tr>
            <w:tr w:rsidR="00247C82" w:rsidRPr="00505285" w14:paraId="13D1BB88" w14:textId="77777777">
              <w:trPr>
                <w:trHeight w:val="300"/>
              </w:trPr>
              <w:tc>
                <w:tcPr>
                  <w:tcW w:w="2724" w:type="dxa"/>
                  <w:vMerge/>
                  <w:shd w:val="clear" w:color="auto" w:fill="005F85"/>
                  <w:noWrap/>
                  <w:vAlign w:val="center"/>
                </w:tcPr>
                <w:p w14:paraId="17B6DC14" w14:textId="77777777" w:rsidR="00247C82" w:rsidRPr="00505285" w:rsidRDefault="00247C82">
                  <w:pPr>
                    <w:keepNext/>
                    <w:spacing w:after="0" w:line="240" w:lineRule="auto"/>
                    <w:rPr>
                      <w:rFonts w:eastAsia="Times New Roman" w:cs="Calibri"/>
                      <w:b/>
                      <w:bCs/>
                      <w:color w:val="FFFFFF"/>
                      <w:szCs w:val="20"/>
                    </w:rPr>
                  </w:pPr>
                </w:p>
              </w:tc>
              <w:tc>
                <w:tcPr>
                  <w:tcW w:w="3118" w:type="dxa"/>
                  <w:shd w:val="clear" w:color="auto" w:fill="005F85"/>
                </w:tcPr>
                <w:p w14:paraId="5D25A256"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Mean intake (µg/day)</w:t>
                  </w:r>
                </w:p>
              </w:tc>
              <w:tc>
                <w:tcPr>
                  <w:tcW w:w="2410" w:type="dxa"/>
                  <w:shd w:val="clear" w:color="auto" w:fill="005F85"/>
                  <w:vAlign w:val="center"/>
                </w:tcPr>
                <w:p w14:paraId="07D1AA7E" w14:textId="77777777" w:rsidR="00247C82" w:rsidRPr="00505285" w:rsidRDefault="00247C82">
                  <w:pPr>
                    <w:keepNext/>
                    <w:spacing w:after="0" w:line="240" w:lineRule="auto"/>
                    <w:jc w:val="center"/>
                    <w:rPr>
                      <w:rFonts w:eastAsia="Times New Roman" w:cs="Calibri"/>
                      <w:color w:val="FFFFFF"/>
                      <w:szCs w:val="20"/>
                    </w:rPr>
                  </w:pPr>
                  <w:r w:rsidRPr="00505285">
                    <w:rPr>
                      <w:rFonts w:eastAsia="Times New Roman" w:cs="Calibri"/>
                      <w:b/>
                      <w:bCs/>
                      <w:color w:val="FFFFFF"/>
                      <w:szCs w:val="20"/>
                    </w:rPr>
                    <w:t>Intake (µg/day) Mean (95% CI)</w:t>
                  </w:r>
                </w:p>
              </w:tc>
              <w:tc>
                <w:tcPr>
                  <w:tcW w:w="1984" w:type="dxa"/>
                  <w:shd w:val="clear" w:color="auto" w:fill="005F85"/>
                  <w:vAlign w:val="center"/>
                </w:tcPr>
                <w:p w14:paraId="118650CF" w14:textId="77777777" w:rsidR="00247C82" w:rsidRPr="00505285" w:rsidRDefault="00247C82">
                  <w:pPr>
                    <w:keepNext/>
                    <w:spacing w:after="0" w:line="240" w:lineRule="auto"/>
                    <w:jc w:val="center"/>
                    <w:rPr>
                      <w:rFonts w:eastAsia="Times New Roman" w:cs="Calibri"/>
                      <w:color w:val="FFFFFF"/>
                      <w:szCs w:val="20"/>
                    </w:rPr>
                  </w:pPr>
                  <w:r w:rsidRPr="00505285">
                    <w:rPr>
                      <w:rFonts w:eastAsia="Times New Roman" w:cs="Calibri"/>
                      <w:b/>
                      <w:bCs/>
                      <w:color w:val="FFFFFF"/>
                      <w:szCs w:val="20"/>
                    </w:rPr>
                    <w:t>% less than EAR</w:t>
                  </w:r>
                </w:p>
              </w:tc>
              <w:tc>
                <w:tcPr>
                  <w:tcW w:w="1985" w:type="dxa"/>
                  <w:shd w:val="clear" w:color="auto" w:fill="005F85"/>
                  <w:vAlign w:val="center"/>
                </w:tcPr>
                <w:p w14:paraId="68D6CF0B" w14:textId="77777777" w:rsidR="00247C82" w:rsidRPr="00505285" w:rsidRDefault="00247C82">
                  <w:pPr>
                    <w:keepNext/>
                    <w:spacing w:after="0" w:line="240" w:lineRule="auto"/>
                    <w:jc w:val="center"/>
                    <w:rPr>
                      <w:rFonts w:eastAsia="Times New Roman" w:cs="Calibri"/>
                      <w:color w:val="FFFFFF"/>
                      <w:szCs w:val="20"/>
                    </w:rPr>
                  </w:pPr>
                  <w:r w:rsidRPr="00505285">
                    <w:rPr>
                      <w:rFonts w:eastAsia="Times New Roman" w:cs="Calibri"/>
                      <w:b/>
                      <w:bCs/>
                      <w:color w:val="FFFFFF"/>
                      <w:szCs w:val="20"/>
                    </w:rPr>
                    <w:t>% exceeding UL</w:t>
                  </w:r>
                </w:p>
              </w:tc>
            </w:tr>
            <w:tr w:rsidR="00247C82" w:rsidRPr="00505285" w14:paraId="367CC144" w14:textId="77777777">
              <w:trPr>
                <w:trHeight w:val="300"/>
              </w:trPr>
              <w:tc>
                <w:tcPr>
                  <w:tcW w:w="2724" w:type="dxa"/>
                  <w:noWrap/>
                  <w:vAlign w:val="center"/>
                </w:tcPr>
                <w:p w14:paraId="7013FE69" w14:textId="77777777" w:rsidR="00247C82" w:rsidRPr="00505285" w:rsidRDefault="00247C82">
                  <w:pPr>
                    <w:keepNext/>
                    <w:spacing w:after="0" w:line="240" w:lineRule="auto"/>
                    <w:rPr>
                      <w:rFonts w:eastAsia="Times New Roman" w:cs="Calibri"/>
                      <w:szCs w:val="20"/>
                    </w:rPr>
                  </w:pPr>
                  <w:r w:rsidRPr="00505285">
                    <w:rPr>
                      <w:rFonts w:eastAsia="Times New Roman" w:cs="Calibri"/>
                      <w:szCs w:val="20"/>
                    </w:rPr>
                    <w:t>18 to &lt;30y / 19 to &lt;31 y</w:t>
                  </w:r>
                </w:p>
              </w:tc>
              <w:tc>
                <w:tcPr>
                  <w:tcW w:w="3118" w:type="dxa"/>
                </w:tcPr>
                <w:p w14:paraId="4A13F037"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145</w:t>
                  </w:r>
                </w:p>
              </w:tc>
              <w:tc>
                <w:tcPr>
                  <w:tcW w:w="2410" w:type="dxa"/>
                </w:tcPr>
                <w:p w14:paraId="79F3415F"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146 (86 - 218)</w:t>
                  </w:r>
                </w:p>
              </w:tc>
              <w:tc>
                <w:tcPr>
                  <w:tcW w:w="1984" w:type="dxa"/>
                </w:tcPr>
                <w:p w14:paraId="041FE016"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11.7%</w:t>
                  </w:r>
                </w:p>
              </w:tc>
              <w:tc>
                <w:tcPr>
                  <w:tcW w:w="1985" w:type="dxa"/>
                </w:tcPr>
                <w:p w14:paraId="55E46829"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247C82" w:rsidRPr="00505285" w14:paraId="563C6554" w14:textId="77777777">
              <w:trPr>
                <w:trHeight w:val="300"/>
              </w:trPr>
              <w:tc>
                <w:tcPr>
                  <w:tcW w:w="2724" w:type="dxa"/>
                  <w:noWrap/>
                  <w:vAlign w:val="center"/>
                </w:tcPr>
                <w:p w14:paraId="6B0F1568" w14:textId="77777777" w:rsidR="00247C82" w:rsidRPr="00505285" w:rsidRDefault="00247C82">
                  <w:pPr>
                    <w:keepNext/>
                    <w:spacing w:after="0" w:line="240" w:lineRule="auto"/>
                    <w:rPr>
                      <w:rFonts w:eastAsia="Times New Roman" w:cs="Calibri"/>
                      <w:szCs w:val="20"/>
                    </w:rPr>
                  </w:pPr>
                  <w:r w:rsidRPr="00505285">
                    <w:rPr>
                      <w:rFonts w:eastAsia="Times New Roman" w:cs="Calibri"/>
                      <w:szCs w:val="20"/>
                    </w:rPr>
                    <w:t>30 to &lt;50y / 31 to &lt;51 y</w:t>
                  </w:r>
                </w:p>
              </w:tc>
              <w:tc>
                <w:tcPr>
                  <w:tcW w:w="3118" w:type="dxa"/>
                </w:tcPr>
                <w:p w14:paraId="3CB53077"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160</w:t>
                  </w:r>
                </w:p>
              </w:tc>
              <w:tc>
                <w:tcPr>
                  <w:tcW w:w="2410" w:type="dxa"/>
                </w:tcPr>
                <w:p w14:paraId="0E111E79"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152 (91 - 226)</w:t>
                  </w:r>
                </w:p>
              </w:tc>
              <w:tc>
                <w:tcPr>
                  <w:tcW w:w="1984" w:type="dxa"/>
                </w:tcPr>
                <w:p w14:paraId="41CAC83F"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9.0%</w:t>
                  </w:r>
                </w:p>
              </w:tc>
              <w:tc>
                <w:tcPr>
                  <w:tcW w:w="1985" w:type="dxa"/>
                </w:tcPr>
                <w:p w14:paraId="1B70ECE2"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bl>
          <w:p w14:paraId="66082F70"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highlight w:val="yellow"/>
              </w:rPr>
            </w:pPr>
          </w:p>
        </w:tc>
      </w:tr>
      <w:tr w:rsidR="00247C82" w:rsidRPr="00505285" w14:paraId="4680BD00" w14:textId="77777777">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tcPr>
          <w:p w14:paraId="1871AFC5" w14:textId="77777777" w:rsidR="00247C82" w:rsidRPr="00505285" w:rsidRDefault="00247C82">
            <w:pPr>
              <w:rPr>
                <w:rFonts w:eastAsia="Times New Roman" w:cs="Arial"/>
                <w:szCs w:val="20"/>
              </w:rPr>
            </w:pPr>
            <w:r w:rsidRPr="00505285">
              <w:rPr>
                <w:rFonts w:eastAsia="Times New Roman" w:cs="Arial"/>
                <w:szCs w:val="20"/>
              </w:rPr>
              <w:lastRenderedPageBreak/>
              <w:t>Benchmarking against comparable international jurisdictions</w:t>
            </w:r>
          </w:p>
        </w:tc>
        <w:tc>
          <w:tcPr>
            <w:tcW w:w="12756" w:type="dxa"/>
            <w:gridSpan w:val="3"/>
            <w:tcBorders>
              <w:left w:val="single" w:sz="4" w:space="0" w:color="77BCD9"/>
            </w:tcBorders>
          </w:tcPr>
          <w:p w14:paraId="5C70E07F"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 xml:space="preserve">In most jurisdictions, the recommendations for adults have been adopted - unaltered - for pregnant women. However, in Japan - where the UL is 3,000 µg/day - the UL during pregnancy is established at 2,000 µg/day to account for increased sensitivity. More recent recommendations from China (2023) established the UL at 500 µg/day - slightly below the value of 600µg/day adopted for </w:t>
            </w:r>
            <w:proofErr w:type="gramStart"/>
            <w:r w:rsidRPr="00505285">
              <w:rPr>
                <w:rFonts w:eastAsia="Arial" w:cs="Arial"/>
                <w:szCs w:val="20"/>
              </w:rPr>
              <w:t>adults, and</w:t>
            </w:r>
            <w:proofErr w:type="gramEnd"/>
            <w:r w:rsidRPr="00505285">
              <w:rPr>
                <w:rFonts w:eastAsia="Arial" w:cs="Arial"/>
                <w:szCs w:val="20"/>
              </w:rPr>
              <w:t xml:space="preserve"> based on the abovementioned cross-sectional studies conducted in China. </w:t>
            </w:r>
          </w:p>
          <w:p w14:paraId="7161505C"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A 2022 UK report on the effects of excess iodine intake on maternal and child health found there was insufficient evidence to inform a risk assessment, noting that current intakes were of limited concern except in individuals with diets high in seaweed (UK FSA COT, 2022).</w:t>
            </w:r>
          </w:p>
          <w:p w14:paraId="3D54CCA9" w14:textId="77777777" w:rsidR="00247C82"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Relevant recommendations from comparable international jurisdictions are shown in Table 5.</w:t>
            </w:r>
          </w:p>
          <w:p w14:paraId="3C02D354" w14:textId="77777777" w:rsidR="00B62D37" w:rsidRDefault="00B62D37">
            <w:pPr>
              <w:cnfStyle w:val="000000000000" w:firstRow="0" w:lastRow="0" w:firstColumn="0" w:lastColumn="0" w:oddVBand="0" w:evenVBand="0" w:oddHBand="0" w:evenHBand="0" w:firstRowFirstColumn="0" w:firstRowLastColumn="0" w:lastRowFirstColumn="0" w:lastRowLastColumn="0"/>
              <w:rPr>
                <w:rFonts w:eastAsia="Arial" w:cs="Arial"/>
                <w:szCs w:val="20"/>
              </w:rPr>
            </w:pPr>
          </w:p>
          <w:p w14:paraId="5B640AD1" w14:textId="77777777" w:rsidR="00B62D37" w:rsidRPr="00505285" w:rsidRDefault="00B62D37">
            <w:pPr>
              <w:cnfStyle w:val="000000000000" w:firstRow="0" w:lastRow="0" w:firstColumn="0" w:lastColumn="0" w:oddVBand="0" w:evenVBand="0" w:oddHBand="0" w:evenHBand="0" w:firstRowFirstColumn="0" w:firstRowLastColumn="0" w:lastRowFirstColumn="0" w:lastRowLastColumn="0"/>
              <w:rPr>
                <w:rFonts w:eastAsia="Arial" w:cs="Arial"/>
                <w:szCs w:val="20"/>
              </w:rPr>
            </w:pPr>
          </w:p>
          <w:p w14:paraId="793C5751" w14:textId="77777777" w:rsidR="00247C82" w:rsidRPr="00505285" w:rsidRDefault="00247C82">
            <w:pPr>
              <w:keepNext/>
              <w:spacing w:after="200"/>
              <w:cnfStyle w:val="000000000000" w:firstRow="0" w:lastRow="0" w:firstColumn="0" w:lastColumn="0" w:oddVBand="0" w:evenVBand="0" w:oddHBand="0" w:evenHBand="0" w:firstRowFirstColumn="0" w:firstRowLastColumn="0" w:lastRowFirstColumn="0" w:lastRowLastColumn="0"/>
              <w:rPr>
                <w:rFonts w:eastAsia="Arial" w:cs="Arial"/>
                <w:iCs/>
                <w:caps/>
                <w:szCs w:val="20"/>
              </w:rPr>
            </w:pPr>
            <w:r w:rsidRPr="00505285">
              <w:rPr>
                <w:rFonts w:eastAsia="Arial" w:cs="Arial"/>
                <w:iCs/>
                <w:caps/>
                <w:szCs w:val="20"/>
              </w:rPr>
              <w:lastRenderedPageBreak/>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5</w:t>
            </w:r>
            <w:r w:rsidRPr="00505285">
              <w:rPr>
                <w:rFonts w:eastAsia="Arial" w:cs="Arial"/>
                <w:iCs/>
                <w:caps/>
                <w:noProof/>
                <w:szCs w:val="20"/>
              </w:rPr>
              <w:fldChar w:fldCharType="end"/>
            </w:r>
            <w:r w:rsidRPr="00505285">
              <w:rPr>
                <w:rFonts w:eastAsia="Arial" w:cs="Arial"/>
                <w:iCs/>
                <w:caps/>
                <w:szCs w:val="20"/>
              </w:rPr>
              <w:t xml:space="preserve"> - PREGNANCY </w:t>
            </w:r>
            <w:proofErr w:type="gramStart"/>
            <w:r w:rsidRPr="00505285">
              <w:rPr>
                <w:rFonts w:eastAsia="Arial" w:cs="Arial"/>
                <w:iCs/>
                <w:caps/>
                <w:szCs w:val="20"/>
              </w:rPr>
              <w:t>UPPER LEVEL</w:t>
            </w:r>
            <w:proofErr w:type="gramEnd"/>
            <w:r w:rsidRPr="00505285">
              <w:rPr>
                <w:rFonts w:eastAsia="Arial" w:cs="Arial"/>
                <w:iCs/>
                <w:caps/>
                <w:szCs w:val="20"/>
              </w:rPr>
              <w:t xml:space="preserve"> RECOMMENDATIONS</w:t>
            </w:r>
            <w:r w:rsidRPr="00505285">
              <w:rPr>
                <w:rFonts w:eastAsia="Arial" w:cs="Arial"/>
                <w:iCs/>
                <w:caps/>
                <w:noProof/>
                <w:szCs w:val="20"/>
              </w:rPr>
              <w:t xml:space="preserve"> ACROSS COMPARABLE JURISDICTIONS</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418"/>
              <w:gridCol w:w="1559"/>
              <w:gridCol w:w="1276"/>
              <w:gridCol w:w="1276"/>
              <w:gridCol w:w="1276"/>
              <w:gridCol w:w="1276"/>
            </w:tblGrid>
            <w:tr w:rsidR="00247C82" w:rsidRPr="00505285" w14:paraId="2C0842F9" w14:textId="77777777">
              <w:trPr>
                <w:trHeight w:val="900"/>
              </w:trPr>
              <w:tc>
                <w:tcPr>
                  <w:tcW w:w="1909" w:type="dxa"/>
                  <w:shd w:val="clear" w:color="auto" w:fill="005F85"/>
                  <w:vAlign w:val="bottom"/>
                  <w:hideMark/>
                </w:tcPr>
                <w:p w14:paraId="1AEEBC28" w14:textId="77777777" w:rsidR="00247C82" w:rsidRPr="00505285" w:rsidRDefault="00247C82">
                  <w:pPr>
                    <w:spacing w:after="0" w:line="240" w:lineRule="auto"/>
                    <w:rPr>
                      <w:rFonts w:eastAsia="Times New Roman"/>
                      <w:b/>
                      <w:bCs/>
                      <w:color w:val="FFFFFF"/>
                      <w:szCs w:val="20"/>
                    </w:rPr>
                  </w:pPr>
                  <w:r w:rsidRPr="00505285">
                    <w:rPr>
                      <w:rFonts w:eastAsia="Times New Roman"/>
                      <w:b/>
                      <w:bCs/>
                      <w:color w:val="FFFFFF"/>
                      <w:szCs w:val="20"/>
                    </w:rPr>
                    <w:t>Age (years)</w:t>
                  </w:r>
                </w:p>
              </w:tc>
              <w:tc>
                <w:tcPr>
                  <w:tcW w:w="1418" w:type="dxa"/>
                  <w:shd w:val="clear" w:color="auto" w:fill="005F85"/>
                  <w:vAlign w:val="bottom"/>
                </w:tcPr>
                <w:p w14:paraId="53B51C94"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Proposed ANZ</w:t>
                  </w:r>
                </w:p>
                <w:p w14:paraId="66162FA2" w14:textId="77777777" w:rsidR="00247C82" w:rsidRPr="00505285" w:rsidRDefault="00247C82">
                  <w:pPr>
                    <w:keepNext/>
                    <w:spacing w:after="0" w:line="240" w:lineRule="auto"/>
                    <w:jc w:val="center"/>
                    <w:rPr>
                      <w:rFonts w:eastAsia="Times New Roman"/>
                      <w:b/>
                      <w:bCs/>
                      <w:color w:val="FFFFFF"/>
                      <w:szCs w:val="20"/>
                    </w:rPr>
                  </w:pPr>
                  <w:r w:rsidRPr="00505285">
                    <w:rPr>
                      <w:rFonts w:eastAsia="Times New Roman"/>
                      <w:b/>
                      <w:bCs/>
                      <w:color w:val="FFFFFF"/>
                      <w:szCs w:val="20"/>
                    </w:rPr>
                    <w:t>UL</w:t>
                  </w:r>
                </w:p>
                <w:p w14:paraId="7C2E39D5" w14:textId="77777777" w:rsidR="00247C82" w:rsidRPr="00505285" w:rsidRDefault="00247C82">
                  <w:pPr>
                    <w:keepNext/>
                    <w:spacing w:after="0" w:line="240" w:lineRule="auto"/>
                    <w:jc w:val="center"/>
                    <w:rPr>
                      <w:rFonts w:eastAsia="Times New Roman"/>
                      <w:b/>
                      <w:bCs/>
                      <w:color w:val="FFFFFF"/>
                      <w:szCs w:val="20"/>
                    </w:rPr>
                  </w:pPr>
                  <w:r w:rsidRPr="00505285">
                    <w:rPr>
                      <w:rFonts w:eastAsia="Times New Roman" w:cs="Calibri"/>
                      <w:b/>
                      <w:bCs/>
                      <w:color w:val="FFFFFF"/>
                      <w:szCs w:val="20"/>
                    </w:rPr>
                    <w:t>(µg/day)</w:t>
                  </w:r>
                </w:p>
              </w:tc>
              <w:tc>
                <w:tcPr>
                  <w:tcW w:w="1559" w:type="dxa"/>
                  <w:shd w:val="clear" w:color="auto" w:fill="005F85"/>
                  <w:vAlign w:val="bottom"/>
                  <w:hideMark/>
                </w:tcPr>
                <w:p w14:paraId="146D945F"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 xml:space="preserve">Current ANZ </w:t>
                  </w:r>
                </w:p>
                <w:p w14:paraId="4AE1BAE1"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UL</w:t>
                  </w:r>
                </w:p>
                <w:p w14:paraId="50CB36AF"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(2006)</w:t>
                  </w:r>
                </w:p>
                <w:p w14:paraId="1EFDB576" w14:textId="77777777" w:rsidR="00247C82" w:rsidRPr="00505285" w:rsidRDefault="00247C82">
                  <w:pPr>
                    <w:spacing w:after="0" w:line="240" w:lineRule="auto"/>
                    <w:jc w:val="center"/>
                    <w:rPr>
                      <w:rFonts w:eastAsia="Times New Roman"/>
                      <w:b/>
                      <w:bCs/>
                      <w:color w:val="FFFFFF"/>
                      <w:szCs w:val="20"/>
                    </w:rPr>
                  </w:pPr>
                  <w:r w:rsidRPr="00505285">
                    <w:rPr>
                      <w:rFonts w:eastAsia="Times New Roman" w:cs="Calibri"/>
                      <w:b/>
                      <w:bCs/>
                      <w:color w:val="FFFFFF"/>
                      <w:szCs w:val="20"/>
                    </w:rPr>
                    <w:t>(µg/day)</w:t>
                  </w:r>
                </w:p>
              </w:tc>
              <w:tc>
                <w:tcPr>
                  <w:tcW w:w="1276" w:type="dxa"/>
                  <w:shd w:val="clear" w:color="auto" w:fill="005F85"/>
                  <w:vAlign w:val="bottom"/>
                </w:tcPr>
                <w:p w14:paraId="06273A33"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 xml:space="preserve">US / Canada </w:t>
                  </w:r>
                </w:p>
                <w:p w14:paraId="29F07133"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UL</w:t>
                  </w:r>
                </w:p>
                <w:p w14:paraId="08336DA0"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(2001)</w:t>
                  </w:r>
                </w:p>
                <w:p w14:paraId="38013A2A" w14:textId="77777777" w:rsidR="00247C82" w:rsidRPr="00505285" w:rsidRDefault="00247C82">
                  <w:pPr>
                    <w:spacing w:after="0" w:line="240" w:lineRule="auto"/>
                    <w:jc w:val="center"/>
                    <w:rPr>
                      <w:rFonts w:eastAsia="Times New Roman"/>
                      <w:b/>
                      <w:bCs/>
                      <w:color w:val="FFFFFF"/>
                      <w:szCs w:val="20"/>
                    </w:rPr>
                  </w:pPr>
                  <w:r w:rsidRPr="00505285">
                    <w:rPr>
                      <w:rFonts w:eastAsia="Times New Roman" w:cs="Calibri"/>
                      <w:b/>
                      <w:bCs/>
                      <w:color w:val="FFFFFF"/>
                      <w:szCs w:val="20"/>
                    </w:rPr>
                    <w:t>(µg/day)</w:t>
                  </w:r>
                </w:p>
              </w:tc>
              <w:tc>
                <w:tcPr>
                  <w:tcW w:w="1276" w:type="dxa"/>
                  <w:shd w:val="clear" w:color="auto" w:fill="005F85"/>
                  <w:vAlign w:val="bottom"/>
                  <w:hideMark/>
                </w:tcPr>
                <w:p w14:paraId="22212916"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 xml:space="preserve">EFSA </w:t>
                  </w:r>
                </w:p>
                <w:p w14:paraId="6D3203EF"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 xml:space="preserve">UL </w:t>
                  </w:r>
                </w:p>
                <w:p w14:paraId="32CDEAF3"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(2002)</w:t>
                  </w:r>
                </w:p>
                <w:p w14:paraId="20BB4153" w14:textId="77777777" w:rsidR="00247C82" w:rsidRPr="00505285" w:rsidRDefault="00247C82">
                  <w:pPr>
                    <w:spacing w:after="0" w:line="240" w:lineRule="auto"/>
                    <w:jc w:val="center"/>
                    <w:rPr>
                      <w:rFonts w:eastAsia="Times New Roman"/>
                      <w:b/>
                      <w:bCs/>
                      <w:color w:val="FFFFFF"/>
                      <w:szCs w:val="20"/>
                    </w:rPr>
                  </w:pPr>
                  <w:r w:rsidRPr="00505285">
                    <w:rPr>
                      <w:rFonts w:eastAsia="Times New Roman" w:cs="Calibri"/>
                      <w:b/>
                      <w:bCs/>
                      <w:color w:val="FFFFFF"/>
                      <w:szCs w:val="20"/>
                    </w:rPr>
                    <w:t>(µg/day)</w:t>
                  </w:r>
                </w:p>
              </w:tc>
              <w:tc>
                <w:tcPr>
                  <w:tcW w:w="1276" w:type="dxa"/>
                  <w:shd w:val="clear" w:color="auto" w:fill="005F85"/>
                  <w:vAlign w:val="bottom"/>
                </w:tcPr>
                <w:p w14:paraId="4AC5C6D9"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UK SCF</w:t>
                  </w:r>
                </w:p>
                <w:p w14:paraId="206A476E"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UL</w:t>
                  </w:r>
                </w:p>
                <w:p w14:paraId="2842FD36"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(2000)</w:t>
                  </w:r>
                </w:p>
                <w:p w14:paraId="2CF8C793" w14:textId="77777777" w:rsidR="00247C82" w:rsidRPr="00505285" w:rsidRDefault="00247C82">
                  <w:pPr>
                    <w:spacing w:after="0" w:line="240" w:lineRule="auto"/>
                    <w:jc w:val="center"/>
                    <w:rPr>
                      <w:rFonts w:eastAsia="Times New Roman"/>
                      <w:b/>
                      <w:bCs/>
                      <w:color w:val="FFFFFF"/>
                      <w:szCs w:val="20"/>
                    </w:rPr>
                  </w:pPr>
                  <w:r w:rsidRPr="00505285">
                    <w:rPr>
                      <w:rFonts w:eastAsia="Times New Roman" w:cs="Calibri"/>
                      <w:b/>
                      <w:bCs/>
                      <w:color w:val="FFFFFF"/>
                      <w:szCs w:val="20"/>
                    </w:rPr>
                    <w:t>(µg/day)</w:t>
                  </w:r>
                </w:p>
              </w:tc>
              <w:tc>
                <w:tcPr>
                  <w:tcW w:w="1276" w:type="dxa"/>
                  <w:shd w:val="clear" w:color="auto" w:fill="005F85"/>
                  <w:vAlign w:val="bottom"/>
                  <w:hideMark/>
                </w:tcPr>
                <w:p w14:paraId="5F0D2CC4"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 xml:space="preserve">NNR </w:t>
                  </w:r>
                </w:p>
                <w:p w14:paraId="177B374B"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UL</w:t>
                  </w:r>
                </w:p>
                <w:p w14:paraId="6D04F4C9"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(2023)</w:t>
                  </w:r>
                </w:p>
                <w:p w14:paraId="722FBA3A" w14:textId="77777777" w:rsidR="00247C82" w:rsidRPr="00505285" w:rsidRDefault="00247C82">
                  <w:pPr>
                    <w:spacing w:after="0" w:line="240" w:lineRule="auto"/>
                    <w:jc w:val="center"/>
                    <w:rPr>
                      <w:rFonts w:eastAsia="Times New Roman"/>
                      <w:b/>
                      <w:bCs/>
                      <w:color w:val="FFFFFF"/>
                      <w:szCs w:val="20"/>
                    </w:rPr>
                  </w:pPr>
                  <w:r w:rsidRPr="00505285">
                    <w:rPr>
                      <w:rFonts w:eastAsia="Times New Roman" w:cs="Calibri"/>
                      <w:b/>
                      <w:bCs/>
                      <w:color w:val="FFFFFF"/>
                      <w:szCs w:val="20"/>
                    </w:rPr>
                    <w:t>(µg/day)</w:t>
                  </w:r>
                </w:p>
              </w:tc>
            </w:tr>
            <w:tr w:rsidR="00247C82" w:rsidRPr="00505285" w14:paraId="5EF2392E" w14:textId="77777777">
              <w:trPr>
                <w:trHeight w:val="300"/>
              </w:trPr>
              <w:tc>
                <w:tcPr>
                  <w:tcW w:w="1909" w:type="dxa"/>
                  <w:noWrap/>
                  <w:vAlign w:val="center"/>
                </w:tcPr>
                <w:p w14:paraId="53FE26B1" w14:textId="77777777" w:rsidR="00247C82" w:rsidRPr="00505285" w:rsidRDefault="00247C82">
                  <w:pPr>
                    <w:spacing w:after="0" w:line="240" w:lineRule="auto"/>
                    <w:rPr>
                      <w:rFonts w:eastAsia="Times New Roman"/>
                      <w:color w:val="000000"/>
                      <w:szCs w:val="20"/>
                    </w:rPr>
                  </w:pPr>
                  <w:r w:rsidRPr="00505285">
                    <w:rPr>
                      <w:rFonts w:eastAsia="Times New Roman"/>
                      <w:color w:val="000000"/>
                      <w:szCs w:val="20"/>
                    </w:rPr>
                    <w:t>Pregnancy (all)</w:t>
                  </w:r>
                </w:p>
              </w:tc>
              <w:tc>
                <w:tcPr>
                  <w:tcW w:w="1418" w:type="dxa"/>
                  <w:vAlign w:val="center"/>
                </w:tcPr>
                <w:p w14:paraId="581F4524"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600</w:t>
                  </w:r>
                </w:p>
              </w:tc>
              <w:tc>
                <w:tcPr>
                  <w:tcW w:w="1559" w:type="dxa"/>
                  <w:noWrap/>
                  <w:vAlign w:val="center"/>
                </w:tcPr>
                <w:p w14:paraId="42AC650C"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1,100</w:t>
                  </w:r>
                </w:p>
              </w:tc>
              <w:tc>
                <w:tcPr>
                  <w:tcW w:w="1276" w:type="dxa"/>
                  <w:vAlign w:val="center"/>
                </w:tcPr>
                <w:p w14:paraId="6AAD5792"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1,100</w:t>
                  </w:r>
                </w:p>
              </w:tc>
              <w:tc>
                <w:tcPr>
                  <w:tcW w:w="1276" w:type="dxa"/>
                  <w:noWrap/>
                  <w:vAlign w:val="center"/>
                </w:tcPr>
                <w:p w14:paraId="1705708E"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600</w:t>
                  </w:r>
                </w:p>
              </w:tc>
              <w:tc>
                <w:tcPr>
                  <w:tcW w:w="1276" w:type="dxa"/>
                  <w:vAlign w:val="center"/>
                </w:tcPr>
                <w:p w14:paraId="46BBBC5F"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600</w:t>
                  </w:r>
                </w:p>
              </w:tc>
              <w:tc>
                <w:tcPr>
                  <w:tcW w:w="1276" w:type="dxa"/>
                  <w:noWrap/>
                  <w:vAlign w:val="center"/>
                </w:tcPr>
                <w:p w14:paraId="2B36589D"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600</w:t>
                  </w:r>
                </w:p>
              </w:tc>
            </w:tr>
          </w:tbl>
          <w:p w14:paraId="0D8871C1"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iCs/>
                <w:szCs w:val="20"/>
                <w:highlight w:val="lightGray"/>
              </w:rPr>
            </w:pPr>
          </w:p>
        </w:tc>
      </w:tr>
      <w:tr w:rsidR="00247C82" w:rsidRPr="00505285" w14:paraId="29312E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hideMark/>
          </w:tcPr>
          <w:p w14:paraId="53DF7234" w14:textId="77777777" w:rsidR="00247C82" w:rsidRPr="00505285" w:rsidRDefault="00247C82">
            <w:pPr>
              <w:rPr>
                <w:rFonts w:eastAsia="Arial" w:cs="Helvetica"/>
                <w:szCs w:val="20"/>
              </w:rPr>
            </w:pPr>
            <w:r w:rsidRPr="00505285">
              <w:rPr>
                <w:rFonts w:eastAsia="Arial" w:cs="Arial"/>
                <w:szCs w:val="20"/>
              </w:rPr>
              <w:lastRenderedPageBreak/>
              <w:t>Balance of effects (benefits and harms)</w:t>
            </w:r>
          </w:p>
          <w:p w14:paraId="3E2D207D" w14:textId="77777777" w:rsidR="00247C82" w:rsidRPr="00505285" w:rsidRDefault="00247C82">
            <w:pPr>
              <w:ind w:right="-1346"/>
              <w:rPr>
                <w:rFonts w:eastAsia="Times New Roman" w:cs="Arial"/>
                <w:szCs w:val="20"/>
              </w:rPr>
            </w:pPr>
          </w:p>
        </w:tc>
        <w:tc>
          <w:tcPr>
            <w:tcW w:w="5810" w:type="dxa"/>
            <w:tcBorders>
              <w:left w:val="single" w:sz="4" w:space="0" w:color="77BCD9"/>
            </w:tcBorders>
          </w:tcPr>
          <w:p w14:paraId="64442EF4" w14:textId="77777777" w:rsidR="00247C82" w:rsidRPr="00505285" w:rsidRDefault="00247C8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Evidence suggests that the current Upper Level of 1,100</w:t>
            </w:r>
            <w:r w:rsidRPr="00505285">
              <w:rPr>
                <w:rFonts w:eastAsia="Times New Roman" w:cs="Times New Roman"/>
                <w:szCs w:val="20"/>
              </w:rPr>
              <w:t xml:space="preserve"> µg/day</w:t>
            </w:r>
            <w:r w:rsidRPr="00505285">
              <w:rPr>
                <w:rFonts w:eastAsia="Times New Roman" w:cs="Arial"/>
                <w:szCs w:val="20"/>
              </w:rPr>
              <w:t xml:space="preserve"> may not be protective of maternal and child health during pregnancy. </w:t>
            </w:r>
          </w:p>
          <w:p w14:paraId="26CA34C9" w14:textId="77777777" w:rsidR="00247C82" w:rsidRPr="00505285" w:rsidRDefault="00247C8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Current national data suggest that Australian and New Zealand females of reproductive age are mildly deficient. Growing interest in plant-forward diets (Roy Morgan 2016; Kantar 2022; Riverola et al. 2023) may further reduce individuals’ iodine intake and exacerbate existing deficiency in the population. This deficiency increases individual sensitivity to the effects of excess iodine. </w:t>
            </w:r>
          </w:p>
          <w:p w14:paraId="3657DD4F" w14:textId="77777777" w:rsidR="00247C82" w:rsidRPr="00505285" w:rsidRDefault="00247C8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Although there is insufficient, high quality exposure data to support a risk assessment of excess iodine during pregnancy, evidence suggests that adverse effects on maternal thyroid function may occur below the current UL. </w:t>
            </w:r>
          </w:p>
          <w:p w14:paraId="63D1F4D1" w14:textId="77777777" w:rsidR="00247C82" w:rsidRPr="00505285" w:rsidRDefault="00247C8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However, there is no evidence that adverse maternal or child health outcomes from excess iodine are prevalent within the Australian and New Zealand population.  The overwhelming public health concern remains the effect of mild population deficiency during pregnancy on birth outcomes and child neurodevelopment.</w:t>
            </w:r>
          </w:p>
        </w:tc>
        <w:tc>
          <w:tcPr>
            <w:tcW w:w="6946" w:type="dxa"/>
            <w:gridSpan w:val="2"/>
          </w:tcPr>
          <w:p w14:paraId="08A9DCF5" w14:textId="77777777" w:rsidR="00247C82" w:rsidRPr="00505285" w:rsidRDefault="00247C8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Although very limited data suggests that adverse effects can occur with intakes &gt;500µg/day, the evidence is not </w:t>
            </w:r>
            <w:proofErr w:type="gramStart"/>
            <w:r w:rsidRPr="00505285">
              <w:rPr>
                <w:rFonts w:eastAsia="Times New Roman" w:cs="Arial"/>
                <w:szCs w:val="20"/>
              </w:rPr>
              <w:t>compelling, and</w:t>
            </w:r>
            <w:proofErr w:type="gramEnd"/>
            <w:r w:rsidRPr="00505285">
              <w:rPr>
                <w:rFonts w:eastAsia="Times New Roman" w:cs="Arial"/>
                <w:szCs w:val="20"/>
              </w:rPr>
              <w:t xml:space="preserve"> may not be generalisable to the Australian context. If the UL for pregnant women were reduced to 500µg/day, this would create a discrepancy between the values for adults and during </w:t>
            </w:r>
            <w:proofErr w:type="gramStart"/>
            <w:r w:rsidRPr="00505285">
              <w:rPr>
                <w:rFonts w:eastAsia="Times New Roman" w:cs="Arial"/>
                <w:szCs w:val="20"/>
              </w:rPr>
              <w:t>pregnancy, and</w:t>
            </w:r>
            <w:proofErr w:type="gramEnd"/>
            <w:r w:rsidRPr="00505285">
              <w:rPr>
                <w:rFonts w:eastAsia="Times New Roman" w:cs="Arial"/>
                <w:szCs w:val="20"/>
              </w:rPr>
              <w:t xml:space="preserve"> may result in a misperception that high iodine intake during pregnancy is an issue of public health concern in Australia and New Zealand. </w:t>
            </w:r>
          </w:p>
          <w:p w14:paraId="778E4D1C" w14:textId="77777777" w:rsidR="00247C82" w:rsidRPr="00505285" w:rsidRDefault="00247C82">
            <w:pPr>
              <w:spacing w:before="120" w:after="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However, the overwhelming public health concern in this context remains iodine deficiency during pregnancy. In contrast, reducing both the adult and pregnancy UL to 600 µg/day will be protective of the general population - including both mother and the developing infant during pregnancy - without undermining existing public health efforts to address persistent mild population deficiency within females of reproductive age. </w:t>
            </w:r>
          </w:p>
        </w:tc>
      </w:tr>
      <w:tr w:rsidR="00247C82" w:rsidRPr="00505285" w14:paraId="46F1A6E2" w14:textId="77777777">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tcPr>
          <w:p w14:paraId="5ED28E30" w14:textId="77777777" w:rsidR="00247C82" w:rsidRPr="00505285" w:rsidRDefault="00247C82">
            <w:pPr>
              <w:rPr>
                <w:rFonts w:eastAsia="Arial" w:cs="Arial"/>
                <w:szCs w:val="20"/>
              </w:rPr>
            </w:pPr>
            <w:r w:rsidRPr="00505285">
              <w:rPr>
                <w:rFonts w:eastAsia="Arial" w:cs="Arial"/>
                <w:szCs w:val="20"/>
              </w:rPr>
              <w:t>Certainty of the evidence</w:t>
            </w:r>
          </w:p>
        </w:tc>
        <w:tc>
          <w:tcPr>
            <w:tcW w:w="12756" w:type="dxa"/>
            <w:gridSpan w:val="3"/>
            <w:tcBorders>
              <w:left w:val="single" w:sz="4" w:space="0" w:color="77BCD9"/>
            </w:tcBorders>
          </w:tcPr>
          <w:p w14:paraId="4EA5BA87" w14:textId="77777777" w:rsidR="00247C82" w:rsidRPr="00505285" w:rsidRDefault="00247C82">
            <w:pPr>
              <w:spacing w:before="120" w:after="0"/>
              <w:ind w:right="34"/>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 evidence on the levels of iodine intake at which adverse effects may occur during pregnancy is very uncertain. </w:t>
            </w:r>
          </w:p>
        </w:tc>
      </w:tr>
      <w:tr w:rsidR="00247C82" w:rsidRPr="00505285" w14:paraId="513D6C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tcPr>
          <w:p w14:paraId="3F9BFDC6" w14:textId="77777777" w:rsidR="00247C82" w:rsidRPr="00505285" w:rsidRDefault="00247C82">
            <w:pPr>
              <w:rPr>
                <w:rFonts w:eastAsia="Arial" w:cs="Arial"/>
                <w:szCs w:val="20"/>
              </w:rPr>
            </w:pPr>
            <w:r w:rsidRPr="00505285">
              <w:rPr>
                <w:rFonts w:eastAsia="Arial" w:cs="Arial"/>
                <w:szCs w:val="20"/>
              </w:rPr>
              <w:lastRenderedPageBreak/>
              <w:t>Values, preferences and feasibility (consumers, communities)</w:t>
            </w:r>
          </w:p>
        </w:tc>
        <w:tc>
          <w:tcPr>
            <w:tcW w:w="12756" w:type="dxa"/>
            <w:gridSpan w:val="3"/>
            <w:tcBorders>
              <w:left w:val="single" w:sz="4" w:space="0" w:color="77BCD9"/>
            </w:tcBorders>
          </w:tcPr>
          <w:p w14:paraId="5E636E51"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iCs/>
                <w:szCs w:val="20"/>
              </w:rPr>
              <w:t>Food modelling data suggests that both the current UL of 1,100</w:t>
            </w:r>
            <w:r w:rsidRPr="00505285">
              <w:rPr>
                <w:rFonts w:eastAsia="Times New Roman" w:cs="Times New Roman"/>
                <w:szCs w:val="20"/>
              </w:rPr>
              <w:t xml:space="preserve"> µg/day</w:t>
            </w:r>
            <w:r w:rsidRPr="00505285">
              <w:rPr>
                <w:rFonts w:eastAsia="Times New Roman" w:cs="Arial"/>
                <w:iCs/>
                <w:szCs w:val="20"/>
              </w:rPr>
              <w:t xml:space="preserve"> and the proposed UL of 600</w:t>
            </w:r>
            <w:r w:rsidRPr="00505285">
              <w:rPr>
                <w:rFonts w:eastAsia="Times New Roman" w:cs="Times New Roman"/>
                <w:szCs w:val="20"/>
              </w:rPr>
              <w:t xml:space="preserve"> µg/day are feasible to achieve, with i</w:t>
            </w:r>
            <w:r w:rsidRPr="00505285">
              <w:rPr>
                <w:rFonts w:eastAsia="Times New Roman" w:cs="Arial"/>
                <w:szCs w:val="20"/>
              </w:rPr>
              <w:t xml:space="preserve">ntake from foundation diets estimated at between 233 and 261 </w:t>
            </w:r>
            <w:proofErr w:type="spellStart"/>
            <w:r w:rsidRPr="00505285">
              <w:rPr>
                <w:rFonts w:eastAsia="Times New Roman" w:cs="Arial"/>
                <w:szCs w:val="20"/>
              </w:rPr>
              <w:t>μg</w:t>
            </w:r>
            <w:proofErr w:type="spellEnd"/>
            <w:r w:rsidRPr="00505285">
              <w:rPr>
                <w:rFonts w:eastAsia="Times New Roman" w:cs="Arial"/>
                <w:szCs w:val="20"/>
              </w:rPr>
              <w:t xml:space="preserve">/day </w:t>
            </w:r>
            <w:r w:rsidRPr="00505285">
              <w:rPr>
                <w:rFonts w:eastAsia="Times New Roman" w:cs="Times New Roman"/>
                <w:szCs w:val="20"/>
              </w:rPr>
              <w:t>(NHMRC, 2011)</w:t>
            </w:r>
            <w:r w:rsidRPr="00505285">
              <w:rPr>
                <w:rFonts w:eastAsia="Times New Roman" w:cs="Arial"/>
                <w:szCs w:val="20"/>
              </w:rPr>
              <w:t xml:space="preserve">. It is also suggested that pregnant women take supplemental iodine of 150 </w:t>
            </w:r>
            <w:proofErr w:type="spellStart"/>
            <w:r w:rsidRPr="00505285">
              <w:rPr>
                <w:rFonts w:eastAsia="Times New Roman" w:cs="Arial"/>
                <w:szCs w:val="20"/>
              </w:rPr>
              <w:t>μg</w:t>
            </w:r>
            <w:proofErr w:type="spellEnd"/>
            <w:r w:rsidRPr="00505285">
              <w:rPr>
                <w:rFonts w:eastAsia="Times New Roman" w:cs="Arial"/>
                <w:szCs w:val="20"/>
              </w:rPr>
              <w:t xml:space="preserve">/day (NHMRC 2010). As a result, intakes during pregnancy in those following the foundation diets may increase to around 380 - 410 </w:t>
            </w:r>
            <w:proofErr w:type="spellStart"/>
            <w:r w:rsidRPr="00505285">
              <w:rPr>
                <w:rFonts w:eastAsia="Times New Roman" w:cs="Arial"/>
                <w:szCs w:val="20"/>
              </w:rPr>
              <w:t>μg</w:t>
            </w:r>
            <w:proofErr w:type="spellEnd"/>
            <w:r w:rsidRPr="00505285">
              <w:rPr>
                <w:rFonts w:eastAsia="Times New Roman" w:cs="Arial"/>
                <w:szCs w:val="20"/>
              </w:rPr>
              <w:t>/day.</w:t>
            </w:r>
          </w:p>
          <w:p w14:paraId="278C0E04"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 xml:space="preserve">Although intake data are unavailable for pregnant women, data from the </w:t>
            </w:r>
            <w:r w:rsidRPr="00505285">
              <w:rPr>
                <w:rFonts w:eastAsia="Times New Roman" w:cs="Arial"/>
                <w:szCs w:val="20"/>
              </w:rPr>
              <w:t xml:space="preserve">2011-13 Australian Health Survey (ABS, 2015) </w:t>
            </w:r>
            <w:r w:rsidRPr="00505285">
              <w:rPr>
                <w:rFonts w:eastAsia="Arial" w:cs="Arial"/>
                <w:szCs w:val="20"/>
              </w:rPr>
              <w:t xml:space="preserve">indicate that 95% of females aged 19-50 yrs have intakes between ~86 and 226 µg/day, which is also well below the lower proposed UL of 600 </w:t>
            </w:r>
            <w:r w:rsidRPr="00505285">
              <w:rPr>
                <w:rFonts w:eastAsia="Times New Roman" w:cs="Times New Roman"/>
                <w:szCs w:val="20"/>
              </w:rPr>
              <w:t xml:space="preserve">µg/day. Most recent population median UIC data in pregnant women is indicative of mild population deficiency in both Australia and New Zealand. </w:t>
            </w:r>
          </w:p>
          <w:p w14:paraId="43027B35" w14:textId="77777777" w:rsidR="00247C82" w:rsidRPr="00505285" w:rsidRDefault="00247C8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The proposed UL is also substantially higher than the proposed RDI of 220 </w:t>
            </w:r>
            <w:proofErr w:type="spellStart"/>
            <w:r w:rsidRPr="00505285">
              <w:rPr>
                <w:rFonts w:eastAsia="Times New Roman" w:cs="Arial"/>
                <w:szCs w:val="20"/>
              </w:rPr>
              <w:t>μg</w:t>
            </w:r>
            <w:proofErr w:type="spellEnd"/>
            <w:r w:rsidRPr="00505285">
              <w:rPr>
                <w:rFonts w:eastAsia="Times New Roman" w:cs="Arial"/>
                <w:szCs w:val="20"/>
              </w:rPr>
              <w:t xml:space="preserve">/day, providing for sufficient variability in individual intakes within the range of normal. This provides another rationale for not adopting a lower UL of 500 </w:t>
            </w:r>
            <w:proofErr w:type="spellStart"/>
            <w:r w:rsidRPr="00505285">
              <w:rPr>
                <w:rFonts w:eastAsia="Times New Roman" w:cs="Arial"/>
                <w:szCs w:val="20"/>
              </w:rPr>
              <w:t>μg</w:t>
            </w:r>
            <w:proofErr w:type="spellEnd"/>
            <w:r w:rsidRPr="00505285">
              <w:rPr>
                <w:rFonts w:eastAsia="Times New Roman" w:cs="Arial"/>
                <w:szCs w:val="20"/>
              </w:rPr>
              <w:t xml:space="preserve">/day in this population, which may excessively narrow the window of acceptable intakes between the RDI (220 </w:t>
            </w:r>
            <w:proofErr w:type="spellStart"/>
            <w:r w:rsidRPr="00505285">
              <w:rPr>
                <w:rFonts w:eastAsia="Times New Roman" w:cs="Arial"/>
                <w:szCs w:val="20"/>
              </w:rPr>
              <w:t>μg</w:t>
            </w:r>
            <w:proofErr w:type="spellEnd"/>
            <w:r w:rsidRPr="00505285">
              <w:rPr>
                <w:rFonts w:eastAsia="Times New Roman" w:cs="Arial"/>
                <w:szCs w:val="20"/>
              </w:rPr>
              <w:t>/day) and UL.</w:t>
            </w:r>
          </w:p>
        </w:tc>
      </w:tr>
      <w:tr w:rsidR="00247C82" w:rsidRPr="00505285" w14:paraId="74690106" w14:textId="77777777">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tcPr>
          <w:p w14:paraId="3C6DF451" w14:textId="77777777" w:rsidR="00247C82" w:rsidRPr="00505285" w:rsidRDefault="00247C82">
            <w:pPr>
              <w:rPr>
                <w:rFonts w:eastAsia="Arial" w:cs="Arial"/>
                <w:szCs w:val="20"/>
              </w:rPr>
            </w:pPr>
            <w:r w:rsidRPr="00505285">
              <w:rPr>
                <w:rFonts w:eastAsia="Arial" w:cs="Arial"/>
                <w:szCs w:val="20"/>
              </w:rPr>
              <w:t xml:space="preserve">Resource impacts </w:t>
            </w:r>
          </w:p>
        </w:tc>
        <w:tc>
          <w:tcPr>
            <w:tcW w:w="5810" w:type="dxa"/>
            <w:tcBorders>
              <w:left w:val="single" w:sz="4" w:space="0" w:color="77BCD9"/>
            </w:tcBorders>
          </w:tcPr>
          <w:p w14:paraId="61429BF1" w14:textId="77777777" w:rsidR="00247C82" w:rsidRPr="00505285" w:rsidRDefault="00247C82">
            <w:pPr>
              <w:spacing w:before="120" w:after="0"/>
              <w:ind w:right="-114"/>
              <w:cnfStyle w:val="000000000000" w:firstRow="0" w:lastRow="0" w:firstColumn="0" w:lastColumn="0" w:oddVBand="0" w:evenVBand="0" w:oddHBand="0" w:evenHBand="0" w:firstRowFirstColumn="0" w:firstRowLastColumn="0" w:lastRowFirstColumn="0" w:lastRowLastColumn="0"/>
              <w:rPr>
                <w:rFonts w:eastAsia="Times New Roman" w:cs="Arial"/>
                <w:i/>
                <w:szCs w:val="20"/>
                <w:highlight w:val="lightGray"/>
              </w:rPr>
            </w:pPr>
            <w:r w:rsidRPr="00505285">
              <w:rPr>
                <w:rFonts w:eastAsia="Times New Roman" w:cs="Arial"/>
                <w:szCs w:val="20"/>
              </w:rPr>
              <w:t xml:space="preserve">Retaining the current values for pregnancy is expected to have no regulatory implications or resource impacts. </w:t>
            </w:r>
          </w:p>
        </w:tc>
        <w:tc>
          <w:tcPr>
            <w:tcW w:w="6946" w:type="dxa"/>
            <w:gridSpan w:val="2"/>
          </w:tcPr>
          <w:p w14:paraId="5365688E" w14:textId="77777777" w:rsidR="00247C82" w:rsidRPr="00505285" w:rsidRDefault="00247C8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i/>
                <w:iCs/>
                <w:szCs w:val="20"/>
              </w:rPr>
            </w:pPr>
            <w:r w:rsidRPr="00505285">
              <w:rPr>
                <w:rFonts w:eastAsia="Times New Roman" w:cs="Arial"/>
                <w:szCs w:val="20"/>
              </w:rPr>
              <w:t xml:space="preserve">The proposed change to the UL is significant, and may have implications for regulators, including FSANZ (food and food products) and TGA (supplements). Views will be sought during targeted / stakeholder consultation and considered when developing final NRVs.  </w:t>
            </w:r>
          </w:p>
        </w:tc>
      </w:tr>
      <w:tr w:rsidR="00247C82" w:rsidRPr="00505285" w14:paraId="0A6528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tcPr>
          <w:p w14:paraId="7B594387" w14:textId="77777777" w:rsidR="00247C82" w:rsidRPr="00505285" w:rsidRDefault="00247C82">
            <w:pPr>
              <w:rPr>
                <w:rFonts w:eastAsia="Arial" w:cs="Arial"/>
                <w:szCs w:val="20"/>
              </w:rPr>
            </w:pPr>
            <w:r w:rsidRPr="00505285">
              <w:rPr>
                <w:rFonts w:eastAsia="Arial" w:cs="Arial"/>
                <w:szCs w:val="20"/>
              </w:rPr>
              <w:t>Other factors (health equity impacts, sustainability)</w:t>
            </w:r>
          </w:p>
        </w:tc>
        <w:tc>
          <w:tcPr>
            <w:tcW w:w="5810" w:type="dxa"/>
            <w:tcBorders>
              <w:left w:val="single" w:sz="4" w:space="0" w:color="77BCD9"/>
            </w:tcBorders>
          </w:tcPr>
          <w:p w14:paraId="2A809817" w14:textId="77777777" w:rsidR="00247C82" w:rsidRPr="00505285" w:rsidRDefault="00247C82">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
                <w:szCs w:val="20"/>
                <w:highlight w:val="lightGray"/>
              </w:rPr>
            </w:pPr>
            <w:r w:rsidRPr="00505285">
              <w:rPr>
                <w:rFonts w:eastAsia="Times New Roman" w:cs="Arial"/>
                <w:szCs w:val="20"/>
              </w:rPr>
              <w:t xml:space="preserve">The UL should aim to be protective of almost all individuals within the population. Maintaining the UL of 1,100 </w:t>
            </w:r>
            <w:r w:rsidRPr="00505285">
              <w:rPr>
                <w:rFonts w:eastAsia="Times New Roman" w:cs="Times New Roman"/>
                <w:szCs w:val="20"/>
              </w:rPr>
              <w:t xml:space="preserve">µg/day may expose some individuals to the health effects of iodine excess - notably subclinical hypothyroidism, overt hypo- or hyper- </w:t>
            </w:r>
            <w:proofErr w:type="spellStart"/>
            <w:r w:rsidRPr="00505285">
              <w:rPr>
                <w:rFonts w:eastAsia="Times New Roman" w:cs="Times New Roman"/>
                <w:szCs w:val="20"/>
              </w:rPr>
              <w:t>thyroidism</w:t>
            </w:r>
            <w:proofErr w:type="spellEnd"/>
            <w:r w:rsidRPr="00505285">
              <w:rPr>
                <w:rFonts w:eastAsia="Times New Roman" w:cs="Times New Roman"/>
                <w:szCs w:val="20"/>
              </w:rPr>
              <w:t>, and associated chronic diseases. Some groups may be at increased risk of experiencing adverse effects at lower levels of iodine intake, including migrants (who may have an increased risk of iodine deficiency) and women or older adults (increased risk of underlying thyroid abnormalities). These groups may bear an inequitable health burden associated with maintaining the UL at current levels.</w:t>
            </w:r>
          </w:p>
        </w:tc>
        <w:tc>
          <w:tcPr>
            <w:tcW w:w="6946" w:type="dxa"/>
            <w:gridSpan w:val="2"/>
          </w:tcPr>
          <w:p w14:paraId="2257828C" w14:textId="77777777" w:rsidR="00247C82" w:rsidRPr="00505285" w:rsidRDefault="00247C8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505285">
              <w:rPr>
                <w:rFonts w:eastAsia="Times New Roman" w:cs="Arial"/>
                <w:szCs w:val="20"/>
              </w:rPr>
              <w:t xml:space="preserve">The UL should aim to be protective of almost all individuals within the population. Reducing the UL to 600 </w:t>
            </w:r>
            <w:r w:rsidRPr="00505285">
              <w:rPr>
                <w:rFonts w:eastAsia="Times New Roman" w:cs="Times New Roman"/>
                <w:szCs w:val="20"/>
              </w:rPr>
              <w:t xml:space="preserve">µg/day ensures that a greater proportion of the population are protected, including individuals with underlying thyroid disorders, older adults and those with a previous history of iodine deficiency. </w:t>
            </w:r>
          </w:p>
          <w:p w14:paraId="123806AF" w14:textId="77777777" w:rsidR="00247C82" w:rsidRPr="00505285" w:rsidRDefault="00247C8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Times New Roman"/>
                <w:szCs w:val="20"/>
              </w:rPr>
              <w:t xml:space="preserve">Previous iodine deficiency and underlying thyroid disease may increase a person’s sensitivity to iodine excess. These risk factors may be inequitably distributed among the population, affecting vulnerable groups including migrants - who may be at increased risk of iodine deficiency (Magri et. al. 2019) - and women in whom underlying thyroid abnormalities are more prevalent (Mammen and Cappola 2023, </w:t>
            </w:r>
            <w:r w:rsidRPr="00505285">
              <w:rPr>
                <w:rFonts w:eastAsia="Arial" w:cs="Arial"/>
                <w:szCs w:val="20"/>
              </w:rPr>
              <w:t>Miller et al 2016</w:t>
            </w:r>
            <w:r w:rsidRPr="00505285">
              <w:rPr>
                <w:rFonts w:eastAsia="Times New Roman" w:cs="Times New Roman"/>
                <w:szCs w:val="20"/>
              </w:rPr>
              <w:t>). It is important to ensure that the UL is established at a value that is protective of these population groups.</w:t>
            </w:r>
          </w:p>
        </w:tc>
      </w:tr>
      <w:tr w:rsidR="00247C82" w:rsidRPr="00505285" w14:paraId="54909733" w14:textId="77777777">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77BCD9"/>
              <w:left w:val="single" w:sz="4" w:space="0" w:color="77BCD9"/>
              <w:bottom w:val="single" w:sz="4" w:space="0" w:color="77BCD9"/>
              <w:right w:val="single" w:sz="4" w:space="0" w:color="77BCD9"/>
            </w:tcBorders>
          </w:tcPr>
          <w:p w14:paraId="65D0FC1D" w14:textId="77777777" w:rsidR="00247C82" w:rsidRPr="00505285" w:rsidRDefault="00247C82">
            <w:pPr>
              <w:rPr>
                <w:rFonts w:eastAsia="Arial" w:cs="Arial"/>
                <w:szCs w:val="20"/>
              </w:rPr>
            </w:pPr>
            <w:r w:rsidRPr="00505285">
              <w:rPr>
                <w:rFonts w:eastAsia="Arial" w:cs="Arial"/>
                <w:szCs w:val="20"/>
              </w:rPr>
              <w:lastRenderedPageBreak/>
              <w:t>Decision</w:t>
            </w:r>
          </w:p>
        </w:tc>
        <w:tc>
          <w:tcPr>
            <w:tcW w:w="12756" w:type="dxa"/>
            <w:gridSpan w:val="3"/>
            <w:tcBorders>
              <w:left w:val="single" w:sz="4" w:space="0" w:color="77BCD9"/>
            </w:tcBorders>
          </w:tcPr>
          <w:p w14:paraId="1D64D767" w14:textId="77777777" w:rsidR="00247C82" w:rsidRPr="00505285" w:rsidRDefault="00247C8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b/>
                <w:bCs/>
                <w:szCs w:val="20"/>
              </w:rPr>
            </w:pPr>
            <w:r w:rsidRPr="00505285">
              <w:rPr>
                <w:rFonts w:eastAsia="Times New Roman" w:cs="Arial"/>
                <w:b/>
                <w:bCs/>
                <w:szCs w:val="20"/>
              </w:rPr>
              <w:t xml:space="preserve">Option 2 was selected as it provides protection for almost all individuals within the population including the developing </w:t>
            </w:r>
            <w:proofErr w:type="spellStart"/>
            <w:r w:rsidRPr="00505285">
              <w:rPr>
                <w:rFonts w:eastAsia="Times New Roman" w:cs="Arial"/>
                <w:b/>
                <w:bCs/>
                <w:szCs w:val="20"/>
              </w:rPr>
              <w:t>fetus</w:t>
            </w:r>
            <w:proofErr w:type="spellEnd"/>
            <w:r w:rsidRPr="00505285">
              <w:rPr>
                <w:rFonts w:eastAsia="Times New Roman" w:cs="Arial"/>
                <w:b/>
                <w:bCs/>
                <w:szCs w:val="20"/>
              </w:rPr>
              <w:t xml:space="preserve">, </w:t>
            </w:r>
            <w:r w:rsidRPr="00505285">
              <w:rPr>
                <w:rFonts w:eastAsia="Times New Roman" w:cs="Times New Roman"/>
                <w:b/>
                <w:bCs/>
                <w:szCs w:val="20"/>
              </w:rPr>
              <w:t>whilst allowing for a diverse range of intakes above the RDI within the Australian and New Zealand population</w:t>
            </w:r>
            <w:r w:rsidRPr="00505285">
              <w:rPr>
                <w:rFonts w:eastAsia="Times New Roman" w:cs="Arial"/>
                <w:b/>
                <w:bCs/>
                <w:szCs w:val="20"/>
              </w:rPr>
              <w:t xml:space="preserve">. </w:t>
            </w:r>
          </w:p>
          <w:p w14:paraId="40A84F5A" w14:textId="77777777" w:rsidR="00247C82" w:rsidRPr="00505285" w:rsidRDefault="00247C82">
            <w:pPr>
              <w:spacing w:before="120" w:after="0"/>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0"/>
              </w:rPr>
            </w:pPr>
            <w:r w:rsidRPr="00505285">
              <w:rPr>
                <w:rFonts w:eastAsia="Times New Roman" w:cs="Arial"/>
                <w:b/>
                <w:bCs/>
                <w:szCs w:val="20"/>
              </w:rPr>
              <w:t xml:space="preserve">Despite almost halving the existing UL (1,100 </w:t>
            </w:r>
            <w:r w:rsidRPr="00505285">
              <w:rPr>
                <w:rFonts w:eastAsia="Times New Roman" w:cs="Times New Roman"/>
                <w:b/>
                <w:bCs/>
                <w:szCs w:val="20"/>
              </w:rPr>
              <w:t>µg/day)</w:t>
            </w:r>
            <w:r w:rsidRPr="00505285">
              <w:rPr>
                <w:rFonts w:eastAsia="Times New Roman" w:cs="Arial"/>
                <w:b/>
                <w:bCs/>
                <w:szCs w:val="20"/>
              </w:rPr>
              <w:t xml:space="preserve">, the proposed UL (600 </w:t>
            </w:r>
            <w:r w:rsidRPr="00505285">
              <w:rPr>
                <w:rFonts w:eastAsia="Times New Roman" w:cs="Times New Roman"/>
                <w:b/>
                <w:bCs/>
                <w:szCs w:val="20"/>
              </w:rPr>
              <w:t xml:space="preserve">µg/day) </w:t>
            </w:r>
            <w:r w:rsidRPr="00505285">
              <w:rPr>
                <w:rFonts w:eastAsia="Times New Roman" w:cs="Arial"/>
                <w:b/>
                <w:bCs/>
                <w:szCs w:val="20"/>
              </w:rPr>
              <w:t xml:space="preserve">remains significantly higher than the RDI of 220 </w:t>
            </w:r>
            <w:r w:rsidRPr="00505285">
              <w:rPr>
                <w:rFonts w:eastAsia="Times New Roman" w:cs="Times New Roman"/>
                <w:b/>
                <w:bCs/>
                <w:szCs w:val="20"/>
              </w:rPr>
              <w:t>µg/day. Population data suggests that adult intakes in Australia and New Zealand do not approach the revised UL for most (95%+) of the population, reducing the risk that non-sensitive individuals with higher intakes may be classified as ‘exceeding the UL’ where there may be no significant risk of harm.</w:t>
            </w:r>
          </w:p>
          <w:p w14:paraId="13F90DBC" w14:textId="77777777" w:rsidR="00247C82" w:rsidRPr="00505285" w:rsidRDefault="00247C82">
            <w:pPr>
              <w:spacing w:before="120" w:after="0"/>
              <w:cnfStyle w:val="000000000000" w:firstRow="0" w:lastRow="0" w:firstColumn="0" w:lastColumn="0" w:oddVBand="0" w:evenVBand="0" w:oddHBand="0" w:evenHBand="0" w:firstRowFirstColumn="0" w:firstRowLastColumn="0" w:lastRowFirstColumn="0" w:lastRowLastColumn="0"/>
              <w:rPr>
                <w:rFonts w:eastAsia="Times New Roman" w:cs="Arial"/>
                <w:i/>
                <w:iCs/>
                <w:szCs w:val="20"/>
              </w:rPr>
            </w:pPr>
            <w:r w:rsidRPr="00505285">
              <w:rPr>
                <w:rFonts w:eastAsia="Times New Roman" w:cs="Times New Roman"/>
                <w:b/>
                <w:bCs/>
                <w:szCs w:val="20"/>
              </w:rPr>
              <w:t xml:space="preserve">Mild iodine deficiency remains the overwhelming public health concern in lactating populations in Australia and New Zealand. Care must be taken to ensure that communication about the UL emphasises concerns about deficiency and reinforces public health messaging about the </w:t>
            </w:r>
            <w:r w:rsidRPr="00505285">
              <w:rPr>
                <w:rFonts w:eastAsia="Times New Roman" w:cs="Arial"/>
                <w:b/>
                <w:bCs/>
                <w:szCs w:val="20"/>
              </w:rPr>
              <w:t>need for supplementation during pregnancy and throughout pregnancy.</w:t>
            </w:r>
          </w:p>
        </w:tc>
      </w:tr>
    </w:tbl>
    <w:p w14:paraId="09CAC376" w14:textId="77777777" w:rsidR="00247C82" w:rsidRPr="00247C82" w:rsidRDefault="00247C82" w:rsidP="00247C82"/>
    <w:p w14:paraId="0FF20B61" w14:textId="77777777" w:rsidR="00667A3D" w:rsidRDefault="00667A3D">
      <w:pPr>
        <w:spacing w:line="240" w:lineRule="atLeast"/>
        <w:rPr>
          <w:rFonts w:ascii="Gotham Medium" w:eastAsiaTheme="majorEastAsia" w:hAnsi="Gotham Medium" w:cstheme="majorBidi"/>
          <w:i/>
          <w:iCs/>
          <w:color w:val="09002E" w:themeColor="text2"/>
          <w:szCs w:val="20"/>
        </w:rPr>
      </w:pPr>
      <w:r>
        <w:br w:type="page"/>
      </w:r>
    </w:p>
    <w:p w14:paraId="29E19E0E" w14:textId="14AB6FF0" w:rsidR="00247C82" w:rsidRDefault="00247C82" w:rsidP="00247C82">
      <w:pPr>
        <w:pStyle w:val="Heading5"/>
      </w:pPr>
      <w:r w:rsidRPr="00247C82">
        <w:lastRenderedPageBreak/>
        <w:t>Lactation</w:t>
      </w:r>
    </w:p>
    <w:tbl>
      <w:tblPr>
        <w:tblStyle w:val="DefaultTable11"/>
        <w:tblW w:w="5481" w:type="pct"/>
        <w:tblInd w:w="-431" w:type="dxa"/>
        <w:tblBorders>
          <w:top w:val="single" w:sz="4" w:space="0" w:color="4216FF"/>
          <w:left w:val="single" w:sz="4" w:space="0" w:color="4216FF"/>
          <w:bottom w:val="single" w:sz="4" w:space="0" w:color="4216FF"/>
          <w:right w:val="single" w:sz="4" w:space="0" w:color="4216FF"/>
          <w:insideH w:val="single" w:sz="4" w:space="0" w:color="4216FF"/>
          <w:insideV w:val="single" w:sz="4" w:space="0" w:color="4216FF"/>
        </w:tblBorders>
        <w:tblLayout w:type="fixed"/>
        <w:tblLook w:val="04A0" w:firstRow="1" w:lastRow="0" w:firstColumn="1" w:lastColumn="0" w:noHBand="0" w:noVBand="1"/>
      </w:tblPr>
      <w:tblGrid>
        <w:gridCol w:w="2369"/>
        <w:gridCol w:w="5854"/>
        <w:gridCol w:w="6520"/>
      </w:tblGrid>
      <w:tr w:rsidR="00247C82" w:rsidRPr="00505285" w14:paraId="410BBB9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hideMark/>
          </w:tcPr>
          <w:p w14:paraId="13EC3549" w14:textId="77777777" w:rsidR="00247C82" w:rsidRPr="00505285" w:rsidRDefault="00247C82">
            <w:pPr>
              <w:rPr>
                <w:rFonts w:eastAsia="Times New Roman" w:cs="Arial"/>
                <w:szCs w:val="20"/>
              </w:rPr>
            </w:pPr>
            <w:r w:rsidRPr="00505285">
              <w:rPr>
                <w:rFonts w:eastAsia="Times New Roman" w:cs="Arial"/>
                <w:szCs w:val="20"/>
              </w:rPr>
              <w:t>Criterion</w:t>
            </w:r>
          </w:p>
        </w:tc>
        <w:tc>
          <w:tcPr>
            <w:tcW w:w="5854" w:type="dxa"/>
            <w:tcBorders>
              <w:top w:val="single" w:sz="4" w:space="0" w:color="77BCD9"/>
              <w:left w:val="single" w:sz="4" w:space="0" w:color="77BCD9"/>
              <w:bottom w:val="single" w:sz="4" w:space="0" w:color="77BCD9"/>
              <w:right w:val="single" w:sz="4" w:space="0" w:color="77BCD9"/>
            </w:tcBorders>
          </w:tcPr>
          <w:p w14:paraId="67C4F09B" w14:textId="77777777" w:rsidR="00247C82" w:rsidRPr="00505285" w:rsidRDefault="00247C82">
            <w:pPr>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u w:val="single"/>
              </w:rPr>
              <w:t>OPTION 1</w:t>
            </w:r>
            <w:r w:rsidRPr="00505285">
              <w:rPr>
                <w:rFonts w:eastAsia="Times New Roman" w:cs="Arial"/>
                <w:szCs w:val="20"/>
              </w:rPr>
              <w:t>:</w:t>
            </w:r>
          </w:p>
          <w:p w14:paraId="094F6844" w14:textId="77777777" w:rsidR="00247C82" w:rsidRPr="00505285" w:rsidRDefault="00247C8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Maintain current UL recommendations </w:t>
            </w:r>
          </w:p>
          <w:p w14:paraId="465FB924" w14:textId="77777777" w:rsidR="00247C82" w:rsidRPr="00505285" w:rsidRDefault="00247C8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Adapt current UL to new age groupings</w:t>
            </w:r>
          </w:p>
        </w:tc>
        <w:tc>
          <w:tcPr>
            <w:tcW w:w="6520" w:type="dxa"/>
            <w:tcBorders>
              <w:top w:val="single" w:sz="4" w:space="0" w:color="77BCD9"/>
              <w:left w:val="single" w:sz="4" w:space="0" w:color="77BCD9"/>
              <w:bottom w:val="single" w:sz="4" w:space="0" w:color="77BCD9"/>
              <w:right w:val="single" w:sz="4" w:space="0" w:color="77BCD9"/>
            </w:tcBorders>
          </w:tcPr>
          <w:p w14:paraId="614E7C02" w14:textId="77777777" w:rsidR="00247C82" w:rsidRPr="00505285" w:rsidRDefault="00247C82">
            <w:pPr>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u w:val="single"/>
              </w:rPr>
              <w:t>OPTION 2</w:t>
            </w:r>
            <w:r w:rsidRPr="00505285">
              <w:rPr>
                <w:rFonts w:eastAsia="Times New Roman" w:cs="Arial"/>
                <w:szCs w:val="20"/>
              </w:rPr>
              <w:t>:</w:t>
            </w:r>
          </w:p>
          <w:p w14:paraId="1AF84214" w14:textId="77777777" w:rsidR="00247C82" w:rsidRPr="00505285" w:rsidRDefault="00247C8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Reduce UL to reflect recent evidence suggestive of an increased risk of subclinical hypothyroidism at intakes below the current UL</w:t>
            </w:r>
          </w:p>
        </w:tc>
      </w:tr>
      <w:tr w:rsidR="00247C82" w:rsidRPr="00505285" w14:paraId="20D775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tcPr>
          <w:p w14:paraId="7A27ED16" w14:textId="77777777" w:rsidR="00247C82" w:rsidRPr="00505285" w:rsidRDefault="00247C82">
            <w:pPr>
              <w:rPr>
                <w:rFonts w:eastAsia="Times New Roman" w:cs="Arial"/>
                <w:szCs w:val="20"/>
              </w:rPr>
            </w:pPr>
            <w:r w:rsidRPr="00505285">
              <w:rPr>
                <w:rFonts w:eastAsia="Times New Roman" w:cs="Arial"/>
                <w:szCs w:val="20"/>
              </w:rPr>
              <w:t>Example recommendation</w:t>
            </w:r>
          </w:p>
        </w:tc>
        <w:tc>
          <w:tcPr>
            <w:tcW w:w="5854" w:type="dxa"/>
            <w:tcBorders>
              <w:left w:val="single" w:sz="4" w:space="0" w:color="77BCD9"/>
            </w:tcBorders>
          </w:tcPr>
          <w:tbl>
            <w:tblPr>
              <w:tblStyle w:val="TableGrid3"/>
              <w:tblW w:w="0" w:type="auto"/>
              <w:tblInd w:w="0" w:type="dxa"/>
              <w:tblLook w:val="04A0" w:firstRow="1" w:lastRow="0" w:firstColumn="1" w:lastColumn="0" w:noHBand="0" w:noVBand="1"/>
            </w:tblPr>
            <w:tblGrid>
              <w:gridCol w:w="1914"/>
              <w:gridCol w:w="2122"/>
            </w:tblGrid>
            <w:tr w:rsidR="00C63D4E" w:rsidRPr="00505285" w14:paraId="3C889245" w14:textId="77777777" w:rsidTr="00C63D4E">
              <w:tc>
                <w:tcPr>
                  <w:tcW w:w="1914" w:type="dxa"/>
                </w:tcPr>
                <w:p w14:paraId="0FFC1389" w14:textId="77777777" w:rsidR="00C63D4E" w:rsidRPr="00505285" w:rsidRDefault="00C63D4E">
                  <w:pPr>
                    <w:spacing w:after="0"/>
                    <w:rPr>
                      <w:rFonts w:eastAsia="Times New Roman" w:cs="Arial"/>
                      <w:b/>
                      <w:bCs/>
                      <w:i/>
                      <w:iCs/>
                      <w:szCs w:val="20"/>
                    </w:rPr>
                  </w:pPr>
                </w:p>
              </w:tc>
              <w:tc>
                <w:tcPr>
                  <w:tcW w:w="2122" w:type="dxa"/>
                </w:tcPr>
                <w:p w14:paraId="54863ABF" w14:textId="77777777" w:rsidR="00C63D4E" w:rsidRPr="00505285" w:rsidRDefault="00C63D4E">
                  <w:pPr>
                    <w:spacing w:after="0"/>
                    <w:jc w:val="center"/>
                    <w:rPr>
                      <w:rFonts w:eastAsia="Times New Roman" w:cs="Arial"/>
                      <w:b/>
                      <w:bCs/>
                      <w:i/>
                      <w:iCs/>
                      <w:szCs w:val="20"/>
                    </w:rPr>
                  </w:pPr>
                  <w:r w:rsidRPr="00505285">
                    <w:rPr>
                      <w:rFonts w:eastAsia="Times New Roman" w:cs="Arial"/>
                      <w:b/>
                      <w:bCs/>
                      <w:i/>
                      <w:iCs/>
                      <w:szCs w:val="20"/>
                    </w:rPr>
                    <w:t>UL</w:t>
                  </w:r>
                </w:p>
              </w:tc>
            </w:tr>
            <w:tr w:rsidR="00247C82" w:rsidRPr="00505285" w14:paraId="6070B6CB" w14:textId="77777777" w:rsidTr="00C63D4E">
              <w:tc>
                <w:tcPr>
                  <w:tcW w:w="1914" w:type="dxa"/>
                </w:tcPr>
                <w:p w14:paraId="5E603596" w14:textId="77777777" w:rsidR="00247C82" w:rsidRPr="00505285" w:rsidRDefault="00247C82">
                  <w:pPr>
                    <w:spacing w:after="0"/>
                    <w:rPr>
                      <w:rFonts w:eastAsia="Times New Roman" w:cs="Arial"/>
                      <w:b/>
                      <w:bCs/>
                      <w:i/>
                      <w:iCs/>
                      <w:szCs w:val="20"/>
                    </w:rPr>
                  </w:pPr>
                  <w:r w:rsidRPr="00505285">
                    <w:rPr>
                      <w:rFonts w:eastAsia="Times New Roman" w:cs="Arial"/>
                      <w:b/>
                      <w:bCs/>
                      <w:i/>
                      <w:iCs/>
                      <w:szCs w:val="20"/>
                    </w:rPr>
                    <w:t>Lactation</w:t>
                  </w:r>
                </w:p>
              </w:tc>
              <w:tc>
                <w:tcPr>
                  <w:tcW w:w="2122" w:type="dxa"/>
                </w:tcPr>
                <w:p w14:paraId="2BF49123" w14:textId="77777777" w:rsidR="00247C82" w:rsidRPr="00505285" w:rsidRDefault="00247C82">
                  <w:pPr>
                    <w:spacing w:after="0"/>
                    <w:rPr>
                      <w:rFonts w:eastAsia="Times New Roman" w:cs="Arial"/>
                      <w:b/>
                      <w:bCs/>
                      <w:i/>
                      <w:iCs/>
                      <w:szCs w:val="20"/>
                    </w:rPr>
                  </w:pPr>
                  <w:r w:rsidRPr="00505285">
                    <w:rPr>
                      <w:rFonts w:eastAsia="Times New Roman" w:cs="Arial"/>
                      <w:i/>
                      <w:iCs/>
                      <w:szCs w:val="20"/>
                    </w:rPr>
                    <w:t xml:space="preserve">1,100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bl>
          <w:p w14:paraId="5F2163BC" w14:textId="77777777" w:rsidR="00247C82" w:rsidRPr="00505285" w:rsidRDefault="00247C82">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i/>
                <w:iCs/>
                <w:szCs w:val="20"/>
              </w:rPr>
            </w:pPr>
          </w:p>
        </w:tc>
        <w:tc>
          <w:tcPr>
            <w:tcW w:w="6520" w:type="dxa"/>
          </w:tcPr>
          <w:tbl>
            <w:tblPr>
              <w:tblStyle w:val="TableGrid3"/>
              <w:tblW w:w="0" w:type="auto"/>
              <w:tblInd w:w="0" w:type="dxa"/>
              <w:tblLook w:val="06A0" w:firstRow="1" w:lastRow="0" w:firstColumn="1" w:lastColumn="0" w:noHBand="1" w:noVBand="1"/>
            </w:tblPr>
            <w:tblGrid>
              <w:gridCol w:w="2277"/>
              <w:gridCol w:w="1720"/>
            </w:tblGrid>
            <w:tr w:rsidR="00C63D4E" w:rsidRPr="00505285" w14:paraId="14A9A4E6" w14:textId="77777777" w:rsidTr="00C63D4E">
              <w:tc>
                <w:tcPr>
                  <w:tcW w:w="2277" w:type="dxa"/>
                </w:tcPr>
                <w:p w14:paraId="45084F6E" w14:textId="77777777" w:rsidR="00C63D4E" w:rsidRPr="00505285" w:rsidRDefault="00C63D4E">
                  <w:pPr>
                    <w:spacing w:after="0"/>
                    <w:rPr>
                      <w:rFonts w:eastAsia="Times New Roman" w:cs="Arial"/>
                      <w:b/>
                      <w:bCs/>
                      <w:i/>
                      <w:iCs/>
                      <w:szCs w:val="20"/>
                    </w:rPr>
                  </w:pPr>
                </w:p>
              </w:tc>
              <w:tc>
                <w:tcPr>
                  <w:tcW w:w="1720" w:type="dxa"/>
                </w:tcPr>
                <w:p w14:paraId="6ADBFDEF" w14:textId="77777777" w:rsidR="00C63D4E" w:rsidRPr="00505285" w:rsidRDefault="00C63D4E">
                  <w:pPr>
                    <w:spacing w:after="0"/>
                    <w:jc w:val="center"/>
                    <w:rPr>
                      <w:rFonts w:eastAsia="Times New Roman" w:cs="Arial"/>
                      <w:b/>
                      <w:bCs/>
                      <w:i/>
                      <w:iCs/>
                      <w:szCs w:val="20"/>
                    </w:rPr>
                  </w:pPr>
                  <w:r w:rsidRPr="00505285">
                    <w:rPr>
                      <w:rFonts w:eastAsia="Times New Roman" w:cs="Arial"/>
                      <w:b/>
                      <w:bCs/>
                      <w:i/>
                      <w:iCs/>
                      <w:szCs w:val="20"/>
                    </w:rPr>
                    <w:t>UL</w:t>
                  </w:r>
                </w:p>
              </w:tc>
            </w:tr>
            <w:tr w:rsidR="00247C82" w:rsidRPr="00505285" w14:paraId="4ACE6672" w14:textId="77777777" w:rsidTr="00C63D4E">
              <w:tc>
                <w:tcPr>
                  <w:tcW w:w="2277" w:type="dxa"/>
                </w:tcPr>
                <w:p w14:paraId="4B27D4C2" w14:textId="77777777" w:rsidR="00247C82" w:rsidRPr="00505285" w:rsidRDefault="00247C82">
                  <w:pPr>
                    <w:spacing w:after="0"/>
                    <w:rPr>
                      <w:rFonts w:eastAsia="Times New Roman" w:cs="Arial"/>
                      <w:b/>
                      <w:bCs/>
                      <w:i/>
                      <w:iCs/>
                      <w:szCs w:val="20"/>
                    </w:rPr>
                  </w:pPr>
                  <w:r w:rsidRPr="00505285">
                    <w:rPr>
                      <w:rFonts w:eastAsia="Times New Roman" w:cs="Arial"/>
                      <w:b/>
                      <w:bCs/>
                      <w:i/>
                      <w:iCs/>
                      <w:szCs w:val="20"/>
                    </w:rPr>
                    <w:t>Lactation</w:t>
                  </w:r>
                </w:p>
              </w:tc>
              <w:tc>
                <w:tcPr>
                  <w:tcW w:w="1720" w:type="dxa"/>
                </w:tcPr>
                <w:p w14:paraId="521A0213" w14:textId="77777777" w:rsidR="00247C82" w:rsidRPr="00505285" w:rsidRDefault="00247C82">
                  <w:pPr>
                    <w:spacing w:after="0"/>
                    <w:rPr>
                      <w:rFonts w:eastAsia="Times New Roman" w:cs="Arial"/>
                      <w:b/>
                      <w:bCs/>
                      <w:i/>
                      <w:iCs/>
                      <w:szCs w:val="20"/>
                    </w:rPr>
                  </w:pPr>
                  <w:r w:rsidRPr="00505285">
                    <w:rPr>
                      <w:rFonts w:eastAsia="Times New Roman" w:cs="Arial"/>
                      <w:i/>
                      <w:iCs/>
                      <w:szCs w:val="20"/>
                    </w:rPr>
                    <w:t xml:space="preserve">600 </w:t>
                  </w:r>
                  <w:proofErr w:type="spellStart"/>
                  <w:r w:rsidRPr="00505285">
                    <w:rPr>
                      <w:rFonts w:eastAsia="Times New Roman" w:cs="Arial"/>
                      <w:i/>
                      <w:iCs/>
                      <w:szCs w:val="20"/>
                    </w:rPr>
                    <w:t>μg</w:t>
                  </w:r>
                  <w:proofErr w:type="spellEnd"/>
                  <w:r w:rsidRPr="00505285">
                    <w:rPr>
                      <w:rFonts w:eastAsia="Times New Roman" w:cs="Arial"/>
                      <w:i/>
                      <w:iCs/>
                      <w:szCs w:val="20"/>
                    </w:rPr>
                    <w:t>/day</w:t>
                  </w:r>
                </w:p>
              </w:tc>
            </w:tr>
          </w:tbl>
          <w:p w14:paraId="6B3D118E" w14:textId="77777777" w:rsidR="00247C82" w:rsidRPr="00505285" w:rsidRDefault="00247C82">
            <w:pPr>
              <w:spacing w:before="120"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rPr>
            </w:pPr>
          </w:p>
        </w:tc>
      </w:tr>
      <w:tr w:rsidR="00247C82" w:rsidRPr="00505285" w14:paraId="4D8CB72C" w14:textId="77777777" w:rsidTr="00BC66DF">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tcPr>
          <w:p w14:paraId="04B97A5C" w14:textId="77777777" w:rsidR="00247C82" w:rsidRPr="00505285" w:rsidRDefault="00247C82">
            <w:pPr>
              <w:rPr>
                <w:rFonts w:eastAsia="Times New Roman" w:cs="Arial"/>
                <w:szCs w:val="20"/>
              </w:rPr>
            </w:pPr>
            <w:r w:rsidRPr="00505285">
              <w:rPr>
                <w:rFonts w:eastAsia="Times New Roman" w:cs="Arial"/>
                <w:szCs w:val="20"/>
              </w:rPr>
              <w:t>Health evidence profile and supporting information</w:t>
            </w:r>
          </w:p>
        </w:tc>
        <w:tc>
          <w:tcPr>
            <w:tcW w:w="5854" w:type="dxa"/>
            <w:tcBorders>
              <w:left w:val="single" w:sz="4" w:space="0" w:color="77BCD9"/>
            </w:tcBorders>
          </w:tcPr>
          <w:p w14:paraId="5A97BCB0"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Times New Roman" w:cs="Arial"/>
                <w:szCs w:val="20"/>
              </w:rPr>
              <w:t xml:space="preserve">Current recommendations </w:t>
            </w:r>
            <w:r w:rsidRPr="00505285">
              <w:rPr>
                <w:rFonts w:eastAsia="Arial" w:cs="Arial"/>
                <w:szCs w:val="20"/>
              </w:rPr>
              <w:t xml:space="preserve">for during lactation are based on the recommended UL in adults. This reflects </w:t>
            </w:r>
            <w:r w:rsidRPr="00505285">
              <w:rPr>
                <w:rFonts w:eastAsia="Times New Roman" w:cs="Arial"/>
                <w:szCs w:val="20"/>
              </w:rPr>
              <w:t xml:space="preserve">the assumption that there was no evidence of increased sensitivity in these populations. </w:t>
            </w:r>
          </w:p>
          <w:p w14:paraId="0A2E9EA8"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 xml:space="preserve">More recently, concerns have been raised about the effect of high maternal iodine intake on </w:t>
            </w:r>
            <w:proofErr w:type="spellStart"/>
            <w:r w:rsidRPr="00505285">
              <w:rPr>
                <w:rFonts w:eastAsia="Arial" w:cs="Arial"/>
                <w:szCs w:val="20"/>
              </w:rPr>
              <w:t>fetal</w:t>
            </w:r>
            <w:proofErr w:type="spellEnd"/>
            <w:r w:rsidRPr="00505285">
              <w:rPr>
                <w:rFonts w:eastAsia="Arial" w:cs="Arial"/>
                <w:szCs w:val="20"/>
              </w:rPr>
              <w:t xml:space="preserve"> development for pre-term neonates. The </w:t>
            </w:r>
            <w:r w:rsidRPr="00505285">
              <w:rPr>
                <w:rFonts w:eastAsia="Times New Roman" w:cs="Arial"/>
                <w:szCs w:val="20"/>
              </w:rPr>
              <w:t xml:space="preserve">developing </w:t>
            </w:r>
            <w:proofErr w:type="spellStart"/>
            <w:r w:rsidRPr="00505285">
              <w:rPr>
                <w:rFonts w:eastAsia="Times New Roman" w:cs="Arial"/>
                <w:szCs w:val="20"/>
              </w:rPr>
              <w:t>fetus</w:t>
            </w:r>
            <w:proofErr w:type="spellEnd"/>
            <w:r w:rsidRPr="00505285">
              <w:rPr>
                <w:rFonts w:eastAsia="Times New Roman" w:cs="Arial"/>
                <w:szCs w:val="20"/>
              </w:rPr>
              <w:t xml:space="preserve"> is particularly vulnerable to excess iodine, as the Wolff-</w:t>
            </w:r>
            <w:proofErr w:type="spellStart"/>
            <w:r w:rsidRPr="00505285">
              <w:rPr>
                <w:rFonts w:eastAsia="Times New Roman" w:cs="Arial"/>
                <w:szCs w:val="20"/>
              </w:rPr>
              <w:t>Chaikoff</w:t>
            </w:r>
            <w:proofErr w:type="spellEnd"/>
            <w:r w:rsidRPr="00505285">
              <w:rPr>
                <w:rFonts w:eastAsia="Times New Roman" w:cs="Arial"/>
                <w:szCs w:val="20"/>
              </w:rPr>
              <w:t xml:space="preserve"> escape mechanism </w:t>
            </w:r>
            <w:r w:rsidRPr="00505285">
              <w:rPr>
                <w:rFonts w:eastAsia="Arial" w:cs="Arial"/>
                <w:szCs w:val="20"/>
              </w:rPr>
              <w:t>which begins to develop around 36 weeks gestation, fully maturing during the early neonatal period. However, data in this cohort are lacking.</w:t>
            </w:r>
          </w:p>
          <w:p w14:paraId="39894A08"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highlight w:val="yellow"/>
              </w:rPr>
            </w:pPr>
            <w:r w:rsidRPr="00505285">
              <w:rPr>
                <w:rFonts w:eastAsia="Arial" w:cs="Arial"/>
                <w:szCs w:val="20"/>
              </w:rPr>
              <w:t>In the absence of data, the UL for lactating women should be set based upon the recommendation for during pregnancy.</w:t>
            </w:r>
          </w:p>
        </w:tc>
        <w:tc>
          <w:tcPr>
            <w:tcW w:w="6520" w:type="dxa"/>
          </w:tcPr>
          <w:p w14:paraId="62E9D4D1"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 xml:space="preserve">Concerns have been raised about the effect of high maternal iodine intake on </w:t>
            </w:r>
            <w:proofErr w:type="spellStart"/>
            <w:r w:rsidRPr="00505285">
              <w:rPr>
                <w:rFonts w:eastAsia="Arial" w:cs="Arial"/>
                <w:szCs w:val="20"/>
              </w:rPr>
              <w:t>fetal</w:t>
            </w:r>
            <w:proofErr w:type="spellEnd"/>
            <w:r w:rsidRPr="00505285">
              <w:rPr>
                <w:rFonts w:eastAsia="Arial" w:cs="Arial"/>
                <w:szCs w:val="20"/>
              </w:rPr>
              <w:t xml:space="preserve"> development for pre-term neonates. The </w:t>
            </w:r>
            <w:r w:rsidRPr="00505285">
              <w:rPr>
                <w:rFonts w:eastAsia="Times New Roman" w:cs="Arial"/>
                <w:szCs w:val="20"/>
              </w:rPr>
              <w:t xml:space="preserve">developing </w:t>
            </w:r>
            <w:proofErr w:type="spellStart"/>
            <w:r w:rsidRPr="00505285">
              <w:rPr>
                <w:rFonts w:eastAsia="Times New Roman" w:cs="Arial"/>
                <w:szCs w:val="20"/>
              </w:rPr>
              <w:t>fetus</w:t>
            </w:r>
            <w:proofErr w:type="spellEnd"/>
            <w:r w:rsidRPr="00505285">
              <w:rPr>
                <w:rFonts w:eastAsia="Times New Roman" w:cs="Arial"/>
                <w:szCs w:val="20"/>
              </w:rPr>
              <w:t xml:space="preserve"> is particularly vulnerable to excess iodine, as the Wolff-</w:t>
            </w:r>
            <w:proofErr w:type="spellStart"/>
            <w:r w:rsidRPr="00505285">
              <w:rPr>
                <w:rFonts w:eastAsia="Times New Roman" w:cs="Arial"/>
                <w:szCs w:val="20"/>
              </w:rPr>
              <w:t>Chaikoff</w:t>
            </w:r>
            <w:proofErr w:type="spellEnd"/>
            <w:r w:rsidRPr="00505285">
              <w:rPr>
                <w:rFonts w:eastAsia="Times New Roman" w:cs="Arial"/>
                <w:szCs w:val="20"/>
              </w:rPr>
              <w:t xml:space="preserve"> escape mechanism </w:t>
            </w:r>
            <w:r w:rsidRPr="00505285">
              <w:rPr>
                <w:rFonts w:eastAsia="Arial" w:cs="Arial"/>
                <w:szCs w:val="20"/>
              </w:rPr>
              <w:t>which begins to develop around 36 weeks gestation, fully maturing during the early neonatal period. However, data in this cohort are lacking.</w:t>
            </w:r>
          </w:p>
          <w:p w14:paraId="3F9653CE"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In the absence of data, the UL for lactating women should be set based upon the recommendation for during pregnancy.</w:t>
            </w:r>
          </w:p>
          <w:p w14:paraId="0519E5AC"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highlight w:val="yellow"/>
              </w:rPr>
            </w:pPr>
            <w:r w:rsidRPr="00505285">
              <w:rPr>
                <w:rFonts w:eastAsia="Times New Roman" w:cs="Arial"/>
                <w:szCs w:val="20"/>
              </w:rPr>
              <w:t>The overwhelming public health concern in Australia and New Zealand continues to be iodine deficiency during pregnancy (and lactation). Any changes to the UL during lactation should be carefully communicated to ensure that the need for supplementation during pregnancy and throughout lactation continues to be a core message.</w:t>
            </w:r>
          </w:p>
        </w:tc>
      </w:tr>
      <w:tr w:rsidR="00247C82" w:rsidRPr="00505285" w14:paraId="44BCC2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tcPr>
          <w:p w14:paraId="2A5BFBF6" w14:textId="77777777" w:rsidR="00247C82" w:rsidRPr="00505285" w:rsidRDefault="00247C82">
            <w:pPr>
              <w:rPr>
                <w:rFonts w:eastAsia="Times New Roman" w:cs="Arial"/>
                <w:szCs w:val="20"/>
              </w:rPr>
            </w:pPr>
            <w:r w:rsidRPr="00505285">
              <w:rPr>
                <w:rFonts w:eastAsia="Times New Roman" w:cs="Arial"/>
                <w:szCs w:val="20"/>
              </w:rPr>
              <w:t xml:space="preserve">Iodine exposure in Australia and New Zealand </w:t>
            </w:r>
          </w:p>
        </w:tc>
        <w:tc>
          <w:tcPr>
            <w:tcW w:w="12374" w:type="dxa"/>
            <w:gridSpan w:val="2"/>
            <w:tcBorders>
              <w:left w:val="single" w:sz="4" w:space="0" w:color="77BCD9"/>
            </w:tcBorders>
          </w:tcPr>
          <w:p w14:paraId="25DDD234"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Exposure data in lactating females from Australia and New Zealand are limited. However, relevant data from comparable groups are highlighted below for completeness.</w:t>
            </w:r>
          </w:p>
          <w:p w14:paraId="49D5D375"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 xml:space="preserve">In Australia, the 2011-12 NHMS reported median UIC for pregnant and breastfeeding women aged 16-44 years of 116 </w:t>
            </w:r>
            <w:proofErr w:type="spellStart"/>
            <w:r w:rsidRPr="00505285">
              <w:rPr>
                <w:rFonts w:eastAsia="Arial" w:cs="Arial"/>
                <w:szCs w:val="20"/>
              </w:rPr>
              <w:t>μg</w:t>
            </w:r>
            <w:proofErr w:type="spellEnd"/>
            <w:r w:rsidRPr="00505285">
              <w:rPr>
                <w:rFonts w:eastAsia="Arial" w:cs="Arial"/>
                <w:szCs w:val="20"/>
              </w:rPr>
              <w:t>/L and 103 </w:t>
            </w:r>
            <w:proofErr w:type="spellStart"/>
            <w:r w:rsidRPr="00505285">
              <w:rPr>
                <w:rFonts w:eastAsia="Arial" w:cs="Arial"/>
                <w:szCs w:val="20"/>
              </w:rPr>
              <w:t>μg</w:t>
            </w:r>
            <w:proofErr w:type="spellEnd"/>
            <w:r w:rsidRPr="00505285">
              <w:rPr>
                <w:rFonts w:eastAsia="Arial" w:cs="Arial"/>
                <w:szCs w:val="20"/>
              </w:rPr>
              <w:t xml:space="preserve">/L respectively (ABS, 2013). These values were lower than the median UIC for all Australian women of that age reported in the 2011-12 NHMS (121 </w:t>
            </w:r>
            <w:proofErr w:type="spellStart"/>
            <w:r w:rsidRPr="00505285">
              <w:rPr>
                <w:rFonts w:eastAsia="Arial" w:cs="Arial"/>
                <w:szCs w:val="20"/>
              </w:rPr>
              <w:t>μg</w:t>
            </w:r>
            <w:proofErr w:type="spellEnd"/>
            <w:r w:rsidRPr="00505285">
              <w:rPr>
                <w:rFonts w:eastAsia="Arial" w:cs="Arial"/>
                <w:szCs w:val="20"/>
              </w:rPr>
              <w:t xml:space="preserve">/L) and are indicative of insufficient intakes during pregnancy under WHO criteria (WHO, 2013). </w:t>
            </w:r>
          </w:p>
          <w:p w14:paraId="2B1DFCAF"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 xml:space="preserve">Although more recent data from the 2022-24 NHMS is not available for breastfeeding women, median UIC in non-pregnant females of reproductive age (16 to 44 years) indicates borderline sufficiency (101 µg/L; ABS, 2025a). However, data </w:t>
            </w:r>
            <w:r w:rsidRPr="00505285">
              <w:rPr>
                <w:rFonts w:eastAsia="Arial" w:cs="Arial"/>
                <w:szCs w:val="20"/>
              </w:rPr>
              <w:lastRenderedPageBreak/>
              <w:t xml:space="preserve">suggests mild population deficiency in females aged 25 to 34 years and 35 to 44 years, with median UIC of 87 µg/L and 97 µg/L respectively, and more than 20% of individuals with UIC &lt;50 µg/L in both age groups. </w:t>
            </w:r>
          </w:p>
          <w:p w14:paraId="38737C7F"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These findings are echoed in data from the 2014/15 NZHS which - while based on a small cohort of pregnant women (N=110) - reported median UIC of 114 µg/L (95% CI: 87, 141 µg/L), below the WHO-recommended median UIC of 150 µg/L (NZ MoH, 2020; WHO, 2013).</w:t>
            </w:r>
          </w:p>
          <w:p w14:paraId="417BF372"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 xml:space="preserve">Although intake data are unavailable for pregnant women, the </w:t>
            </w:r>
            <w:r w:rsidRPr="00505285">
              <w:rPr>
                <w:rFonts w:eastAsia="Times New Roman" w:cs="Arial"/>
                <w:szCs w:val="20"/>
              </w:rPr>
              <w:t xml:space="preserve">2011-13 Australian Health Survey (ABS, 2015) found </w:t>
            </w:r>
            <w:r w:rsidRPr="00505285">
              <w:rPr>
                <w:rFonts w:eastAsia="Arial" w:cs="Arial"/>
                <w:szCs w:val="20"/>
              </w:rPr>
              <w:t>that 95% of females aged 19-50 yrs have intakes well below the proposed UL of 600 µg/day, as shown in Table 6. Recently released dietary intake data from the 2023 NNPAS (ABS, 2025b) suggests similar intakes in reproductive age females, although 95% confidence intervals and the percentage exceeding the UL were not reported.</w:t>
            </w:r>
          </w:p>
          <w:p w14:paraId="4B37380D" w14:textId="77777777" w:rsidR="00247C82" w:rsidRPr="00505285" w:rsidRDefault="00247C82">
            <w:pPr>
              <w:keepNext/>
              <w:spacing w:after="200"/>
              <w:cnfStyle w:val="000000100000" w:firstRow="0" w:lastRow="0" w:firstColumn="0" w:lastColumn="0" w:oddVBand="0" w:evenVBand="0" w:oddHBand="1" w:evenHBand="0" w:firstRowFirstColumn="0" w:firstRowLastColumn="0" w:lastRowFirstColumn="0" w:lastRowLastColumn="0"/>
              <w:rPr>
                <w:rFonts w:eastAsia="Arial" w:cs="Arial"/>
                <w:iCs/>
                <w:caps/>
                <w:szCs w:val="20"/>
              </w:rPr>
            </w:pPr>
            <w:r w:rsidRPr="00505285">
              <w:rPr>
                <w:rFonts w:eastAsia="Arial" w:cs="Arial"/>
                <w:iCs/>
                <w:caps/>
                <w:szCs w:val="20"/>
              </w:rPr>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6</w:t>
            </w:r>
            <w:r w:rsidRPr="00505285">
              <w:rPr>
                <w:rFonts w:eastAsia="Arial" w:cs="Arial"/>
                <w:iCs/>
                <w:caps/>
                <w:noProof/>
                <w:szCs w:val="20"/>
              </w:rPr>
              <w:fldChar w:fldCharType="end"/>
            </w:r>
            <w:r w:rsidRPr="00505285">
              <w:rPr>
                <w:rFonts w:eastAsia="Arial" w:cs="Arial"/>
                <w:iCs/>
                <w:caps/>
                <w:szCs w:val="20"/>
              </w:rPr>
              <w:t xml:space="preserve"> - INTAKE IN REPRODUCTIVE-AGE FEMALES (19-50 years), 2023 NNPAS (ABS, 2025b) and AHS 2011-13 (ABS, 2015)</w:t>
            </w:r>
          </w:p>
          <w:tbl>
            <w:tblPr>
              <w:tblW w:w="11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3119"/>
              <w:gridCol w:w="1984"/>
              <w:gridCol w:w="1985"/>
              <w:gridCol w:w="1984"/>
            </w:tblGrid>
            <w:tr w:rsidR="00247C82" w:rsidRPr="00505285" w14:paraId="361530F0" w14:textId="77777777">
              <w:trPr>
                <w:trHeight w:val="300"/>
              </w:trPr>
              <w:tc>
                <w:tcPr>
                  <w:tcW w:w="2621" w:type="dxa"/>
                  <w:vMerge w:val="restart"/>
                  <w:shd w:val="clear" w:color="auto" w:fill="005F85"/>
                  <w:noWrap/>
                  <w:vAlign w:val="center"/>
                </w:tcPr>
                <w:p w14:paraId="206E2A2F" w14:textId="77777777" w:rsidR="00247C82" w:rsidRPr="00505285" w:rsidRDefault="00247C82">
                  <w:pPr>
                    <w:keepNext/>
                    <w:spacing w:after="0" w:line="240" w:lineRule="auto"/>
                    <w:rPr>
                      <w:rFonts w:eastAsia="Times New Roman" w:cs="Calibri"/>
                      <w:b/>
                      <w:bCs/>
                      <w:color w:val="FFFFFF"/>
                      <w:szCs w:val="20"/>
                    </w:rPr>
                  </w:pPr>
                  <w:r w:rsidRPr="00505285">
                    <w:rPr>
                      <w:rFonts w:eastAsia="Times New Roman" w:cs="Calibri"/>
                      <w:b/>
                      <w:bCs/>
                      <w:color w:val="FFFFFF"/>
                      <w:szCs w:val="20"/>
                    </w:rPr>
                    <w:t>Age groups (years)</w:t>
                  </w:r>
                </w:p>
                <w:p w14:paraId="3D551049" w14:textId="77777777" w:rsidR="00247C82" w:rsidRPr="00505285" w:rsidRDefault="00247C82">
                  <w:pPr>
                    <w:keepNext/>
                    <w:spacing w:after="0" w:line="240" w:lineRule="auto"/>
                    <w:rPr>
                      <w:rFonts w:eastAsia="Times New Roman" w:cs="Calibri"/>
                      <w:b/>
                      <w:bCs/>
                      <w:color w:val="FFFFFF"/>
                      <w:szCs w:val="20"/>
                    </w:rPr>
                  </w:pPr>
                  <w:r w:rsidRPr="00505285">
                    <w:rPr>
                      <w:rFonts w:eastAsia="Times New Roman" w:cs="Calibri"/>
                      <w:b/>
                      <w:bCs/>
                      <w:color w:val="FFFFFF"/>
                      <w:szCs w:val="20"/>
                    </w:rPr>
                    <w:t>2023 / 2011-13</w:t>
                  </w:r>
                </w:p>
              </w:tc>
              <w:tc>
                <w:tcPr>
                  <w:tcW w:w="3119" w:type="dxa"/>
                  <w:shd w:val="clear" w:color="auto" w:fill="005F85"/>
                </w:tcPr>
                <w:p w14:paraId="035E97BD"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2023 NNPAS (ABS, 2025b)</w:t>
                  </w:r>
                </w:p>
              </w:tc>
              <w:tc>
                <w:tcPr>
                  <w:tcW w:w="5953" w:type="dxa"/>
                  <w:gridSpan w:val="3"/>
                  <w:shd w:val="clear" w:color="auto" w:fill="005F85"/>
                  <w:vAlign w:val="center"/>
                </w:tcPr>
                <w:p w14:paraId="5EEFF19E"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2011-13 AHS (ABS, 2015)</w:t>
                  </w:r>
                </w:p>
              </w:tc>
            </w:tr>
            <w:tr w:rsidR="00247C82" w:rsidRPr="00505285" w14:paraId="7ADD5EF4" w14:textId="77777777">
              <w:trPr>
                <w:trHeight w:val="300"/>
              </w:trPr>
              <w:tc>
                <w:tcPr>
                  <w:tcW w:w="2621" w:type="dxa"/>
                  <w:vMerge/>
                  <w:shd w:val="clear" w:color="auto" w:fill="005F85"/>
                  <w:noWrap/>
                  <w:vAlign w:val="center"/>
                </w:tcPr>
                <w:p w14:paraId="6603284C" w14:textId="77777777" w:rsidR="00247C82" w:rsidRPr="00505285" w:rsidRDefault="00247C82">
                  <w:pPr>
                    <w:keepNext/>
                    <w:spacing w:after="0" w:line="240" w:lineRule="auto"/>
                    <w:rPr>
                      <w:rFonts w:eastAsia="Times New Roman" w:cs="Calibri"/>
                      <w:b/>
                      <w:bCs/>
                      <w:color w:val="FFFFFF"/>
                      <w:szCs w:val="20"/>
                    </w:rPr>
                  </w:pPr>
                </w:p>
              </w:tc>
              <w:tc>
                <w:tcPr>
                  <w:tcW w:w="3119" w:type="dxa"/>
                  <w:shd w:val="clear" w:color="auto" w:fill="005F85"/>
                </w:tcPr>
                <w:p w14:paraId="222DE5E5"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Mean intake (µg/day)</w:t>
                  </w:r>
                </w:p>
              </w:tc>
              <w:tc>
                <w:tcPr>
                  <w:tcW w:w="1984" w:type="dxa"/>
                  <w:shd w:val="clear" w:color="auto" w:fill="005F85"/>
                  <w:vAlign w:val="center"/>
                </w:tcPr>
                <w:p w14:paraId="55D94673"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Intake (µg/day)</w:t>
                  </w:r>
                </w:p>
                <w:p w14:paraId="0B7095D4" w14:textId="77777777" w:rsidR="00247C82" w:rsidRPr="00505285" w:rsidRDefault="00247C82">
                  <w:pPr>
                    <w:keepNext/>
                    <w:spacing w:after="0" w:line="240" w:lineRule="auto"/>
                    <w:jc w:val="center"/>
                    <w:rPr>
                      <w:rFonts w:eastAsia="Times New Roman" w:cs="Calibri"/>
                      <w:color w:val="FFFFFF"/>
                      <w:szCs w:val="20"/>
                    </w:rPr>
                  </w:pPr>
                  <w:r w:rsidRPr="00505285">
                    <w:rPr>
                      <w:rFonts w:eastAsia="Times New Roman" w:cs="Calibri"/>
                      <w:b/>
                      <w:bCs/>
                      <w:color w:val="FFFFFF"/>
                      <w:szCs w:val="20"/>
                    </w:rPr>
                    <w:t>Mean (95% CI)</w:t>
                  </w:r>
                </w:p>
              </w:tc>
              <w:tc>
                <w:tcPr>
                  <w:tcW w:w="1985" w:type="dxa"/>
                  <w:shd w:val="clear" w:color="auto" w:fill="005F85"/>
                  <w:vAlign w:val="center"/>
                </w:tcPr>
                <w:p w14:paraId="793096A4" w14:textId="77777777" w:rsidR="00247C82" w:rsidRPr="00505285" w:rsidRDefault="00247C82">
                  <w:pPr>
                    <w:keepNext/>
                    <w:spacing w:after="0" w:line="240" w:lineRule="auto"/>
                    <w:jc w:val="center"/>
                    <w:rPr>
                      <w:rFonts w:eastAsia="Times New Roman" w:cs="Calibri"/>
                      <w:color w:val="FFFFFF"/>
                      <w:szCs w:val="20"/>
                    </w:rPr>
                  </w:pPr>
                  <w:r w:rsidRPr="00505285">
                    <w:rPr>
                      <w:rFonts w:eastAsia="Times New Roman" w:cs="Calibri"/>
                      <w:b/>
                      <w:bCs/>
                      <w:color w:val="FFFFFF"/>
                      <w:szCs w:val="20"/>
                    </w:rPr>
                    <w:t>% less than EAR</w:t>
                  </w:r>
                </w:p>
              </w:tc>
              <w:tc>
                <w:tcPr>
                  <w:tcW w:w="1984" w:type="dxa"/>
                  <w:shd w:val="clear" w:color="auto" w:fill="005F85"/>
                  <w:vAlign w:val="center"/>
                </w:tcPr>
                <w:p w14:paraId="58100D5C" w14:textId="77777777" w:rsidR="00247C82" w:rsidRPr="00505285" w:rsidRDefault="00247C82">
                  <w:pPr>
                    <w:keepNext/>
                    <w:spacing w:after="0" w:line="240" w:lineRule="auto"/>
                    <w:jc w:val="center"/>
                    <w:rPr>
                      <w:rFonts w:eastAsia="Times New Roman" w:cs="Calibri"/>
                      <w:color w:val="FFFFFF"/>
                      <w:szCs w:val="20"/>
                    </w:rPr>
                  </w:pPr>
                  <w:r w:rsidRPr="00505285">
                    <w:rPr>
                      <w:rFonts w:eastAsia="Times New Roman" w:cs="Calibri"/>
                      <w:b/>
                      <w:bCs/>
                      <w:color w:val="FFFFFF"/>
                      <w:szCs w:val="20"/>
                    </w:rPr>
                    <w:t>% exceeding UL</w:t>
                  </w:r>
                </w:p>
              </w:tc>
            </w:tr>
            <w:tr w:rsidR="00247C82" w:rsidRPr="00505285" w14:paraId="35632F17" w14:textId="77777777">
              <w:trPr>
                <w:trHeight w:val="300"/>
              </w:trPr>
              <w:tc>
                <w:tcPr>
                  <w:tcW w:w="2621" w:type="dxa"/>
                  <w:noWrap/>
                  <w:vAlign w:val="center"/>
                </w:tcPr>
                <w:p w14:paraId="1990C35C" w14:textId="77777777" w:rsidR="00247C82" w:rsidRPr="00505285" w:rsidRDefault="00247C82">
                  <w:pPr>
                    <w:keepNext/>
                    <w:spacing w:after="0" w:line="240" w:lineRule="auto"/>
                    <w:rPr>
                      <w:rFonts w:eastAsia="Times New Roman" w:cs="Calibri"/>
                      <w:szCs w:val="20"/>
                    </w:rPr>
                  </w:pPr>
                  <w:r w:rsidRPr="00505285">
                    <w:rPr>
                      <w:rFonts w:eastAsia="Times New Roman" w:cs="Calibri"/>
                      <w:szCs w:val="20"/>
                    </w:rPr>
                    <w:t>18 to &lt;30y / 19 to &lt;31 y</w:t>
                  </w:r>
                </w:p>
              </w:tc>
              <w:tc>
                <w:tcPr>
                  <w:tcW w:w="3119" w:type="dxa"/>
                </w:tcPr>
                <w:p w14:paraId="61A358B1"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145</w:t>
                  </w:r>
                </w:p>
              </w:tc>
              <w:tc>
                <w:tcPr>
                  <w:tcW w:w="1984" w:type="dxa"/>
                </w:tcPr>
                <w:p w14:paraId="528E67F3"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146 (86 - 218)</w:t>
                  </w:r>
                </w:p>
              </w:tc>
              <w:tc>
                <w:tcPr>
                  <w:tcW w:w="1985" w:type="dxa"/>
                </w:tcPr>
                <w:p w14:paraId="3C36B376"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11.7%</w:t>
                  </w:r>
                </w:p>
              </w:tc>
              <w:tc>
                <w:tcPr>
                  <w:tcW w:w="1984" w:type="dxa"/>
                </w:tcPr>
                <w:p w14:paraId="198F9C12"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247C82" w:rsidRPr="00505285" w14:paraId="78AA4690" w14:textId="77777777">
              <w:trPr>
                <w:trHeight w:val="300"/>
              </w:trPr>
              <w:tc>
                <w:tcPr>
                  <w:tcW w:w="2621" w:type="dxa"/>
                  <w:noWrap/>
                  <w:vAlign w:val="center"/>
                </w:tcPr>
                <w:p w14:paraId="391242F3" w14:textId="77777777" w:rsidR="00247C82" w:rsidRPr="00505285" w:rsidRDefault="00247C82">
                  <w:pPr>
                    <w:keepNext/>
                    <w:spacing w:after="0" w:line="240" w:lineRule="auto"/>
                    <w:rPr>
                      <w:rFonts w:eastAsia="Times New Roman" w:cs="Calibri"/>
                      <w:szCs w:val="20"/>
                    </w:rPr>
                  </w:pPr>
                  <w:r w:rsidRPr="00505285">
                    <w:rPr>
                      <w:rFonts w:eastAsia="Times New Roman" w:cs="Calibri"/>
                      <w:szCs w:val="20"/>
                    </w:rPr>
                    <w:t>30 to &lt;50y / 31 to &lt;51 y</w:t>
                  </w:r>
                </w:p>
              </w:tc>
              <w:tc>
                <w:tcPr>
                  <w:tcW w:w="3119" w:type="dxa"/>
                </w:tcPr>
                <w:p w14:paraId="0C9F2398"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160</w:t>
                  </w:r>
                </w:p>
              </w:tc>
              <w:tc>
                <w:tcPr>
                  <w:tcW w:w="1984" w:type="dxa"/>
                </w:tcPr>
                <w:p w14:paraId="5025445A"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152 (91 - 226)</w:t>
                  </w:r>
                </w:p>
              </w:tc>
              <w:tc>
                <w:tcPr>
                  <w:tcW w:w="1985" w:type="dxa"/>
                </w:tcPr>
                <w:p w14:paraId="40BC0B22"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9.0%</w:t>
                  </w:r>
                </w:p>
              </w:tc>
              <w:tc>
                <w:tcPr>
                  <w:tcW w:w="1984" w:type="dxa"/>
                </w:tcPr>
                <w:p w14:paraId="0903FA69"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bl>
          <w:p w14:paraId="3761F9E6"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lightGray"/>
              </w:rPr>
            </w:pPr>
          </w:p>
        </w:tc>
      </w:tr>
      <w:tr w:rsidR="00247C82" w:rsidRPr="00505285" w14:paraId="58307572" w14:textId="77777777">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tcPr>
          <w:p w14:paraId="187E6917" w14:textId="77777777" w:rsidR="00247C82" w:rsidRPr="00505285" w:rsidRDefault="00247C82">
            <w:pPr>
              <w:rPr>
                <w:rFonts w:eastAsia="Times New Roman" w:cs="Arial"/>
                <w:szCs w:val="20"/>
              </w:rPr>
            </w:pPr>
            <w:r w:rsidRPr="00505285">
              <w:rPr>
                <w:rFonts w:eastAsia="Times New Roman" w:cs="Arial"/>
                <w:szCs w:val="20"/>
              </w:rPr>
              <w:lastRenderedPageBreak/>
              <w:t>Benchmarking against comparable international jurisdictions</w:t>
            </w:r>
          </w:p>
        </w:tc>
        <w:tc>
          <w:tcPr>
            <w:tcW w:w="12374" w:type="dxa"/>
            <w:gridSpan w:val="2"/>
            <w:tcBorders>
              <w:left w:val="single" w:sz="4" w:space="0" w:color="77BCD9"/>
            </w:tcBorders>
          </w:tcPr>
          <w:p w14:paraId="449260DC"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 xml:space="preserve">In most jurisdictions, the recommendations for adults and pregnancy have been adopted - unaltered - for lactating females. However, in Japan - where the UL is 3,000 µg/day - the UL during lactation is established at 2,000 µg/day to account for increased sensitivity in this population. More recent recommendations from China (2023) established the UL at 500 µg/day in line with recommendations during pregnancy. </w:t>
            </w:r>
          </w:p>
          <w:p w14:paraId="3E9AB908"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A 2022 UK report on the effects of excess iodine intake on maternal and child health found there was insufficient evidence to inform a risk assessment, noting that current intakes were of limited concern except in individuals with diets high in seaweed (UK FSA COT, 2022).</w:t>
            </w:r>
          </w:p>
          <w:p w14:paraId="50B92AF7" w14:textId="77777777" w:rsidR="00247C82" w:rsidRDefault="00247C82">
            <w:pPr>
              <w:cnfStyle w:val="000000000000" w:firstRow="0" w:lastRow="0" w:firstColumn="0" w:lastColumn="0" w:oddVBand="0" w:evenVBand="0" w:oddHBand="0" w:evenHBand="0" w:firstRowFirstColumn="0" w:firstRowLastColumn="0" w:lastRowFirstColumn="0" w:lastRowLastColumn="0"/>
              <w:rPr>
                <w:rFonts w:eastAsia="Arial" w:cs="Arial"/>
                <w:szCs w:val="20"/>
              </w:rPr>
            </w:pPr>
            <w:r w:rsidRPr="00505285">
              <w:rPr>
                <w:rFonts w:eastAsia="Arial" w:cs="Arial"/>
                <w:szCs w:val="20"/>
              </w:rPr>
              <w:t xml:space="preserve">Relevant recommendations from comparable international jurisdictions are shown in Table 7. </w:t>
            </w:r>
          </w:p>
          <w:p w14:paraId="6B46EB57" w14:textId="77777777" w:rsidR="00667A3D" w:rsidRDefault="00667A3D">
            <w:pPr>
              <w:cnfStyle w:val="000000000000" w:firstRow="0" w:lastRow="0" w:firstColumn="0" w:lastColumn="0" w:oddVBand="0" w:evenVBand="0" w:oddHBand="0" w:evenHBand="0" w:firstRowFirstColumn="0" w:firstRowLastColumn="0" w:lastRowFirstColumn="0" w:lastRowLastColumn="0"/>
              <w:rPr>
                <w:rFonts w:eastAsia="Arial" w:cs="Arial"/>
                <w:szCs w:val="20"/>
              </w:rPr>
            </w:pPr>
          </w:p>
          <w:p w14:paraId="392DC117" w14:textId="77777777" w:rsidR="00667A3D" w:rsidRPr="00505285" w:rsidRDefault="00667A3D">
            <w:pPr>
              <w:cnfStyle w:val="000000000000" w:firstRow="0" w:lastRow="0" w:firstColumn="0" w:lastColumn="0" w:oddVBand="0" w:evenVBand="0" w:oddHBand="0" w:evenHBand="0" w:firstRowFirstColumn="0" w:firstRowLastColumn="0" w:lastRowFirstColumn="0" w:lastRowLastColumn="0"/>
              <w:rPr>
                <w:rFonts w:eastAsia="Arial" w:cs="Arial"/>
                <w:szCs w:val="20"/>
              </w:rPr>
            </w:pPr>
          </w:p>
          <w:p w14:paraId="6AB2355F" w14:textId="77777777" w:rsidR="00247C82" w:rsidRPr="00505285" w:rsidRDefault="00247C82">
            <w:pPr>
              <w:keepNext/>
              <w:spacing w:after="200"/>
              <w:cnfStyle w:val="000000000000" w:firstRow="0" w:lastRow="0" w:firstColumn="0" w:lastColumn="0" w:oddVBand="0" w:evenVBand="0" w:oddHBand="0" w:evenHBand="0" w:firstRowFirstColumn="0" w:firstRowLastColumn="0" w:lastRowFirstColumn="0" w:lastRowLastColumn="0"/>
              <w:rPr>
                <w:rFonts w:eastAsia="Arial" w:cs="Arial"/>
                <w:iCs/>
                <w:caps/>
                <w:szCs w:val="20"/>
              </w:rPr>
            </w:pPr>
            <w:r w:rsidRPr="00505285">
              <w:rPr>
                <w:rFonts w:eastAsia="Arial" w:cs="Arial"/>
                <w:iCs/>
                <w:caps/>
                <w:szCs w:val="20"/>
              </w:rPr>
              <w:lastRenderedPageBreak/>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7</w:t>
            </w:r>
            <w:r w:rsidRPr="00505285">
              <w:rPr>
                <w:rFonts w:eastAsia="Arial" w:cs="Arial"/>
                <w:iCs/>
                <w:caps/>
                <w:noProof/>
                <w:szCs w:val="20"/>
              </w:rPr>
              <w:fldChar w:fldCharType="end"/>
            </w:r>
            <w:r w:rsidRPr="00505285">
              <w:rPr>
                <w:rFonts w:eastAsia="Arial" w:cs="Arial"/>
                <w:iCs/>
                <w:caps/>
                <w:szCs w:val="20"/>
              </w:rPr>
              <w:t xml:space="preserve"> - </w:t>
            </w:r>
            <w:proofErr w:type="gramStart"/>
            <w:r w:rsidRPr="00505285">
              <w:rPr>
                <w:rFonts w:eastAsia="Arial" w:cs="Arial"/>
                <w:iCs/>
                <w:caps/>
                <w:szCs w:val="20"/>
              </w:rPr>
              <w:t>UPPER LEVEL</w:t>
            </w:r>
            <w:proofErr w:type="gramEnd"/>
            <w:r w:rsidRPr="00505285">
              <w:rPr>
                <w:rFonts w:eastAsia="Arial" w:cs="Arial"/>
                <w:iCs/>
                <w:caps/>
                <w:szCs w:val="20"/>
              </w:rPr>
              <w:t xml:space="preserve"> RECOMMENDATIONS ACROSS COMPARABLE JURISDICTIONS</w:t>
            </w:r>
          </w:p>
          <w:tbl>
            <w:tblPr>
              <w:tblW w:w="11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1"/>
              <w:gridCol w:w="1984"/>
              <w:gridCol w:w="1985"/>
              <w:gridCol w:w="1842"/>
              <w:gridCol w:w="1985"/>
              <w:gridCol w:w="1984"/>
            </w:tblGrid>
            <w:tr w:rsidR="00247C82" w:rsidRPr="00505285" w14:paraId="6B233AE2" w14:textId="77777777">
              <w:trPr>
                <w:trHeight w:val="661"/>
              </w:trPr>
              <w:tc>
                <w:tcPr>
                  <w:tcW w:w="1771" w:type="dxa"/>
                  <w:shd w:val="clear" w:color="auto" w:fill="005F85"/>
                  <w:vAlign w:val="bottom"/>
                  <w:hideMark/>
                </w:tcPr>
                <w:p w14:paraId="51B67014" w14:textId="77777777" w:rsidR="00247C82" w:rsidRPr="00505285" w:rsidRDefault="00247C82">
                  <w:pPr>
                    <w:spacing w:after="0" w:line="240" w:lineRule="auto"/>
                    <w:rPr>
                      <w:rFonts w:eastAsia="Times New Roman"/>
                      <w:b/>
                      <w:bCs/>
                      <w:color w:val="FFFFFF"/>
                      <w:szCs w:val="20"/>
                    </w:rPr>
                  </w:pPr>
                  <w:r w:rsidRPr="00505285">
                    <w:rPr>
                      <w:rFonts w:eastAsia="Times New Roman"/>
                      <w:b/>
                      <w:bCs/>
                      <w:color w:val="FFFFFF"/>
                      <w:szCs w:val="20"/>
                    </w:rPr>
                    <w:t>Age (years)</w:t>
                  </w:r>
                </w:p>
              </w:tc>
              <w:tc>
                <w:tcPr>
                  <w:tcW w:w="1984" w:type="dxa"/>
                  <w:shd w:val="clear" w:color="auto" w:fill="005F85"/>
                  <w:vAlign w:val="bottom"/>
                </w:tcPr>
                <w:p w14:paraId="5EF67EB0"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Proposed ANZ UL</w:t>
                  </w:r>
                </w:p>
                <w:p w14:paraId="31671475"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985" w:type="dxa"/>
                  <w:shd w:val="clear" w:color="auto" w:fill="005F85"/>
                  <w:vAlign w:val="bottom"/>
                  <w:hideMark/>
                </w:tcPr>
                <w:p w14:paraId="5A88A345"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Current ANZ UL</w:t>
                  </w:r>
                </w:p>
                <w:p w14:paraId="46EC74F1"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(2006)</w:t>
                  </w:r>
                </w:p>
                <w:p w14:paraId="784F2A73"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842" w:type="dxa"/>
                  <w:shd w:val="clear" w:color="auto" w:fill="005F85"/>
                </w:tcPr>
                <w:p w14:paraId="101C6302"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US/Canada UL</w:t>
                  </w:r>
                </w:p>
                <w:p w14:paraId="2C0F067D"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(2001)</w:t>
                  </w:r>
                </w:p>
                <w:p w14:paraId="5778BD2E"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985" w:type="dxa"/>
                  <w:shd w:val="clear" w:color="auto" w:fill="005F85"/>
                  <w:vAlign w:val="bottom"/>
                  <w:hideMark/>
                </w:tcPr>
                <w:p w14:paraId="4DFE6A66"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 xml:space="preserve">EFSA UL </w:t>
                  </w:r>
                </w:p>
                <w:p w14:paraId="344498FB"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(2002)</w:t>
                  </w:r>
                </w:p>
                <w:p w14:paraId="46ADAB6D"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984" w:type="dxa"/>
                  <w:shd w:val="clear" w:color="auto" w:fill="005F85"/>
                  <w:vAlign w:val="bottom"/>
                  <w:hideMark/>
                </w:tcPr>
                <w:p w14:paraId="0F965110"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NNR UL</w:t>
                  </w:r>
                </w:p>
                <w:p w14:paraId="14B08BD6"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(2023)</w:t>
                  </w:r>
                </w:p>
                <w:p w14:paraId="53F14CFC"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(µg/day)</w:t>
                  </w:r>
                </w:p>
              </w:tc>
            </w:tr>
            <w:tr w:rsidR="00247C82" w:rsidRPr="00505285" w14:paraId="7D0F77CC" w14:textId="77777777">
              <w:trPr>
                <w:trHeight w:val="300"/>
              </w:trPr>
              <w:tc>
                <w:tcPr>
                  <w:tcW w:w="1771" w:type="dxa"/>
                  <w:noWrap/>
                  <w:vAlign w:val="center"/>
                </w:tcPr>
                <w:p w14:paraId="4196DA0D" w14:textId="77777777" w:rsidR="00247C82" w:rsidRPr="00505285" w:rsidRDefault="00247C82">
                  <w:pPr>
                    <w:spacing w:after="0" w:line="240" w:lineRule="auto"/>
                    <w:rPr>
                      <w:rFonts w:eastAsia="Times New Roman"/>
                      <w:color w:val="000000"/>
                      <w:szCs w:val="20"/>
                    </w:rPr>
                  </w:pPr>
                  <w:r w:rsidRPr="00505285">
                    <w:rPr>
                      <w:rFonts w:eastAsia="Times New Roman"/>
                      <w:color w:val="000000"/>
                      <w:szCs w:val="20"/>
                    </w:rPr>
                    <w:t>Pregnancy (all)</w:t>
                  </w:r>
                </w:p>
              </w:tc>
              <w:tc>
                <w:tcPr>
                  <w:tcW w:w="1984" w:type="dxa"/>
                  <w:vAlign w:val="center"/>
                </w:tcPr>
                <w:p w14:paraId="5337F891"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600</w:t>
                  </w:r>
                </w:p>
              </w:tc>
              <w:tc>
                <w:tcPr>
                  <w:tcW w:w="1985" w:type="dxa"/>
                  <w:noWrap/>
                  <w:vAlign w:val="center"/>
                </w:tcPr>
                <w:p w14:paraId="2547B655"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1,100</w:t>
                  </w:r>
                </w:p>
              </w:tc>
              <w:tc>
                <w:tcPr>
                  <w:tcW w:w="1842" w:type="dxa"/>
                  <w:vAlign w:val="center"/>
                </w:tcPr>
                <w:p w14:paraId="4B2AA4AF"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1,100</w:t>
                  </w:r>
                </w:p>
              </w:tc>
              <w:tc>
                <w:tcPr>
                  <w:tcW w:w="1985" w:type="dxa"/>
                  <w:noWrap/>
                  <w:vAlign w:val="center"/>
                </w:tcPr>
                <w:p w14:paraId="3DFCA431"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600</w:t>
                  </w:r>
                </w:p>
              </w:tc>
              <w:tc>
                <w:tcPr>
                  <w:tcW w:w="1984" w:type="dxa"/>
                  <w:noWrap/>
                  <w:vAlign w:val="center"/>
                </w:tcPr>
                <w:p w14:paraId="2033C4BE"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600</w:t>
                  </w:r>
                </w:p>
              </w:tc>
            </w:tr>
          </w:tbl>
          <w:p w14:paraId="5573D7F3"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iCs/>
                <w:szCs w:val="20"/>
                <w:highlight w:val="lightGray"/>
              </w:rPr>
            </w:pPr>
          </w:p>
        </w:tc>
      </w:tr>
      <w:tr w:rsidR="00247C82" w:rsidRPr="00505285" w14:paraId="2EC7F1D8" w14:textId="77777777">
        <w:trPr>
          <w:cnfStyle w:val="000000100000" w:firstRow="0" w:lastRow="0" w:firstColumn="0" w:lastColumn="0" w:oddVBand="0" w:evenVBand="0" w:oddHBand="1" w:evenHBand="0" w:firstRowFirstColumn="0" w:firstRowLastColumn="0" w:lastRowFirstColumn="0" w:lastRowLastColumn="0"/>
          <w:trHeight w:val="3619"/>
        </w:trPr>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hideMark/>
          </w:tcPr>
          <w:p w14:paraId="56166D08" w14:textId="77777777" w:rsidR="00247C82" w:rsidRPr="00505285" w:rsidRDefault="00247C82">
            <w:pPr>
              <w:rPr>
                <w:rFonts w:eastAsia="Arial" w:cs="Helvetica"/>
                <w:szCs w:val="20"/>
              </w:rPr>
            </w:pPr>
            <w:r w:rsidRPr="00505285">
              <w:rPr>
                <w:rFonts w:eastAsia="Arial" w:cs="Arial"/>
                <w:szCs w:val="20"/>
              </w:rPr>
              <w:lastRenderedPageBreak/>
              <w:t>Balance of effects (benefits and harms)</w:t>
            </w:r>
          </w:p>
          <w:p w14:paraId="3561A4D9" w14:textId="77777777" w:rsidR="00247C82" w:rsidRPr="00505285" w:rsidRDefault="00247C82">
            <w:pPr>
              <w:ind w:right="-1346"/>
              <w:rPr>
                <w:rFonts w:eastAsia="Times New Roman" w:cs="Arial"/>
                <w:szCs w:val="20"/>
              </w:rPr>
            </w:pPr>
          </w:p>
        </w:tc>
        <w:tc>
          <w:tcPr>
            <w:tcW w:w="12374" w:type="dxa"/>
            <w:gridSpan w:val="2"/>
            <w:tcBorders>
              <w:left w:val="single" w:sz="4" w:space="0" w:color="77BCD9"/>
            </w:tcBorders>
          </w:tcPr>
          <w:p w14:paraId="7DFDE39B" w14:textId="77777777" w:rsidR="00247C82" w:rsidRPr="00505285" w:rsidRDefault="00247C82">
            <w:pPr>
              <w:spacing w:before="120" w:after="0"/>
              <w:ind w:right="182"/>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There is insufficient evidence from lactating cohorts to support a risk assessment. However, evidence suggests that the current UL of 1,100</w:t>
            </w:r>
            <w:r w:rsidRPr="00505285">
              <w:rPr>
                <w:rFonts w:eastAsia="Times New Roman" w:cs="Times New Roman"/>
                <w:szCs w:val="20"/>
              </w:rPr>
              <w:t xml:space="preserve"> µg/day</w:t>
            </w:r>
            <w:r w:rsidRPr="00505285">
              <w:rPr>
                <w:rFonts w:eastAsia="Times New Roman" w:cs="Arial"/>
                <w:szCs w:val="20"/>
              </w:rPr>
              <w:t xml:space="preserve"> may not be protective of maternal and child health during pregnancy. It is reasonable to expect that the UL in lactating cohorts will be comparable to that during pregnancy. A UL of 600 </w:t>
            </w:r>
            <w:r w:rsidRPr="00505285">
              <w:rPr>
                <w:rFonts w:eastAsia="Times New Roman" w:cs="Times New Roman"/>
                <w:szCs w:val="20"/>
              </w:rPr>
              <w:t xml:space="preserve">µg/day is expected to be more protective for most individuals within the population. </w:t>
            </w:r>
          </w:p>
          <w:p w14:paraId="1011BC27" w14:textId="77777777" w:rsidR="00247C82" w:rsidRPr="00505285" w:rsidRDefault="00247C82">
            <w:pPr>
              <w:spacing w:before="120" w:after="0"/>
              <w:ind w:right="182"/>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Current national data suggest that Australian and New Zealand females of reproductive age are mildly deficient. Growing interest in plant-forward diets (Roy Morgan 2016; Kantar 2022; Riverola et al. 2023) may further reduce individuals’ iodine intake and exacerbate existing deficiency in the population. This deficiency increases individual sensitivity to the effects of excess iodine. </w:t>
            </w:r>
          </w:p>
          <w:p w14:paraId="136BEDFA" w14:textId="77777777" w:rsidR="00247C82" w:rsidRPr="00505285" w:rsidRDefault="00247C82">
            <w:pPr>
              <w:spacing w:before="120" w:after="0"/>
              <w:ind w:right="182"/>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However, there is no evidence that adverse maternal or child health outcomes from excess iodine are prevalent within the Australian and New Zealand population.  The overwhelming public health concern remains the effect of mild population deficiency during pregnancy and lactation on birth outcomes and child neurodevelopment. </w:t>
            </w:r>
          </w:p>
          <w:p w14:paraId="2E954013"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Times New Roman" w:cs="Arial"/>
                <w:szCs w:val="20"/>
              </w:rPr>
            </w:pPr>
          </w:p>
        </w:tc>
      </w:tr>
      <w:tr w:rsidR="00247C82" w:rsidRPr="00505285" w14:paraId="7B71D562" w14:textId="77777777">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tcPr>
          <w:p w14:paraId="4795B63F" w14:textId="77777777" w:rsidR="00247C82" w:rsidRPr="00505285" w:rsidRDefault="00247C82">
            <w:pPr>
              <w:rPr>
                <w:rFonts w:eastAsia="Arial" w:cs="Arial"/>
                <w:szCs w:val="20"/>
              </w:rPr>
            </w:pPr>
            <w:r w:rsidRPr="00505285">
              <w:rPr>
                <w:rFonts w:eastAsia="Arial" w:cs="Arial"/>
                <w:szCs w:val="20"/>
              </w:rPr>
              <w:t>Certainty of the evidence</w:t>
            </w:r>
          </w:p>
        </w:tc>
        <w:tc>
          <w:tcPr>
            <w:tcW w:w="12374" w:type="dxa"/>
            <w:gridSpan w:val="2"/>
            <w:tcBorders>
              <w:left w:val="single" w:sz="4" w:space="0" w:color="77BCD9"/>
            </w:tcBorders>
          </w:tcPr>
          <w:p w14:paraId="557D735D" w14:textId="77777777" w:rsidR="00247C82" w:rsidRPr="00505285" w:rsidRDefault="00247C82">
            <w:pPr>
              <w:spacing w:before="120" w:after="0"/>
              <w:ind w:right="34"/>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The evidence on the levels of iodine intake at which adverse effects may occur during lactation is very uncertain.</w:t>
            </w:r>
          </w:p>
          <w:p w14:paraId="48BFA6E1"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p>
        </w:tc>
      </w:tr>
      <w:tr w:rsidR="00247C82" w:rsidRPr="00505285" w14:paraId="60DB75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tcPr>
          <w:p w14:paraId="59141406" w14:textId="77777777" w:rsidR="00247C82" w:rsidRPr="00505285" w:rsidRDefault="00247C82">
            <w:pPr>
              <w:rPr>
                <w:rFonts w:eastAsia="Arial" w:cs="Arial"/>
                <w:szCs w:val="20"/>
              </w:rPr>
            </w:pPr>
            <w:r w:rsidRPr="00505285">
              <w:rPr>
                <w:rFonts w:eastAsia="Arial" w:cs="Arial"/>
                <w:szCs w:val="20"/>
              </w:rPr>
              <w:t>Values, preferences and feasibility (consumers, communities)</w:t>
            </w:r>
          </w:p>
        </w:tc>
        <w:tc>
          <w:tcPr>
            <w:tcW w:w="12374" w:type="dxa"/>
            <w:gridSpan w:val="2"/>
            <w:tcBorders>
              <w:left w:val="single" w:sz="4" w:space="0" w:color="77BCD9"/>
            </w:tcBorders>
          </w:tcPr>
          <w:p w14:paraId="72511B18" w14:textId="77777777" w:rsidR="00247C82" w:rsidRPr="00505285" w:rsidRDefault="00247C8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Foundation diet modelling </w:t>
            </w:r>
            <w:r w:rsidRPr="00505285">
              <w:rPr>
                <w:rFonts w:eastAsia="Times New Roman" w:cs="Times New Roman"/>
                <w:szCs w:val="20"/>
              </w:rPr>
              <w:t xml:space="preserve">(NHMRC, 2011) </w:t>
            </w:r>
            <w:r w:rsidRPr="00505285">
              <w:rPr>
                <w:rFonts w:eastAsia="Times New Roman" w:cs="Arial"/>
                <w:szCs w:val="20"/>
              </w:rPr>
              <w:t xml:space="preserve">estimates dietary iodine intake in lactating women at between 251 and 253 </w:t>
            </w:r>
            <w:proofErr w:type="spellStart"/>
            <w:r w:rsidRPr="00505285">
              <w:rPr>
                <w:rFonts w:eastAsia="Times New Roman" w:cs="Arial"/>
                <w:szCs w:val="20"/>
              </w:rPr>
              <w:t>μg</w:t>
            </w:r>
            <w:proofErr w:type="spellEnd"/>
            <w:r w:rsidRPr="00505285">
              <w:rPr>
                <w:rFonts w:eastAsia="Times New Roman" w:cs="Arial"/>
                <w:szCs w:val="20"/>
              </w:rPr>
              <w:t xml:space="preserve">/day - below the proposed RDII of 270μg/day, suggesting that the recommendations may not be fully achievable from diet alone. However, it is currently recommended that all Australian and New Zealand women who are lactating take a daily iodine supplement containing 150μg of iodine (NHMRC, 2010). Consequently, intakes could increase to around 400 </w:t>
            </w:r>
            <w:proofErr w:type="spellStart"/>
            <w:r w:rsidRPr="00505285">
              <w:rPr>
                <w:rFonts w:eastAsia="Times New Roman" w:cs="Arial"/>
                <w:szCs w:val="20"/>
              </w:rPr>
              <w:t>μg</w:t>
            </w:r>
            <w:proofErr w:type="spellEnd"/>
            <w:r w:rsidRPr="00505285">
              <w:rPr>
                <w:rFonts w:eastAsia="Times New Roman" w:cs="Arial"/>
                <w:szCs w:val="20"/>
              </w:rPr>
              <w:t>/day in those following the foundation diet who also follow the recommendations for supplementation.</w:t>
            </w:r>
          </w:p>
          <w:p w14:paraId="2C895DA8" w14:textId="77777777" w:rsidR="00247C82" w:rsidRPr="00505285" w:rsidRDefault="00247C82">
            <w:pPr>
              <w:spacing w:before="120" w:after="0"/>
              <w:ind w:right="172"/>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Times New Roman" w:cs="Arial"/>
                <w:szCs w:val="20"/>
              </w:rPr>
              <w:t>Altho</w:t>
            </w:r>
            <w:r w:rsidRPr="00505285">
              <w:rPr>
                <w:rFonts w:eastAsia="Arial" w:cs="Arial"/>
                <w:szCs w:val="20"/>
              </w:rPr>
              <w:t xml:space="preserve">ugh intake data are unavailable for pregnant women, data from the </w:t>
            </w:r>
            <w:r w:rsidRPr="00505285">
              <w:rPr>
                <w:rFonts w:eastAsia="Times New Roman" w:cs="Arial"/>
                <w:szCs w:val="20"/>
              </w:rPr>
              <w:t xml:space="preserve">2011-13 Australian Health Survey (ABS, 2015) </w:t>
            </w:r>
            <w:r w:rsidRPr="00505285">
              <w:rPr>
                <w:rFonts w:eastAsia="Arial" w:cs="Arial"/>
                <w:szCs w:val="20"/>
              </w:rPr>
              <w:t xml:space="preserve">indicate that 95% of females aged 19-50 yrs have intakes between ~86 and 226 µg/day, which is also well below the lower proposed UL of 600 </w:t>
            </w:r>
            <w:r w:rsidRPr="00505285">
              <w:rPr>
                <w:rFonts w:eastAsia="Times New Roman" w:cs="Times New Roman"/>
                <w:szCs w:val="20"/>
              </w:rPr>
              <w:t xml:space="preserve">µg/day, even factoring in additional iodine from supplements. Most recent population median UIC data in pregnant women is indicative of mild population deficiency in both Australia and New </w:t>
            </w:r>
            <w:r w:rsidRPr="00505285">
              <w:rPr>
                <w:rFonts w:eastAsia="Arial" w:cs="Arial"/>
                <w:szCs w:val="20"/>
              </w:rPr>
              <w:t xml:space="preserve">Zealand. </w:t>
            </w:r>
          </w:p>
          <w:p w14:paraId="2CDACC46" w14:textId="77777777" w:rsidR="00247C82" w:rsidRPr="00505285" w:rsidRDefault="00247C8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Arial" w:cs="Arial"/>
                <w:szCs w:val="20"/>
              </w:rPr>
              <w:lastRenderedPageBreak/>
              <w:t>The proposed UL is also substantially higher than the proposed RDI, providing for sufficient variability in individual intak</w:t>
            </w:r>
            <w:r w:rsidRPr="00505285">
              <w:rPr>
                <w:rFonts w:eastAsia="Times New Roman" w:cs="Arial"/>
                <w:szCs w:val="20"/>
              </w:rPr>
              <w:t>es within the range between the RDI (</w:t>
            </w:r>
            <w:r w:rsidRPr="00505285">
              <w:rPr>
                <w:rFonts w:eastAsia="Arial" w:cs="Arial"/>
                <w:szCs w:val="20"/>
              </w:rPr>
              <w:t xml:space="preserve">270 </w:t>
            </w:r>
            <w:proofErr w:type="spellStart"/>
            <w:r w:rsidRPr="00505285">
              <w:rPr>
                <w:rFonts w:eastAsia="Arial" w:cs="Arial"/>
                <w:szCs w:val="20"/>
              </w:rPr>
              <w:t>μg</w:t>
            </w:r>
            <w:proofErr w:type="spellEnd"/>
            <w:r w:rsidRPr="00505285">
              <w:rPr>
                <w:rFonts w:eastAsia="Arial" w:cs="Arial"/>
                <w:szCs w:val="20"/>
              </w:rPr>
              <w:t>/day), estimated intakes from dietary modelling and supplementation (400</w:t>
            </w:r>
            <w:r w:rsidRPr="00505285">
              <w:rPr>
                <w:rFonts w:eastAsia="Times New Roman" w:cs="Arial"/>
                <w:szCs w:val="20"/>
              </w:rPr>
              <w:t> </w:t>
            </w:r>
            <w:proofErr w:type="spellStart"/>
            <w:r w:rsidRPr="00505285">
              <w:rPr>
                <w:rFonts w:eastAsia="Times New Roman" w:cs="Arial"/>
                <w:szCs w:val="20"/>
              </w:rPr>
              <w:t>μg</w:t>
            </w:r>
            <w:proofErr w:type="spellEnd"/>
            <w:r w:rsidRPr="00505285">
              <w:rPr>
                <w:rFonts w:eastAsia="Times New Roman" w:cs="Arial"/>
                <w:szCs w:val="20"/>
              </w:rPr>
              <w:t>/day</w:t>
            </w:r>
            <w:r w:rsidRPr="00505285">
              <w:rPr>
                <w:rFonts w:eastAsia="Arial" w:cs="Arial"/>
                <w:szCs w:val="20"/>
              </w:rPr>
              <w:t>) and the proposed UL (600</w:t>
            </w:r>
            <w:r w:rsidRPr="00505285">
              <w:rPr>
                <w:rFonts w:eastAsia="Times New Roman" w:cs="Arial"/>
                <w:szCs w:val="20"/>
              </w:rPr>
              <w:t xml:space="preserve"> </w:t>
            </w:r>
            <w:proofErr w:type="spellStart"/>
            <w:r w:rsidRPr="00505285">
              <w:rPr>
                <w:rFonts w:eastAsia="Arial" w:cs="Arial"/>
                <w:szCs w:val="20"/>
              </w:rPr>
              <w:t>μg</w:t>
            </w:r>
            <w:proofErr w:type="spellEnd"/>
            <w:r w:rsidRPr="00505285">
              <w:rPr>
                <w:rFonts w:eastAsia="Arial" w:cs="Arial"/>
                <w:szCs w:val="20"/>
              </w:rPr>
              <w:t>/day).</w:t>
            </w:r>
          </w:p>
        </w:tc>
      </w:tr>
      <w:tr w:rsidR="00247C82" w:rsidRPr="00505285" w14:paraId="69FB9EF1" w14:textId="77777777">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tcPr>
          <w:p w14:paraId="5E468B36" w14:textId="77777777" w:rsidR="00247C82" w:rsidRPr="00505285" w:rsidRDefault="00247C82">
            <w:pPr>
              <w:rPr>
                <w:rFonts w:eastAsia="Arial" w:cs="Arial"/>
                <w:szCs w:val="20"/>
              </w:rPr>
            </w:pPr>
            <w:r w:rsidRPr="00505285">
              <w:rPr>
                <w:rFonts w:eastAsia="Arial" w:cs="Arial"/>
                <w:szCs w:val="20"/>
              </w:rPr>
              <w:lastRenderedPageBreak/>
              <w:t xml:space="preserve">Resource impacts </w:t>
            </w:r>
          </w:p>
        </w:tc>
        <w:tc>
          <w:tcPr>
            <w:tcW w:w="5854" w:type="dxa"/>
            <w:tcBorders>
              <w:left w:val="single" w:sz="4" w:space="0" w:color="77BCD9"/>
            </w:tcBorders>
          </w:tcPr>
          <w:p w14:paraId="53577939" w14:textId="77777777" w:rsidR="00247C82" w:rsidRPr="00505285" w:rsidRDefault="00247C82">
            <w:pPr>
              <w:spacing w:before="120" w:after="0"/>
              <w:ind w:right="-114"/>
              <w:cnfStyle w:val="000000000000" w:firstRow="0" w:lastRow="0" w:firstColumn="0" w:lastColumn="0" w:oddVBand="0" w:evenVBand="0" w:oddHBand="0" w:evenHBand="0" w:firstRowFirstColumn="0" w:firstRowLastColumn="0" w:lastRowFirstColumn="0" w:lastRowLastColumn="0"/>
              <w:rPr>
                <w:rFonts w:eastAsia="Times New Roman" w:cs="Arial"/>
                <w:i/>
                <w:szCs w:val="20"/>
                <w:highlight w:val="lightGray"/>
              </w:rPr>
            </w:pPr>
            <w:r w:rsidRPr="00505285">
              <w:rPr>
                <w:rFonts w:eastAsia="Times New Roman" w:cs="Arial"/>
                <w:szCs w:val="20"/>
              </w:rPr>
              <w:t xml:space="preserve">Retaining the current values for lactation is expected to have no regulatory implications or resource impacts. </w:t>
            </w:r>
          </w:p>
        </w:tc>
        <w:tc>
          <w:tcPr>
            <w:tcW w:w="6520" w:type="dxa"/>
          </w:tcPr>
          <w:p w14:paraId="5DD25B0B" w14:textId="77777777" w:rsidR="00247C82" w:rsidRPr="00505285" w:rsidRDefault="00247C8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i/>
                <w:iCs/>
                <w:szCs w:val="20"/>
              </w:rPr>
            </w:pPr>
            <w:r w:rsidRPr="00505285">
              <w:rPr>
                <w:rFonts w:eastAsia="Times New Roman" w:cs="Arial"/>
                <w:szCs w:val="20"/>
              </w:rPr>
              <w:t xml:space="preserve">The proposed change to the UL is significant, and may have implications for regulators, including FSANZ (food and food products) and TGA (supplements). Views will be sought during targeted / stakeholder consultation and considered when developing final NRVs.  </w:t>
            </w:r>
          </w:p>
        </w:tc>
      </w:tr>
      <w:tr w:rsidR="00247C82" w:rsidRPr="00505285" w14:paraId="717A8A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tcPr>
          <w:p w14:paraId="750D7D9B" w14:textId="77777777" w:rsidR="00247C82" w:rsidRPr="00505285" w:rsidRDefault="00247C82">
            <w:pPr>
              <w:rPr>
                <w:rFonts w:eastAsia="Arial" w:cs="Arial"/>
                <w:szCs w:val="20"/>
              </w:rPr>
            </w:pPr>
            <w:r w:rsidRPr="00505285">
              <w:rPr>
                <w:rFonts w:eastAsia="Arial" w:cs="Arial"/>
                <w:szCs w:val="20"/>
              </w:rPr>
              <w:t>Other factors (health equity impacts, sustainability)</w:t>
            </w:r>
          </w:p>
        </w:tc>
        <w:tc>
          <w:tcPr>
            <w:tcW w:w="5854" w:type="dxa"/>
            <w:tcBorders>
              <w:left w:val="single" w:sz="4" w:space="0" w:color="77BCD9"/>
            </w:tcBorders>
          </w:tcPr>
          <w:p w14:paraId="21989F64" w14:textId="77777777" w:rsidR="00247C82" w:rsidRPr="00505285" w:rsidRDefault="00247C82">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
                <w:szCs w:val="20"/>
                <w:highlight w:val="lightGray"/>
              </w:rPr>
            </w:pPr>
            <w:r w:rsidRPr="00505285">
              <w:rPr>
                <w:rFonts w:eastAsia="Times New Roman" w:cs="Arial"/>
                <w:szCs w:val="20"/>
              </w:rPr>
              <w:t xml:space="preserve">The UL should aim to be protective of almost all individuals within the population. Maintaining the UL of 1,100 </w:t>
            </w:r>
            <w:r w:rsidRPr="00505285">
              <w:rPr>
                <w:rFonts w:eastAsia="Times New Roman" w:cs="Times New Roman"/>
                <w:szCs w:val="20"/>
              </w:rPr>
              <w:t xml:space="preserve">µg/day may expose some individuals to the health effects of iodine excess - notably subclinical hypothyroidism, overt hypo- or hyper- </w:t>
            </w:r>
            <w:proofErr w:type="spellStart"/>
            <w:r w:rsidRPr="00505285">
              <w:rPr>
                <w:rFonts w:eastAsia="Times New Roman" w:cs="Times New Roman"/>
                <w:szCs w:val="20"/>
              </w:rPr>
              <w:t>thyroidism</w:t>
            </w:r>
            <w:proofErr w:type="spellEnd"/>
            <w:r w:rsidRPr="00505285">
              <w:rPr>
                <w:rFonts w:eastAsia="Times New Roman" w:cs="Times New Roman"/>
                <w:szCs w:val="20"/>
              </w:rPr>
              <w:t>, and associated chronic diseases. Some groups may be at increased risk of experiencing adverse effects at lower levels of iodine intake, including migrants (who may have an increased risk of iodine deficiency) and women or older adults (increased risk of underlying thyroid abnormalities). These groups may bear an inequitable health burden associated with maintaining the UL at current levels.</w:t>
            </w:r>
          </w:p>
        </w:tc>
        <w:tc>
          <w:tcPr>
            <w:tcW w:w="6520" w:type="dxa"/>
          </w:tcPr>
          <w:p w14:paraId="7727915F" w14:textId="77777777" w:rsidR="00247C82" w:rsidRPr="00505285" w:rsidRDefault="00247C8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505285">
              <w:rPr>
                <w:rFonts w:eastAsia="Times New Roman" w:cs="Arial"/>
                <w:szCs w:val="20"/>
              </w:rPr>
              <w:t xml:space="preserve">The UL should aim to be protective of almost all individuals within the population. Reducing the UL to 600 </w:t>
            </w:r>
            <w:r w:rsidRPr="00505285">
              <w:rPr>
                <w:rFonts w:eastAsia="Times New Roman" w:cs="Times New Roman"/>
                <w:szCs w:val="20"/>
              </w:rPr>
              <w:t xml:space="preserve">µg/day ensures that a greater proportion of the population are protected, including individuals with underlying thyroid disorders, older adults and those with a previous history of iodine deficiency. </w:t>
            </w:r>
          </w:p>
          <w:p w14:paraId="4400E5BE" w14:textId="77777777" w:rsidR="00247C82" w:rsidRPr="00505285" w:rsidRDefault="00247C82">
            <w:pPr>
              <w:spacing w:before="120" w:after="0"/>
              <w:ind w:right="172"/>
              <w:cnfStyle w:val="000000100000" w:firstRow="0" w:lastRow="0" w:firstColumn="0" w:lastColumn="0" w:oddVBand="0" w:evenVBand="0" w:oddHBand="1" w:evenHBand="0" w:firstRowFirstColumn="0" w:firstRowLastColumn="0" w:lastRowFirstColumn="0" w:lastRowLastColumn="0"/>
              <w:rPr>
                <w:rFonts w:eastAsia="Times New Roman" w:cs="Arial"/>
                <w:i/>
                <w:iCs/>
                <w:szCs w:val="20"/>
              </w:rPr>
            </w:pPr>
            <w:r w:rsidRPr="00505285">
              <w:rPr>
                <w:rFonts w:eastAsia="Times New Roman" w:cs="Times New Roman"/>
                <w:szCs w:val="20"/>
              </w:rPr>
              <w:t xml:space="preserve">Previous iodine deficiency and underlying thyroid disease may increase a person’s sensitivity to iodine excess. These risk factors may be inequitably distributed among the population, affecting vulnerable groups including migrants - who may be at increased risk of iodine deficiency (Magri et. al. 2019) - and women in whom underlying thyroid abnormalities are more prevalent (Mammen and Cappola 2023, </w:t>
            </w:r>
            <w:r w:rsidRPr="00505285">
              <w:rPr>
                <w:rFonts w:eastAsia="Arial" w:cs="Arial"/>
                <w:szCs w:val="20"/>
              </w:rPr>
              <w:t>Miller et al 2016</w:t>
            </w:r>
            <w:r w:rsidRPr="00505285">
              <w:rPr>
                <w:rFonts w:eastAsia="Times New Roman" w:cs="Times New Roman"/>
                <w:szCs w:val="20"/>
              </w:rPr>
              <w:t>). It is important to ensure that the UL is established at a value that is protective of these population groups.</w:t>
            </w:r>
          </w:p>
        </w:tc>
      </w:tr>
      <w:tr w:rsidR="00247C82" w:rsidRPr="00505285" w14:paraId="69FAE926" w14:textId="77777777">
        <w:tc>
          <w:tcPr>
            <w:cnfStyle w:val="001000000000" w:firstRow="0" w:lastRow="0" w:firstColumn="1" w:lastColumn="0" w:oddVBand="0" w:evenVBand="0" w:oddHBand="0" w:evenHBand="0" w:firstRowFirstColumn="0" w:firstRowLastColumn="0" w:lastRowFirstColumn="0" w:lastRowLastColumn="0"/>
            <w:tcW w:w="2369" w:type="dxa"/>
            <w:tcBorders>
              <w:top w:val="single" w:sz="4" w:space="0" w:color="77BCD9"/>
              <w:left w:val="single" w:sz="4" w:space="0" w:color="77BCD9"/>
              <w:bottom w:val="single" w:sz="4" w:space="0" w:color="77BCD9"/>
              <w:right w:val="single" w:sz="4" w:space="0" w:color="77BCD9"/>
            </w:tcBorders>
          </w:tcPr>
          <w:p w14:paraId="0512FC19" w14:textId="77777777" w:rsidR="00247C82" w:rsidRPr="00505285" w:rsidRDefault="00247C82">
            <w:pPr>
              <w:rPr>
                <w:rFonts w:eastAsia="Arial" w:cs="Arial"/>
                <w:szCs w:val="20"/>
              </w:rPr>
            </w:pPr>
            <w:r w:rsidRPr="00505285">
              <w:rPr>
                <w:rFonts w:eastAsia="Arial" w:cs="Arial"/>
                <w:szCs w:val="20"/>
              </w:rPr>
              <w:t>Decision</w:t>
            </w:r>
          </w:p>
        </w:tc>
        <w:tc>
          <w:tcPr>
            <w:tcW w:w="12374" w:type="dxa"/>
            <w:gridSpan w:val="2"/>
            <w:tcBorders>
              <w:left w:val="single" w:sz="4" w:space="0" w:color="77BCD9"/>
            </w:tcBorders>
          </w:tcPr>
          <w:p w14:paraId="445DFD5C" w14:textId="77777777" w:rsidR="00247C82" w:rsidRPr="00505285" w:rsidRDefault="00247C8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b/>
                <w:bCs/>
                <w:szCs w:val="20"/>
              </w:rPr>
            </w:pPr>
            <w:r w:rsidRPr="00505285">
              <w:rPr>
                <w:rFonts w:eastAsia="Times New Roman" w:cs="Arial"/>
                <w:b/>
                <w:bCs/>
                <w:szCs w:val="20"/>
              </w:rPr>
              <w:t xml:space="preserve">Option 2 was selected as it provides protection for almost all individuals within the population - including the developing </w:t>
            </w:r>
            <w:proofErr w:type="spellStart"/>
            <w:r w:rsidRPr="00505285">
              <w:rPr>
                <w:rFonts w:eastAsia="Times New Roman" w:cs="Arial"/>
                <w:b/>
                <w:bCs/>
                <w:szCs w:val="20"/>
              </w:rPr>
              <w:t>fetus</w:t>
            </w:r>
            <w:proofErr w:type="spellEnd"/>
            <w:r w:rsidRPr="00505285">
              <w:rPr>
                <w:rFonts w:eastAsia="Times New Roman" w:cs="Arial"/>
                <w:b/>
                <w:bCs/>
                <w:szCs w:val="20"/>
              </w:rPr>
              <w:t xml:space="preserve"> - </w:t>
            </w:r>
            <w:r w:rsidRPr="00505285">
              <w:rPr>
                <w:rFonts w:eastAsia="Times New Roman" w:cs="Times New Roman"/>
                <w:b/>
                <w:bCs/>
                <w:szCs w:val="20"/>
              </w:rPr>
              <w:t>whilst allowing for a diverse range of intakes above the RDI within the Australian and New Zealand population</w:t>
            </w:r>
            <w:r w:rsidRPr="00505285">
              <w:rPr>
                <w:rFonts w:eastAsia="Times New Roman" w:cs="Arial"/>
                <w:b/>
                <w:bCs/>
                <w:szCs w:val="20"/>
              </w:rPr>
              <w:t xml:space="preserve">. </w:t>
            </w:r>
          </w:p>
          <w:p w14:paraId="64CD87B0" w14:textId="77777777" w:rsidR="00247C82" w:rsidRPr="00505285" w:rsidRDefault="00247C82">
            <w:pPr>
              <w:spacing w:before="120" w:after="0"/>
              <w:ind w:right="314"/>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0"/>
              </w:rPr>
            </w:pPr>
            <w:r w:rsidRPr="00505285">
              <w:rPr>
                <w:rFonts w:eastAsia="Times New Roman" w:cs="Arial"/>
                <w:b/>
                <w:bCs/>
                <w:szCs w:val="20"/>
              </w:rPr>
              <w:t xml:space="preserve">Despite almost halving the existing UL (1,100 </w:t>
            </w:r>
            <w:r w:rsidRPr="00505285">
              <w:rPr>
                <w:rFonts w:eastAsia="Times New Roman" w:cs="Times New Roman"/>
                <w:b/>
                <w:bCs/>
                <w:szCs w:val="20"/>
              </w:rPr>
              <w:t>µg/day)</w:t>
            </w:r>
            <w:r w:rsidRPr="00505285">
              <w:rPr>
                <w:rFonts w:eastAsia="Times New Roman" w:cs="Arial"/>
                <w:b/>
                <w:bCs/>
                <w:szCs w:val="20"/>
              </w:rPr>
              <w:t xml:space="preserve">, the proposed UL (600 </w:t>
            </w:r>
            <w:r w:rsidRPr="00505285">
              <w:rPr>
                <w:rFonts w:eastAsia="Times New Roman" w:cs="Times New Roman"/>
                <w:b/>
                <w:bCs/>
                <w:szCs w:val="20"/>
              </w:rPr>
              <w:t xml:space="preserve">µg/day) </w:t>
            </w:r>
            <w:r w:rsidRPr="00505285">
              <w:rPr>
                <w:rFonts w:eastAsia="Times New Roman" w:cs="Arial"/>
                <w:b/>
                <w:bCs/>
                <w:szCs w:val="20"/>
              </w:rPr>
              <w:t>remains significantly higher than the RDI of 270</w:t>
            </w:r>
            <w:r w:rsidRPr="00505285">
              <w:rPr>
                <w:rFonts w:eastAsia="Times New Roman" w:cs="Times New Roman"/>
                <w:b/>
                <w:bCs/>
                <w:szCs w:val="20"/>
              </w:rPr>
              <w:t xml:space="preserve">µg/day. Population data suggests that adult intakes in Australia and New Zealand do not approach the revised UL for most (95%+) of the population, reducing the risk that non-sensitive individuals with higher intakes may be classified as ‘exceeding the UL’ where there may be no significant risk of harm. </w:t>
            </w:r>
          </w:p>
          <w:p w14:paraId="3BDB5FE7" w14:textId="77777777" w:rsidR="00247C82" w:rsidRPr="00505285" w:rsidRDefault="00247C82">
            <w:pPr>
              <w:spacing w:before="120" w:after="0"/>
              <w:ind w:right="314"/>
              <w:cnfStyle w:val="000000000000" w:firstRow="0" w:lastRow="0" w:firstColumn="0" w:lastColumn="0" w:oddVBand="0" w:evenVBand="0" w:oddHBand="0" w:evenHBand="0" w:firstRowFirstColumn="0" w:firstRowLastColumn="0" w:lastRowFirstColumn="0" w:lastRowLastColumn="0"/>
              <w:rPr>
                <w:rFonts w:eastAsia="Times New Roman" w:cs="Arial"/>
                <w:i/>
                <w:iCs/>
                <w:szCs w:val="20"/>
              </w:rPr>
            </w:pPr>
            <w:r w:rsidRPr="00505285">
              <w:rPr>
                <w:rFonts w:eastAsia="Times New Roman" w:cs="Times New Roman"/>
                <w:b/>
                <w:bCs/>
                <w:szCs w:val="20"/>
              </w:rPr>
              <w:lastRenderedPageBreak/>
              <w:t xml:space="preserve">Mild iodine deficiency remains the overwhelming public health concern in lactating populations in Australia and New Zealand. Care must be taken to ensure that communication about the UL emphasises concerns about deficiency and reinforces public health messaging about the </w:t>
            </w:r>
            <w:r w:rsidRPr="00505285">
              <w:rPr>
                <w:rFonts w:eastAsia="Times New Roman" w:cs="Arial"/>
                <w:b/>
                <w:bCs/>
                <w:szCs w:val="20"/>
              </w:rPr>
              <w:t>need for supplementation during throughout lactation.</w:t>
            </w:r>
          </w:p>
        </w:tc>
      </w:tr>
    </w:tbl>
    <w:p w14:paraId="5621BEEB" w14:textId="77777777" w:rsidR="00247C82" w:rsidRPr="00247C82" w:rsidRDefault="00247C82" w:rsidP="00247C82"/>
    <w:p w14:paraId="020D1656" w14:textId="77777777" w:rsidR="00E8436E" w:rsidRDefault="00E8436E">
      <w:pPr>
        <w:spacing w:line="240" w:lineRule="atLeast"/>
        <w:rPr>
          <w:rFonts w:ascii="Gotham Medium" w:eastAsiaTheme="majorEastAsia" w:hAnsi="Gotham Medium" w:cstheme="majorBidi"/>
          <w:i/>
          <w:iCs/>
          <w:color w:val="09002E" w:themeColor="text2"/>
          <w:szCs w:val="20"/>
        </w:rPr>
      </w:pPr>
      <w:r>
        <w:br w:type="page"/>
      </w:r>
    </w:p>
    <w:p w14:paraId="6EA8AE1C" w14:textId="53265EBB" w:rsidR="00247C82" w:rsidRPr="00247C82" w:rsidRDefault="00247C82" w:rsidP="00247C82">
      <w:pPr>
        <w:pStyle w:val="Heading5"/>
      </w:pPr>
      <w:r w:rsidRPr="00247C82">
        <w:lastRenderedPageBreak/>
        <w:t>Children and adolescents</w:t>
      </w:r>
    </w:p>
    <w:tbl>
      <w:tblPr>
        <w:tblStyle w:val="DefaultTable11"/>
        <w:tblW w:w="5336" w:type="pct"/>
        <w:tblInd w:w="-431" w:type="dxa"/>
        <w:tblBorders>
          <w:top w:val="single" w:sz="4" w:space="0" w:color="4216FF"/>
          <w:left w:val="single" w:sz="4" w:space="0" w:color="4216FF"/>
          <w:bottom w:val="single" w:sz="4" w:space="0" w:color="4216FF"/>
          <w:right w:val="single" w:sz="4" w:space="0" w:color="4216FF"/>
          <w:insideH w:val="single" w:sz="4" w:space="0" w:color="4216FF"/>
          <w:insideV w:val="single" w:sz="4" w:space="0" w:color="4216FF"/>
        </w:tblBorders>
        <w:tblLayout w:type="fixed"/>
        <w:tblLook w:val="04A0" w:firstRow="1" w:lastRow="0" w:firstColumn="1" w:lastColumn="0" w:noHBand="0" w:noVBand="1"/>
      </w:tblPr>
      <w:tblGrid>
        <w:gridCol w:w="2375"/>
        <w:gridCol w:w="4997"/>
        <w:gridCol w:w="6981"/>
      </w:tblGrid>
      <w:tr w:rsidR="00247C82" w:rsidRPr="00505285" w14:paraId="4B6F1AB7" w14:textId="77777777" w:rsidTr="00247C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hideMark/>
          </w:tcPr>
          <w:p w14:paraId="6609CC95" w14:textId="77777777" w:rsidR="00247C82" w:rsidRPr="00505285" w:rsidRDefault="00247C82">
            <w:pPr>
              <w:rPr>
                <w:rFonts w:eastAsia="Times New Roman" w:cs="Arial"/>
                <w:szCs w:val="20"/>
              </w:rPr>
            </w:pPr>
            <w:r w:rsidRPr="00505285">
              <w:rPr>
                <w:rFonts w:eastAsia="Times New Roman" w:cs="Arial"/>
                <w:szCs w:val="20"/>
              </w:rPr>
              <w:t>Criterion</w:t>
            </w:r>
          </w:p>
        </w:tc>
        <w:tc>
          <w:tcPr>
            <w:tcW w:w="4997" w:type="dxa"/>
            <w:tcBorders>
              <w:top w:val="single" w:sz="4" w:space="0" w:color="77BCD9"/>
              <w:left w:val="single" w:sz="4" w:space="0" w:color="77BCD9"/>
              <w:bottom w:val="single" w:sz="4" w:space="0" w:color="77BCD9"/>
              <w:right w:val="single" w:sz="4" w:space="0" w:color="77BCD9"/>
            </w:tcBorders>
          </w:tcPr>
          <w:p w14:paraId="20FA5AC1" w14:textId="77777777" w:rsidR="00247C82" w:rsidRPr="00505285" w:rsidRDefault="00247C82">
            <w:pPr>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u w:val="single"/>
              </w:rPr>
              <w:t>OPTION 1</w:t>
            </w:r>
            <w:r w:rsidRPr="00505285">
              <w:rPr>
                <w:rFonts w:eastAsia="Times New Roman" w:cs="Arial"/>
                <w:szCs w:val="20"/>
              </w:rPr>
              <w:t>:</w:t>
            </w:r>
          </w:p>
          <w:p w14:paraId="3F7863CC" w14:textId="77777777" w:rsidR="00247C82" w:rsidRPr="00505285" w:rsidRDefault="00247C8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Maintain current UL recommendations </w:t>
            </w:r>
          </w:p>
          <w:p w14:paraId="0899601B" w14:textId="77777777" w:rsidR="00247C82" w:rsidRPr="00505285" w:rsidRDefault="00247C8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Adapt current UL to additional new age groupings</w:t>
            </w:r>
          </w:p>
        </w:tc>
        <w:tc>
          <w:tcPr>
            <w:tcW w:w="6981" w:type="dxa"/>
            <w:tcBorders>
              <w:top w:val="single" w:sz="4" w:space="0" w:color="77BCD9"/>
              <w:left w:val="single" w:sz="4" w:space="0" w:color="77BCD9"/>
              <w:bottom w:val="single" w:sz="4" w:space="0" w:color="77BCD9"/>
              <w:right w:val="single" w:sz="4" w:space="0" w:color="77BCD9"/>
            </w:tcBorders>
          </w:tcPr>
          <w:p w14:paraId="7F089ADC" w14:textId="77777777" w:rsidR="00247C82" w:rsidRPr="00505285" w:rsidRDefault="00247C82">
            <w:pPr>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u w:val="single"/>
              </w:rPr>
              <w:t>OPTION 2</w:t>
            </w:r>
            <w:r w:rsidRPr="00505285">
              <w:rPr>
                <w:rFonts w:eastAsia="Times New Roman" w:cs="Arial"/>
                <w:szCs w:val="20"/>
              </w:rPr>
              <w:t>:</w:t>
            </w:r>
          </w:p>
          <w:p w14:paraId="0829ECD3" w14:textId="77777777" w:rsidR="00247C82" w:rsidRPr="00505285" w:rsidRDefault="00247C82">
            <w:pPr>
              <w:contextualSpacing/>
              <w:cnfStyle w:val="100000000000" w:firstRow="1"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Reduce UL to reflect recent evidence suggestive of an increased risk of subclinical hypothyroidism at intakes below the current UL</w:t>
            </w:r>
          </w:p>
        </w:tc>
      </w:tr>
      <w:tr w:rsidR="00247C82" w:rsidRPr="00505285" w14:paraId="4F9E4CAB" w14:textId="77777777" w:rsidTr="00247C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tcPr>
          <w:p w14:paraId="0060C3F0" w14:textId="77777777" w:rsidR="00247C82" w:rsidRPr="00505285" w:rsidRDefault="00247C82">
            <w:pPr>
              <w:rPr>
                <w:rFonts w:eastAsia="Times New Roman" w:cs="Arial"/>
                <w:szCs w:val="20"/>
              </w:rPr>
            </w:pPr>
            <w:r w:rsidRPr="00505285">
              <w:rPr>
                <w:rFonts w:eastAsia="Times New Roman" w:cs="Arial"/>
                <w:szCs w:val="20"/>
              </w:rPr>
              <w:t>Example recommendation</w:t>
            </w:r>
          </w:p>
        </w:tc>
        <w:tc>
          <w:tcPr>
            <w:tcW w:w="4997" w:type="dxa"/>
            <w:tcBorders>
              <w:left w:val="single" w:sz="4" w:space="0" w:color="77BCD9"/>
            </w:tcBorders>
          </w:tcPr>
          <w:tbl>
            <w:tblPr>
              <w:tblStyle w:val="TableGrid3"/>
              <w:tblW w:w="4507" w:type="dxa"/>
              <w:tblInd w:w="0" w:type="dxa"/>
              <w:tblLook w:val="04A0" w:firstRow="1" w:lastRow="0" w:firstColumn="1" w:lastColumn="0" w:noHBand="0" w:noVBand="1"/>
            </w:tblPr>
            <w:tblGrid>
              <w:gridCol w:w="3190"/>
              <w:gridCol w:w="1317"/>
            </w:tblGrid>
            <w:tr w:rsidR="00247C82" w:rsidRPr="00505285" w14:paraId="423E1515" w14:textId="77777777" w:rsidTr="00C63D4E">
              <w:tc>
                <w:tcPr>
                  <w:tcW w:w="3190" w:type="dxa"/>
                </w:tcPr>
                <w:p w14:paraId="1B497F6B" w14:textId="77777777" w:rsidR="00247C82" w:rsidRPr="00505285" w:rsidRDefault="00247C82">
                  <w:pPr>
                    <w:spacing w:before="60" w:after="0"/>
                    <w:rPr>
                      <w:rFonts w:eastAsia="Times New Roman" w:cs="Arial"/>
                      <w:b/>
                      <w:bCs/>
                      <w:szCs w:val="20"/>
                    </w:rPr>
                  </w:pPr>
                  <w:r w:rsidRPr="00505285">
                    <w:rPr>
                      <w:rFonts w:eastAsia="Arial" w:cs="Arial"/>
                      <w:szCs w:val="20"/>
                      <w:u w:val="single"/>
                    </w:rPr>
                    <w:t>NRV age groupings:</w:t>
                  </w:r>
                </w:p>
              </w:tc>
              <w:tc>
                <w:tcPr>
                  <w:tcW w:w="1317" w:type="dxa"/>
                </w:tcPr>
                <w:p w14:paraId="6DA9EC4F" w14:textId="77777777" w:rsidR="00247C82" w:rsidRPr="00505285" w:rsidRDefault="00247C82">
                  <w:pPr>
                    <w:spacing w:before="60" w:after="0"/>
                    <w:jc w:val="center"/>
                    <w:rPr>
                      <w:rFonts w:eastAsia="Times New Roman" w:cs="Arial"/>
                      <w:b/>
                      <w:bCs/>
                      <w:szCs w:val="20"/>
                    </w:rPr>
                  </w:pPr>
                  <w:r w:rsidRPr="00505285">
                    <w:rPr>
                      <w:rFonts w:eastAsia="Times New Roman" w:cs="Arial"/>
                      <w:b/>
                      <w:bCs/>
                      <w:szCs w:val="20"/>
                    </w:rPr>
                    <w:t>UL</w:t>
                  </w:r>
                </w:p>
                <w:p w14:paraId="2ADB8305" w14:textId="77777777" w:rsidR="00247C82" w:rsidRPr="00505285" w:rsidRDefault="00247C82">
                  <w:pPr>
                    <w:spacing w:before="60" w:after="0"/>
                    <w:jc w:val="center"/>
                    <w:rPr>
                      <w:rFonts w:eastAsia="Times New Roman" w:cs="Arial"/>
                      <w:b/>
                      <w:bCs/>
                      <w:szCs w:val="20"/>
                    </w:rPr>
                  </w:pPr>
                  <w:r w:rsidRPr="00505285">
                    <w:rPr>
                      <w:rFonts w:eastAsia="Times New Roman" w:cs="Arial"/>
                      <w:b/>
                      <w:bCs/>
                      <w:szCs w:val="20"/>
                    </w:rPr>
                    <w:t>(</w:t>
                  </w:r>
                  <w:r w:rsidRPr="00505285">
                    <w:rPr>
                      <w:rFonts w:eastAsia="Times New Roman" w:cs="Arial"/>
                      <w:szCs w:val="20"/>
                    </w:rPr>
                    <w:t>µg/day)</w:t>
                  </w:r>
                </w:p>
              </w:tc>
            </w:tr>
            <w:tr w:rsidR="00247C82" w:rsidRPr="00505285" w14:paraId="742C2443" w14:textId="77777777" w:rsidTr="00C63D4E">
              <w:tc>
                <w:tcPr>
                  <w:tcW w:w="3190" w:type="dxa"/>
                </w:tcPr>
                <w:p w14:paraId="62BB9E4B" w14:textId="77777777" w:rsidR="00247C82" w:rsidRPr="00505285" w:rsidRDefault="00247C82">
                  <w:pPr>
                    <w:spacing w:before="60" w:after="0"/>
                    <w:rPr>
                      <w:rFonts w:eastAsia="Times New Roman" w:cs="Arial"/>
                      <w:szCs w:val="20"/>
                    </w:rPr>
                  </w:pPr>
                  <w:r w:rsidRPr="00505285">
                    <w:rPr>
                      <w:rFonts w:eastAsia="Times New Roman" w:cs="Arial"/>
                      <w:b/>
                      <w:bCs/>
                      <w:szCs w:val="20"/>
                    </w:rPr>
                    <w:t>All (males &amp; females)</w:t>
                  </w:r>
                </w:p>
              </w:tc>
              <w:tc>
                <w:tcPr>
                  <w:tcW w:w="1317" w:type="dxa"/>
                </w:tcPr>
                <w:p w14:paraId="52B49104" w14:textId="77777777" w:rsidR="00247C82" w:rsidRPr="00505285" w:rsidRDefault="00247C82">
                  <w:pPr>
                    <w:spacing w:before="60" w:after="0"/>
                    <w:jc w:val="center"/>
                    <w:rPr>
                      <w:rFonts w:eastAsia="Times New Roman" w:cs="Arial"/>
                      <w:szCs w:val="20"/>
                    </w:rPr>
                  </w:pPr>
                </w:p>
              </w:tc>
            </w:tr>
            <w:tr w:rsidR="00247C82" w:rsidRPr="00505285" w14:paraId="64E4EFAE" w14:textId="77777777" w:rsidTr="00C63D4E">
              <w:tc>
                <w:tcPr>
                  <w:tcW w:w="3190" w:type="dxa"/>
                  <w:tcMar>
                    <w:left w:w="170" w:type="dxa"/>
                  </w:tcMar>
                </w:tcPr>
                <w:p w14:paraId="5C780810" w14:textId="77777777" w:rsidR="00247C82" w:rsidRPr="00505285" w:rsidRDefault="00247C82">
                  <w:pPr>
                    <w:spacing w:before="60" w:after="0"/>
                    <w:rPr>
                      <w:rFonts w:eastAsia="Times New Roman" w:cs="Arial"/>
                      <w:b/>
                      <w:bCs/>
                      <w:szCs w:val="20"/>
                    </w:rPr>
                  </w:pPr>
                  <w:r w:rsidRPr="00505285">
                    <w:rPr>
                      <w:rFonts w:eastAsia="Times New Roman" w:cs="Arial"/>
                      <w:b/>
                      <w:bCs/>
                      <w:szCs w:val="20"/>
                    </w:rPr>
                    <w:t xml:space="preserve">1 to under 4 years </w:t>
                  </w:r>
                </w:p>
              </w:tc>
              <w:tc>
                <w:tcPr>
                  <w:tcW w:w="1317" w:type="dxa"/>
                </w:tcPr>
                <w:p w14:paraId="03DA330B" w14:textId="77777777" w:rsidR="00247C82" w:rsidRPr="00505285" w:rsidRDefault="00247C82">
                  <w:pPr>
                    <w:spacing w:before="60" w:after="0"/>
                    <w:jc w:val="center"/>
                    <w:rPr>
                      <w:rFonts w:eastAsia="Times New Roman" w:cs="Arial"/>
                      <w:szCs w:val="20"/>
                    </w:rPr>
                  </w:pPr>
                  <w:r w:rsidRPr="00505285">
                    <w:rPr>
                      <w:rFonts w:eastAsia="Times New Roman" w:cs="Arial"/>
                      <w:szCs w:val="20"/>
                    </w:rPr>
                    <w:t>200</w:t>
                  </w:r>
                </w:p>
              </w:tc>
            </w:tr>
            <w:tr w:rsidR="00247C82" w:rsidRPr="00505285" w14:paraId="6B42BF1F" w14:textId="77777777" w:rsidTr="00C63D4E">
              <w:tc>
                <w:tcPr>
                  <w:tcW w:w="3190" w:type="dxa"/>
                  <w:tcMar>
                    <w:left w:w="170" w:type="dxa"/>
                  </w:tcMar>
                </w:tcPr>
                <w:p w14:paraId="3DCBD960" w14:textId="77777777" w:rsidR="00247C82" w:rsidRPr="00505285" w:rsidRDefault="00247C82">
                  <w:pPr>
                    <w:spacing w:before="60" w:after="0"/>
                    <w:rPr>
                      <w:rFonts w:eastAsia="Times New Roman" w:cs="Arial"/>
                      <w:b/>
                      <w:bCs/>
                      <w:szCs w:val="20"/>
                    </w:rPr>
                  </w:pPr>
                  <w:r w:rsidRPr="00505285">
                    <w:rPr>
                      <w:rFonts w:eastAsia="Times New Roman" w:cs="Arial"/>
                      <w:b/>
                      <w:bCs/>
                      <w:szCs w:val="20"/>
                    </w:rPr>
                    <w:t>4 to under 9 years</w:t>
                  </w:r>
                </w:p>
              </w:tc>
              <w:tc>
                <w:tcPr>
                  <w:tcW w:w="1317" w:type="dxa"/>
                </w:tcPr>
                <w:p w14:paraId="505F18AF" w14:textId="77777777" w:rsidR="00247C82" w:rsidRPr="00505285" w:rsidRDefault="00247C82">
                  <w:pPr>
                    <w:spacing w:before="60" w:after="0"/>
                    <w:jc w:val="center"/>
                    <w:rPr>
                      <w:rFonts w:eastAsia="Times New Roman" w:cs="Arial"/>
                      <w:szCs w:val="20"/>
                    </w:rPr>
                  </w:pPr>
                  <w:r w:rsidRPr="00505285">
                    <w:rPr>
                      <w:rFonts w:eastAsia="Times New Roman" w:cs="Arial"/>
                      <w:szCs w:val="20"/>
                    </w:rPr>
                    <w:t>300</w:t>
                  </w:r>
                </w:p>
              </w:tc>
            </w:tr>
            <w:tr w:rsidR="00247C82" w:rsidRPr="00505285" w14:paraId="20E6633C" w14:textId="77777777" w:rsidTr="00C63D4E">
              <w:tc>
                <w:tcPr>
                  <w:tcW w:w="3190" w:type="dxa"/>
                  <w:tcMar>
                    <w:left w:w="170" w:type="dxa"/>
                  </w:tcMar>
                </w:tcPr>
                <w:p w14:paraId="7AAB0863" w14:textId="77777777" w:rsidR="00247C82" w:rsidRPr="00505285" w:rsidRDefault="00247C82">
                  <w:pPr>
                    <w:spacing w:before="60" w:after="0"/>
                    <w:rPr>
                      <w:rFonts w:eastAsia="Times New Roman" w:cs="Arial"/>
                      <w:b/>
                      <w:bCs/>
                      <w:szCs w:val="20"/>
                    </w:rPr>
                  </w:pPr>
                  <w:r w:rsidRPr="00505285">
                    <w:rPr>
                      <w:rFonts w:eastAsia="Times New Roman" w:cs="Arial"/>
                      <w:b/>
                      <w:bCs/>
                      <w:szCs w:val="20"/>
                    </w:rPr>
                    <w:t>9 to under 14 years</w:t>
                  </w:r>
                </w:p>
              </w:tc>
              <w:tc>
                <w:tcPr>
                  <w:tcW w:w="1317" w:type="dxa"/>
                </w:tcPr>
                <w:p w14:paraId="0E6DAF2F" w14:textId="77777777" w:rsidR="00247C82" w:rsidRPr="00505285" w:rsidRDefault="00247C82">
                  <w:pPr>
                    <w:spacing w:before="60" w:after="0"/>
                    <w:jc w:val="center"/>
                    <w:rPr>
                      <w:rFonts w:eastAsia="Times New Roman" w:cs="Arial"/>
                      <w:szCs w:val="20"/>
                    </w:rPr>
                  </w:pPr>
                  <w:r w:rsidRPr="00505285">
                    <w:rPr>
                      <w:rFonts w:eastAsia="Times New Roman" w:cs="Arial"/>
                      <w:szCs w:val="20"/>
                    </w:rPr>
                    <w:t>600</w:t>
                  </w:r>
                </w:p>
              </w:tc>
            </w:tr>
            <w:tr w:rsidR="00247C82" w:rsidRPr="00505285" w14:paraId="47F3EB35" w14:textId="77777777" w:rsidTr="00C63D4E">
              <w:tc>
                <w:tcPr>
                  <w:tcW w:w="3190" w:type="dxa"/>
                  <w:tcMar>
                    <w:left w:w="170" w:type="dxa"/>
                  </w:tcMar>
                </w:tcPr>
                <w:p w14:paraId="4179C160" w14:textId="77777777" w:rsidR="00247C82" w:rsidRPr="00505285" w:rsidRDefault="00247C82">
                  <w:pPr>
                    <w:spacing w:before="60" w:after="0"/>
                    <w:rPr>
                      <w:rFonts w:eastAsia="Times New Roman" w:cs="Arial"/>
                      <w:b/>
                      <w:bCs/>
                      <w:szCs w:val="20"/>
                    </w:rPr>
                  </w:pPr>
                  <w:r w:rsidRPr="00505285">
                    <w:rPr>
                      <w:rFonts w:eastAsia="Times New Roman" w:cs="Arial"/>
                      <w:b/>
                      <w:bCs/>
                      <w:szCs w:val="20"/>
                    </w:rPr>
                    <w:t>14 to under 18 years</w:t>
                  </w:r>
                </w:p>
              </w:tc>
              <w:tc>
                <w:tcPr>
                  <w:tcW w:w="1317" w:type="dxa"/>
                </w:tcPr>
                <w:p w14:paraId="76FC4BC6" w14:textId="77777777" w:rsidR="00247C82" w:rsidRPr="00505285" w:rsidRDefault="00247C82">
                  <w:pPr>
                    <w:spacing w:before="60" w:after="0"/>
                    <w:jc w:val="center"/>
                    <w:rPr>
                      <w:rFonts w:eastAsia="Times New Roman" w:cs="Arial"/>
                      <w:szCs w:val="20"/>
                    </w:rPr>
                  </w:pPr>
                  <w:r w:rsidRPr="00505285">
                    <w:rPr>
                      <w:rFonts w:eastAsia="Times New Roman" w:cs="Arial"/>
                      <w:szCs w:val="20"/>
                    </w:rPr>
                    <w:t>900</w:t>
                  </w:r>
                </w:p>
              </w:tc>
            </w:tr>
          </w:tbl>
          <w:p w14:paraId="739328E4" w14:textId="77777777" w:rsidR="00247C82" w:rsidRPr="00505285" w:rsidRDefault="00247C82">
            <w:pPr>
              <w:spacing w:after="0"/>
              <w:cnfStyle w:val="000000100000" w:firstRow="0" w:lastRow="0" w:firstColumn="0" w:lastColumn="0" w:oddVBand="0" w:evenVBand="0" w:oddHBand="1" w:evenHBand="0" w:firstRowFirstColumn="0" w:firstRowLastColumn="0" w:lastRowFirstColumn="0" w:lastRowLastColumn="0"/>
              <w:rPr>
                <w:rFonts w:eastAsia="Arial" w:cs="Arial"/>
                <w:szCs w:val="20"/>
                <w:u w:val="single"/>
              </w:rPr>
            </w:pPr>
          </w:p>
          <w:p w14:paraId="6F94AE75" w14:textId="77777777" w:rsidR="00247C82" w:rsidRPr="00505285" w:rsidRDefault="00247C82">
            <w:pPr>
              <w:spacing w:after="0"/>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u w:val="single"/>
              </w:rPr>
              <w:t>Age groupings by school-age:</w:t>
            </w:r>
          </w:p>
          <w:tbl>
            <w:tblPr>
              <w:tblStyle w:val="TableGrid3"/>
              <w:tblW w:w="4539" w:type="dxa"/>
              <w:tblInd w:w="0" w:type="dxa"/>
              <w:tblLook w:val="06A0" w:firstRow="1" w:lastRow="0" w:firstColumn="1" w:lastColumn="0" w:noHBand="1" w:noVBand="1"/>
            </w:tblPr>
            <w:tblGrid>
              <w:gridCol w:w="2806"/>
              <w:gridCol w:w="1733"/>
            </w:tblGrid>
            <w:tr w:rsidR="00505285" w:rsidRPr="00505285" w14:paraId="66AEC462" w14:textId="77777777" w:rsidTr="00505285">
              <w:tc>
                <w:tcPr>
                  <w:tcW w:w="2806" w:type="dxa"/>
                </w:tcPr>
                <w:p w14:paraId="71916DFD" w14:textId="33638D9D" w:rsidR="00505285" w:rsidRPr="00505285" w:rsidRDefault="00505285" w:rsidP="00505285">
                  <w:pPr>
                    <w:rPr>
                      <w:b/>
                      <w:bCs/>
                      <w:szCs w:val="20"/>
                    </w:rPr>
                  </w:pPr>
                  <w:r w:rsidRPr="00505285">
                    <w:rPr>
                      <w:b/>
                      <w:bCs/>
                      <w:szCs w:val="20"/>
                    </w:rPr>
                    <w:t>All (males &amp; females)</w:t>
                  </w:r>
                </w:p>
              </w:tc>
              <w:tc>
                <w:tcPr>
                  <w:tcW w:w="1733" w:type="dxa"/>
                </w:tcPr>
                <w:p w14:paraId="2222E3CC" w14:textId="77777777" w:rsidR="00505285" w:rsidRPr="00505285" w:rsidRDefault="00505285" w:rsidP="00505285">
                  <w:pPr>
                    <w:spacing w:before="60" w:after="0"/>
                    <w:jc w:val="center"/>
                    <w:rPr>
                      <w:rFonts w:eastAsia="Times New Roman" w:cs="Arial"/>
                      <w:b/>
                      <w:bCs/>
                      <w:szCs w:val="20"/>
                    </w:rPr>
                  </w:pPr>
                  <w:r w:rsidRPr="00505285">
                    <w:rPr>
                      <w:rFonts w:eastAsia="Times New Roman" w:cs="Arial"/>
                      <w:b/>
                      <w:bCs/>
                      <w:szCs w:val="20"/>
                    </w:rPr>
                    <w:t>UL</w:t>
                  </w:r>
                </w:p>
                <w:p w14:paraId="73358150" w14:textId="2F89D084" w:rsidR="00505285" w:rsidRPr="00505285" w:rsidRDefault="00505285" w:rsidP="00505285">
                  <w:pPr>
                    <w:spacing w:before="60" w:after="0"/>
                    <w:jc w:val="center"/>
                    <w:rPr>
                      <w:rFonts w:eastAsia="Times New Roman" w:cs="Arial"/>
                      <w:szCs w:val="20"/>
                    </w:rPr>
                  </w:pPr>
                  <w:r w:rsidRPr="00505285">
                    <w:rPr>
                      <w:rFonts w:eastAsia="Times New Roman" w:cs="Arial"/>
                      <w:b/>
                      <w:bCs/>
                      <w:szCs w:val="20"/>
                    </w:rPr>
                    <w:t>(</w:t>
                  </w:r>
                  <w:r w:rsidRPr="00505285">
                    <w:rPr>
                      <w:rFonts w:eastAsia="Times New Roman" w:cs="Arial"/>
                      <w:szCs w:val="20"/>
                    </w:rPr>
                    <w:t>µg/day)</w:t>
                  </w:r>
                </w:p>
              </w:tc>
            </w:tr>
            <w:tr w:rsidR="00505285" w:rsidRPr="00505285" w14:paraId="0A7774CB" w14:textId="77777777" w:rsidTr="00C63D4E">
              <w:tc>
                <w:tcPr>
                  <w:tcW w:w="2806" w:type="dxa"/>
                  <w:tcMar>
                    <w:left w:w="170" w:type="dxa"/>
                  </w:tcMar>
                </w:tcPr>
                <w:p w14:paraId="097297CA" w14:textId="77777777" w:rsidR="00505285" w:rsidRPr="00505285" w:rsidRDefault="00505285">
                  <w:pPr>
                    <w:spacing w:before="60" w:after="0"/>
                    <w:rPr>
                      <w:rFonts w:eastAsia="Times New Roman" w:cs="Arial"/>
                      <w:b/>
                      <w:bCs/>
                      <w:szCs w:val="20"/>
                    </w:rPr>
                  </w:pPr>
                  <w:r w:rsidRPr="00505285">
                    <w:rPr>
                      <w:rFonts w:eastAsia="Times New Roman" w:cs="Arial"/>
                      <w:b/>
                      <w:bCs/>
                      <w:szCs w:val="20"/>
                    </w:rPr>
                    <w:t xml:space="preserve">12 to under 24 months </w:t>
                  </w:r>
                </w:p>
              </w:tc>
              <w:tc>
                <w:tcPr>
                  <w:tcW w:w="1733" w:type="dxa"/>
                </w:tcPr>
                <w:p w14:paraId="0C35E3F9" w14:textId="77777777" w:rsidR="00505285" w:rsidRPr="00505285" w:rsidRDefault="00505285">
                  <w:pPr>
                    <w:spacing w:before="60" w:after="0"/>
                    <w:jc w:val="center"/>
                    <w:rPr>
                      <w:rFonts w:eastAsia="Times New Roman" w:cs="Arial"/>
                      <w:szCs w:val="20"/>
                    </w:rPr>
                  </w:pPr>
                  <w:r w:rsidRPr="00505285">
                    <w:rPr>
                      <w:rFonts w:eastAsia="Times New Roman" w:cs="Arial"/>
                      <w:szCs w:val="20"/>
                    </w:rPr>
                    <w:t>200</w:t>
                  </w:r>
                </w:p>
              </w:tc>
            </w:tr>
            <w:tr w:rsidR="00505285" w:rsidRPr="00505285" w14:paraId="5C30D88F" w14:textId="77777777" w:rsidTr="00C63D4E">
              <w:tc>
                <w:tcPr>
                  <w:tcW w:w="2806" w:type="dxa"/>
                  <w:tcMar>
                    <w:left w:w="170" w:type="dxa"/>
                  </w:tcMar>
                </w:tcPr>
                <w:p w14:paraId="54299A7E" w14:textId="77777777" w:rsidR="00505285" w:rsidRPr="00505285" w:rsidRDefault="00505285">
                  <w:pPr>
                    <w:spacing w:before="60" w:after="0"/>
                    <w:rPr>
                      <w:rFonts w:eastAsia="Times New Roman" w:cs="Arial"/>
                      <w:b/>
                      <w:bCs/>
                      <w:szCs w:val="20"/>
                    </w:rPr>
                  </w:pPr>
                  <w:r w:rsidRPr="00505285">
                    <w:rPr>
                      <w:rFonts w:eastAsia="Times New Roman" w:cs="Arial"/>
                      <w:b/>
                      <w:bCs/>
                      <w:szCs w:val="20"/>
                    </w:rPr>
                    <w:t>2 to under 5 years</w:t>
                  </w:r>
                </w:p>
              </w:tc>
              <w:tc>
                <w:tcPr>
                  <w:tcW w:w="1733" w:type="dxa"/>
                </w:tcPr>
                <w:p w14:paraId="5B18A9A4" w14:textId="77777777" w:rsidR="00505285" w:rsidRPr="00505285" w:rsidRDefault="00505285">
                  <w:pPr>
                    <w:spacing w:before="60" w:after="0"/>
                    <w:jc w:val="center"/>
                    <w:rPr>
                      <w:rFonts w:eastAsia="Times New Roman" w:cs="Arial"/>
                      <w:szCs w:val="20"/>
                    </w:rPr>
                  </w:pPr>
                  <w:r w:rsidRPr="00505285">
                    <w:rPr>
                      <w:rFonts w:eastAsia="Times New Roman" w:cs="Arial"/>
                      <w:szCs w:val="20"/>
                    </w:rPr>
                    <w:t>250</w:t>
                  </w:r>
                </w:p>
              </w:tc>
            </w:tr>
            <w:tr w:rsidR="00505285" w:rsidRPr="00505285" w14:paraId="333E2150" w14:textId="77777777" w:rsidTr="00C63D4E">
              <w:tc>
                <w:tcPr>
                  <w:tcW w:w="2806" w:type="dxa"/>
                  <w:tcMar>
                    <w:left w:w="170" w:type="dxa"/>
                  </w:tcMar>
                </w:tcPr>
                <w:p w14:paraId="2AE5ACEC" w14:textId="77777777" w:rsidR="00505285" w:rsidRPr="00505285" w:rsidRDefault="00505285">
                  <w:pPr>
                    <w:spacing w:before="60" w:after="0"/>
                    <w:rPr>
                      <w:rFonts w:eastAsia="Times New Roman" w:cs="Arial"/>
                      <w:b/>
                      <w:bCs/>
                      <w:szCs w:val="20"/>
                    </w:rPr>
                  </w:pPr>
                  <w:r w:rsidRPr="00505285">
                    <w:rPr>
                      <w:rFonts w:eastAsia="Times New Roman" w:cs="Arial"/>
                      <w:b/>
                      <w:bCs/>
                      <w:szCs w:val="20"/>
                    </w:rPr>
                    <w:t>5 to under 12 years</w:t>
                  </w:r>
                </w:p>
              </w:tc>
              <w:tc>
                <w:tcPr>
                  <w:tcW w:w="1733" w:type="dxa"/>
                </w:tcPr>
                <w:p w14:paraId="4827A051" w14:textId="77777777" w:rsidR="00505285" w:rsidRPr="00505285" w:rsidRDefault="00505285">
                  <w:pPr>
                    <w:spacing w:before="60" w:after="0"/>
                    <w:jc w:val="center"/>
                    <w:rPr>
                      <w:rFonts w:eastAsia="Times New Roman" w:cs="Arial"/>
                      <w:szCs w:val="20"/>
                    </w:rPr>
                  </w:pPr>
                  <w:r w:rsidRPr="00505285">
                    <w:rPr>
                      <w:rFonts w:eastAsia="Times New Roman" w:cs="Arial"/>
                      <w:szCs w:val="20"/>
                    </w:rPr>
                    <w:t>450</w:t>
                  </w:r>
                </w:p>
              </w:tc>
            </w:tr>
            <w:tr w:rsidR="00505285" w:rsidRPr="00505285" w14:paraId="0440DD04" w14:textId="77777777" w:rsidTr="00C63D4E">
              <w:tc>
                <w:tcPr>
                  <w:tcW w:w="2806" w:type="dxa"/>
                  <w:tcMar>
                    <w:left w:w="170" w:type="dxa"/>
                  </w:tcMar>
                </w:tcPr>
                <w:p w14:paraId="59CB115C" w14:textId="77777777" w:rsidR="00505285" w:rsidRPr="00505285" w:rsidRDefault="00505285">
                  <w:pPr>
                    <w:spacing w:before="60" w:after="0"/>
                    <w:rPr>
                      <w:rFonts w:eastAsia="Times New Roman" w:cs="Arial"/>
                      <w:b/>
                      <w:bCs/>
                      <w:szCs w:val="20"/>
                    </w:rPr>
                  </w:pPr>
                  <w:r w:rsidRPr="00505285">
                    <w:rPr>
                      <w:rFonts w:eastAsia="Times New Roman" w:cs="Arial"/>
                      <w:b/>
                      <w:bCs/>
                      <w:szCs w:val="20"/>
                    </w:rPr>
                    <w:t>12 to under 18 years</w:t>
                  </w:r>
                </w:p>
              </w:tc>
              <w:tc>
                <w:tcPr>
                  <w:tcW w:w="1733" w:type="dxa"/>
                </w:tcPr>
                <w:p w14:paraId="5E65D8F3" w14:textId="77777777" w:rsidR="00505285" w:rsidRPr="00505285" w:rsidRDefault="00505285">
                  <w:pPr>
                    <w:spacing w:before="60" w:after="0"/>
                    <w:jc w:val="center"/>
                    <w:rPr>
                      <w:rFonts w:eastAsia="Times New Roman" w:cs="Arial"/>
                      <w:szCs w:val="20"/>
                    </w:rPr>
                  </w:pPr>
                  <w:r w:rsidRPr="00505285">
                    <w:rPr>
                      <w:rFonts w:eastAsia="Times New Roman" w:cs="Arial"/>
                      <w:szCs w:val="20"/>
                    </w:rPr>
                    <w:t>800</w:t>
                  </w:r>
                </w:p>
              </w:tc>
            </w:tr>
          </w:tbl>
          <w:p w14:paraId="476B83CC" w14:textId="77777777" w:rsidR="00247C82" w:rsidRPr="00505285" w:rsidRDefault="00247C82">
            <w:pPr>
              <w:spacing w:after="0"/>
              <w:cnfStyle w:val="000000100000" w:firstRow="0" w:lastRow="0" w:firstColumn="0" w:lastColumn="0" w:oddVBand="0" w:evenVBand="0" w:oddHBand="1" w:evenHBand="0" w:firstRowFirstColumn="0" w:firstRowLastColumn="0" w:lastRowFirstColumn="0" w:lastRowLastColumn="0"/>
              <w:rPr>
                <w:rFonts w:eastAsia="Times New Roman" w:cs="Arial"/>
                <w:b/>
                <w:bCs/>
                <w:i/>
                <w:iCs/>
                <w:szCs w:val="20"/>
              </w:rPr>
            </w:pPr>
          </w:p>
        </w:tc>
        <w:tc>
          <w:tcPr>
            <w:tcW w:w="6981" w:type="dxa"/>
          </w:tcPr>
          <w:tbl>
            <w:tblPr>
              <w:tblStyle w:val="TableGrid3"/>
              <w:tblW w:w="4185" w:type="dxa"/>
              <w:tblInd w:w="0" w:type="dxa"/>
              <w:tblLook w:val="04A0" w:firstRow="1" w:lastRow="0" w:firstColumn="1" w:lastColumn="0" w:noHBand="0" w:noVBand="1"/>
            </w:tblPr>
            <w:tblGrid>
              <w:gridCol w:w="2868"/>
              <w:gridCol w:w="1317"/>
            </w:tblGrid>
            <w:tr w:rsidR="00247C82" w:rsidRPr="00505285" w14:paraId="7930F7B5" w14:textId="77777777" w:rsidTr="00BC66DF">
              <w:trPr>
                <w:trHeight w:val="738"/>
              </w:trPr>
              <w:tc>
                <w:tcPr>
                  <w:tcW w:w="2868" w:type="dxa"/>
                </w:tcPr>
                <w:p w14:paraId="02ABFC6F" w14:textId="77777777" w:rsidR="00247C82" w:rsidRPr="00505285" w:rsidRDefault="00247C82">
                  <w:pPr>
                    <w:spacing w:before="60" w:after="0"/>
                    <w:rPr>
                      <w:rFonts w:eastAsia="Times New Roman" w:cs="Arial"/>
                      <w:b/>
                      <w:bCs/>
                      <w:szCs w:val="20"/>
                    </w:rPr>
                  </w:pPr>
                  <w:r w:rsidRPr="00505285">
                    <w:rPr>
                      <w:rFonts w:eastAsia="Arial" w:cs="Arial"/>
                      <w:szCs w:val="20"/>
                      <w:u w:val="single"/>
                    </w:rPr>
                    <w:t>NRV age groupings:</w:t>
                  </w:r>
                </w:p>
              </w:tc>
              <w:tc>
                <w:tcPr>
                  <w:tcW w:w="1317" w:type="dxa"/>
                </w:tcPr>
                <w:p w14:paraId="1AFFE134" w14:textId="77777777" w:rsidR="00247C82" w:rsidRPr="00505285" w:rsidRDefault="00247C82">
                  <w:pPr>
                    <w:spacing w:before="60" w:after="0"/>
                    <w:jc w:val="center"/>
                    <w:rPr>
                      <w:rFonts w:eastAsia="Times New Roman" w:cs="Arial"/>
                      <w:b/>
                      <w:bCs/>
                      <w:szCs w:val="20"/>
                    </w:rPr>
                  </w:pPr>
                  <w:r w:rsidRPr="00505285">
                    <w:rPr>
                      <w:rFonts w:eastAsia="Times New Roman" w:cs="Arial"/>
                      <w:b/>
                      <w:bCs/>
                      <w:szCs w:val="20"/>
                    </w:rPr>
                    <w:t>UL</w:t>
                  </w:r>
                </w:p>
                <w:p w14:paraId="656F482E" w14:textId="77777777" w:rsidR="00247C82" w:rsidRPr="00505285" w:rsidRDefault="00247C82">
                  <w:pPr>
                    <w:spacing w:before="60" w:after="0"/>
                    <w:jc w:val="center"/>
                    <w:rPr>
                      <w:rFonts w:eastAsia="Times New Roman" w:cs="Arial"/>
                      <w:b/>
                      <w:bCs/>
                      <w:szCs w:val="20"/>
                    </w:rPr>
                  </w:pPr>
                  <w:r w:rsidRPr="00505285">
                    <w:rPr>
                      <w:rFonts w:eastAsia="Times New Roman" w:cs="Arial"/>
                      <w:b/>
                      <w:bCs/>
                      <w:szCs w:val="20"/>
                    </w:rPr>
                    <w:t>(</w:t>
                  </w:r>
                  <w:r w:rsidRPr="00505285">
                    <w:rPr>
                      <w:rFonts w:eastAsia="Times New Roman" w:cs="Arial"/>
                      <w:szCs w:val="20"/>
                    </w:rPr>
                    <w:t>µg/day)</w:t>
                  </w:r>
                </w:p>
              </w:tc>
            </w:tr>
            <w:tr w:rsidR="00247C82" w:rsidRPr="00505285" w14:paraId="7DBD82A8" w14:textId="77777777" w:rsidTr="00BC66DF">
              <w:tc>
                <w:tcPr>
                  <w:tcW w:w="2868" w:type="dxa"/>
                </w:tcPr>
                <w:p w14:paraId="669BC347" w14:textId="77777777" w:rsidR="00247C82" w:rsidRPr="00505285" w:rsidRDefault="00247C82">
                  <w:pPr>
                    <w:spacing w:before="60" w:after="0"/>
                    <w:rPr>
                      <w:rFonts w:eastAsia="Times New Roman" w:cs="Arial"/>
                      <w:b/>
                      <w:bCs/>
                      <w:szCs w:val="20"/>
                    </w:rPr>
                  </w:pPr>
                  <w:r w:rsidRPr="00505285">
                    <w:rPr>
                      <w:rFonts w:eastAsia="Times New Roman" w:cs="Arial"/>
                      <w:b/>
                      <w:bCs/>
                      <w:szCs w:val="20"/>
                    </w:rPr>
                    <w:t>All (males &amp; females)</w:t>
                  </w:r>
                </w:p>
              </w:tc>
              <w:tc>
                <w:tcPr>
                  <w:tcW w:w="1317" w:type="dxa"/>
                </w:tcPr>
                <w:p w14:paraId="009F639F" w14:textId="77777777" w:rsidR="00247C82" w:rsidRPr="00505285" w:rsidRDefault="00247C82">
                  <w:pPr>
                    <w:spacing w:before="60" w:after="0"/>
                    <w:jc w:val="center"/>
                    <w:rPr>
                      <w:rFonts w:eastAsia="Times New Roman" w:cs="Arial"/>
                      <w:szCs w:val="20"/>
                    </w:rPr>
                  </w:pPr>
                </w:p>
              </w:tc>
            </w:tr>
            <w:tr w:rsidR="00247C82" w:rsidRPr="00505285" w14:paraId="021B62B7" w14:textId="77777777" w:rsidTr="00C63D4E">
              <w:tc>
                <w:tcPr>
                  <w:tcW w:w="2868" w:type="dxa"/>
                  <w:tcMar>
                    <w:left w:w="170" w:type="dxa"/>
                  </w:tcMar>
                </w:tcPr>
                <w:p w14:paraId="6A4A5433" w14:textId="77777777" w:rsidR="00247C82" w:rsidRPr="00505285" w:rsidRDefault="00247C82">
                  <w:pPr>
                    <w:spacing w:before="60" w:after="0"/>
                    <w:rPr>
                      <w:rFonts w:eastAsia="Times New Roman" w:cs="Arial"/>
                      <w:b/>
                      <w:bCs/>
                      <w:szCs w:val="20"/>
                    </w:rPr>
                  </w:pPr>
                  <w:r w:rsidRPr="00505285">
                    <w:rPr>
                      <w:rFonts w:eastAsia="Times New Roman" w:cs="Arial"/>
                      <w:b/>
                      <w:bCs/>
                      <w:szCs w:val="20"/>
                    </w:rPr>
                    <w:t>1 to under 4 years</w:t>
                  </w:r>
                </w:p>
              </w:tc>
              <w:tc>
                <w:tcPr>
                  <w:tcW w:w="1317" w:type="dxa"/>
                </w:tcPr>
                <w:p w14:paraId="408D26EF" w14:textId="77777777" w:rsidR="00247C82" w:rsidRPr="00505285" w:rsidRDefault="00247C82">
                  <w:pPr>
                    <w:spacing w:before="60" w:after="0"/>
                    <w:jc w:val="center"/>
                    <w:rPr>
                      <w:rFonts w:eastAsia="Times New Roman" w:cs="Arial"/>
                      <w:szCs w:val="20"/>
                    </w:rPr>
                  </w:pPr>
                  <w:r w:rsidRPr="00505285">
                    <w:rPr>
                      <w:rFonts w:eastAsia="Times New Roman" w:cs="Arial"/>
                      <w:szCs w:val="20"/>
                    </w:rPr>
                    <w:t>200</w:t>
                  </w:r>
                </w:p>
              </w:tc>
            </w:tr>
            <w:tr w:rsidR="00247C82" w:rsidRPr="00505285" w14:paraId="7CC1B296" w14:textId="77777777" w:rsidTr="00C63D4E">
              <w:tc>
                <w:tcPr>
                  <w:tcW w:w="2868" w:type="dxa"/>
                  <w:tcMar>
                    <w:left w:w="170" w:type="dxa"/>
                  </w:tcMar>
                </w:tcPr>
                <w:p w14:paraId="6FA6A952" w14:textId="77777777" w:rsidR="00247C82" w:rsidRPr="00505285" w:rsidRDefault="00247C82">
                  <w:pPr>
                    <w:spacing w:before="60" w:after="0"/>
                    <w:rPr>
                      <w:rFonts w:eastAsia="Times New Roman" w:cs="Arial"/>
                      <w:b/>
                      <w:bCs/>
                      <w:szCs w:val="20"/>
                    </w:rPr>
                  </w:pPr>
                  <w:r w:rsidRPr="00505285">
                    <w:rPr>
                      <w:rFonts w:eastAsia="Times New Roman" w:cs="Arial"/>
                      <w:b/>
                      <w:bCs/>
                      <w:szCs w:val="20"/>
                    </w:rPr>
                    <w:t>4 to under 9 years</w:t>
                  </w:r>
                </w:p>
              </w:tc>
              <w:tc>
                <w:tcPr>
                  <w:tcW w:w="1317" w:type="dxa"/>
                </w:tcPr>
                <w:p w14:paraId="67BA9A63" w14:textId="77777777" w:rsidR="00247C82" w:rsidRPr="00505285" w:rsidRDefault="00247C82">
                  <w:pPr>
                    <w:spacing w:before="60" w:after="0"/>
                    <w:jc w:val="center"/>
                    <w:rPr>
                      <w:rFonts w:eastAsia="Times New Roman" w:cs="Arial"/>
                      <w:szCs w:val="20"/>
                    </w:rPr>
                  </w:pPr>
                  <w:r w:rsidRPr="00505285">
                    <w:rPr>
                      <w:rFonts w:eastAsia="Times New Roman" w:cs="Arial"/>
                      <w:szCs w:val="20"/>
                    </w:rPr>
                    <w:t>300</w:t>
                  </w:r>
                </w:p>
              </w:tc>
            </w:tr>
            <w:tr w:rsidR="00247C82" w:rsidRPr="00505285" w14:paraId="73F441C8" w14:textId="77777777" w:rsidTr="00C63D4E">
              <w:tc>
                <w:tcPr>
                  <w:tcW w:w="2868" w:type="dxa"/>
                  <w:tcMar>
                    <w:left w:w="170" w:type="dxa"/>
                  </w:tcMar>
                </w:tcPr>
                <w:p w14:paraId="2DED108A" w14:textId="77777777" w:rsidR="00247C82" w:rsidRPr="00505285" w:rsidRDefault="00247C82">
                  <w:pPr>
                    <w:spacing w:before="60" w:after="0"/>
                    <w:rPr>
                      <w:rFonts w:eastAsia="Times New Roman" w:cs="Arial"/>
                      <w:b/>
                      <w:bCs/>
                      <w:szCs w:val="20"/>
                    </w:rPr>
                  </w:pPr>
                  <w:r w:rsidRPr="00505285">
                    <w:rPr>
                      <w:rFonts w:eastAsia="Times New Roman" w:cs="Arial"/>
                      <w:b/>
                      <w:bCs/>
                      <w:szCs w:val="20"/>
                    </w:rPr>
                    <w:t>9 to under 14 years</w:t>
                  </w:r>
                </w:p>
              </w:tc>
              <w:tc>
                <w:tcPr>
                  <w:tcW w:w="1317" w:type="dxa"/>
                </w:tcPr>
                <w:p w14:paraId="7AA05545" w14:textId="77777777" w:rsidR="00247C82" w:rsidRPr="00505285" w:rsidRDefault="00247C82">
                  <w:pPr>
                    <w:spacing w:before="60" w:after="0"/>
                    <w:jc w:val="center"/>
                    <w:rPr>
                      <w:rFonts w:eastAsia="Times New Roman" w:cs="Arial"/>
                      <w:szCs w:val="20"/>
                    </w:rPr>
                  </w:pPr>
                  <w:r w:rsidRPr="00505285">
                    <w:rPr>
                      <w:rFonts w:eastAsia="Times New Roman" w:cs="Arial"/>
                      <w:szCs w:val="20"/>
                    </w:rPr>
                    <w:t>450</w:t>
                  </w:r>
                </w:p>
              </w:tc>
            </w:tr>
            <w:tr w:rsidR="00247C82" w:rsidRPr="00505285" w14:paraId="0232BA6E" w14:textId="77777777" w:rsidTr="00C63D4E">
              <w:tc>
                <w:tcPr>
                  <w:tcW w:w="2868" w:type="dxa"/>
                  <w:tcMar>
                    <w:left w:w="170" w:type="dxa"/>
                  </w:tcMar>
                </w:tcPr>
                <w:p w14:paraId="7C8C9076" w14:textId="77777777" w:rsidR="00247C82" w:rsidRPr="00505285" w:rsidRDefault="00247C82">
                  <w:pPr>
                    <w:spacing w:before="60" w:after="0"/>
                    <w:rPr>
                      <w:rFonts w:eastAsia="Times New Roman" w:cs="Arial"/>
                      <w:b/>
                      <w:bCs/>
                      <w:szCs w:val="20"/>
                    </w:rPr>
                  </w:pPr>
                  <w:r w:rsidRPr="00505285">
                    <w:rPr>
                      <w:rFonts w:eastAsia="Times New Roman" w:cs="Arial"/>
                      <w:b/>
                      <w:bCs/>
                      <w:szCs w:val="20"/>
                    </w:rPr>
                    <w:t>14 to under 18 years</w:t>
                  </w:r>
                </w:p>
              </w:tc>
              <w:tc>
                <w:tcPr>
                  <w:tcW w:w="1317" w:type="dxa"/>
                </w:tcPr>
                <w:p w14:paraId="378EF3FB" w14:textId="77777777" w:rsidR="00247C82" w:rsidRPr="00505285" w:rsidRDefault="00247C82">
                  <w:pPr>
                    <w:spacing w:before="60" w:after="0"/>
                    <w:jc w:val="center"/>
                    <w:rPr>
                      <w:rFonts w:eastAsia="Times New Roman" w:cs="Arial"/>
                      <w:szCs w:val="20"/>
                    </w:rPr>
                  </w:pPr>
                  <w:r w:rsidRPr="00505285">
                    <w:rPr>
                      <w:rFonts w:eastAsia="Times New Roman" w:cs="Arial"/>
                      <w:szCs w:val="20"/>
                    </w:rPr>
                    <w:t>550</w:t>
                  </w:r>
                </w:p>
              </w:tc>
            </w:tr>
          </w:tbl>
          <w:p w14:paraId="6F26C40E" w14:textId="77777777" w:rsidR="00247C82" w:rsidRPr="00505285" w:rsidRDefault="00247C82">
            <w:pPr>
              <w:spacing w:after="0"/>
              <w:cnfStyle w:val="000000100000" w:firstRow="0" w:lastRow="0" w:firstColumn="0" w:lastColumn="0" w:oddVBand="0" w:evenVBand="0" w:oddHBand="1" w:evenHBand="0" w:firstRowFirstColumn="0" w:firstRowLastColumn="0" w:lastRowFirstColumn="0" w:lastRowLastColumn="0"/>
              <w:rPr>
                <w:rFonts w:eastAsia="Arial" w:cs="Arial"/>
                <w:szCs w:val="20"/>
                <w:u w:val="single"/>
              </w:rPr>
            </w:pPr>
          </w:p>
          <w:p w14:paraId="3D3C52D6" w14:textId="77777777" w:rsidR="00247C82" w:rsidRPr="00505285" w:rsidRDefault="00247C82">
            <w:pPr>
              <w:spacing w:after="0"/>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u w:val="single"/>
              </w:rPr>
              <w:t>Age groupings by school-age:</w:t>
            </w:r>
          </w:p>
          <w:tbl>
            <w:tblPr>
              <w:tblStyle w:val="TableGrid3"/>
              <w:tblW w:w="0" w:type="auto"/>
              <w:tblInd w:w="0" w:type="dxa"/>
              <w:tblLook w:val="04A0" w:firstRow="1" w:lastRow="0" w:firstColumn="1" w:lastColumn="0" w:noHBand="0" w:noVBand="1"/>
            </w:tblPr>
            <w:tblGrid>
              <w:gridCol w:w="2767"/>
              <w:gridCol w:w="1299"/>
            </w:tblGrid>
            <w:tr w:rsidR="00505285" w:rsidRPr="00505285" w14:paraId="442AEAE1" w14:textId="77777777" w:rsidTr="00505285">
              <w:tc>
                <w:tcPr>
                  <w:tcW w:w="2767" w:type="dxa"/>
                </w:tcPr>
                <w:p w14:paraId="07BF79FF" w14:textId="3455832B" w:rsidR="00505285" w:rsidRPr="00505285" w:rsidRDefault="00505285" w:rsidP="00505285">
                  <w:pPr>
                    <w:rPr>
                      <w:b/>
                      <w:bCs/>
                      <w:szCs w:val="20"/>
                    </w:rPr>
                  </w:pPr>
                  <w:r w:rsidRPr="00505285">
                    <w:rPr>
                      <w:b/>
                      <w:bCs/>
                      <w:szCs w:val="20"/>
                    </w:rPr>
                    <w:t>All (males &amp; females)</w:t>
                  </w:r>
                </w:p>
              </w:tc>
              <w:tc>
                <w:tcPr>
                  <w:tcW w:w="1299" w:type="dxa"/>
                </w:tcPr>
                <w:p w14:paraId="55AA96D7" w14:textId="77777777" w:rsidR="00505285" w:rsidRPr="00505285" w:rsidRDefault="00505285" w:rsidP="00505285">
                  <w:pPr>
                    <w:spacing w:before="60" w:after="0"/>
                    <w:jc w:val="center"/>
                    <w:rPr>
                      <w:rFonts w:eastAsia="Times New Roman" w:cs="Arial"/>
                      <w:b/>
                      <w:bCs/>
                      <w:szCs w:val="20"/>
                    </w:rPr>
                  </w:pPr>
                  <w:r w:rsidRPr="00505285">
                    <w:rPr>
                      <w:rFonts w:eastAsia="Times New Roman" w:cs="Arial"/>
                      <w:b/>
                      <w:bCs/>
                      <w:szCs w:val="20"/>
                    </w:rPr>
                    <w:t>UL</w:t>
                  </w:r>
                </w:p>
                <w:p w14:paraId="57B7E076" w14:textId="0C69A142" w:rsidR="00505285" w:rsidRPr="00505285" w:rsidRDefault="00505285" w:rsidP="00505285">
                  <w:pPr>
                    <w:spacing w:before="60" w:after="0"/>
                    <w:jc w:val="center"/>
                    <w:rPr>
                      <w:rFonts w:eastAsia="Times New Roman" w:cs="Arial"/>
                      <w:szCs w:val="20"/>
                    </w:rPr>
                  </w:pPr>
                  <w:r w:rsidRPr="00505285">
                    <w:rPr>
                      <w:rFonts w:eastAsia="Times New Roman" w:cs="Arial"/>
                      <w:b/>
                      <w:bCs/>
                      <w:szCs w:val="20"/>
                    </w:rPr>
                    <w:t>(</w:t>
                  </w:r>
                  <w:r w:rsidRPr="00505285">
                    <w:rPr>
                      <w:rFonts w:eastAsia="Times New Roman" w:cs="Arial"/>
                      <w:szCs w:val="20"/>
                    </w:rPr>
                    <w:t>µg/day)</w:t>
                  </w:r>
                </w:p>
              </w:tc>
            </w:tr>
            <w:tr w:rsidR="00505285" w:rsidRPr="00505285" w14:paraId="68E6DA16" w14:textId="77777777" w:rsidTr="00C63D4E">
              <w:tc>
                <w:tcPr>
                  <w:tcW w:w="2767" w:type="dxa"/>
                  <w:tcMar>
                    <w:left w:w="170" w:type="dxa"/>
                  </w:tcMar>
                </w:tcPr>
                <w:p w14:paraId="19DCFD27" w14:textId="77777777" w:rsidR="00505285" w:rsidRPr="00505285" w:rsidRDefault="00505285">
                  <w:pPr>
                    <w:spacing w:before="60" w:after="0"/>
                    <w:rPr>
                      <w:rFonts w:eastAsia="Times New Roman" w:cs="Arial"/>
                      <w:b/>
                      <w:bCs/>
                      <w:szCs w:val="20"/>
                    </w:rPr>
                  </w:pPr>
                  <w:r w:rsidRPr="00505285">
                    <w:rPr>
                      <w:rFonts w:eastAsia="Times New Roman" w:cs="Arial"/>
                      <w:b/>
                      <w:bCs/>
                      <w:szCs w:val="20"/>
                    </w:rPr>
                    <w:t xml:space="preserve">12 to under 24 months </w:t>
                  </w:r>
                </w:p>
              </w:tc>
              <w:tc>
                <w:tcPr>
                  <w:tcW w:w="1299" w:type="dxa"/>
                </w:tcPr>
                <w:p w14:paraId="4DE86E93" w14:textId="77777777" w:rsidR="00505285" w:rsidRPr="00505285" w:rsidRDefault="00505285">
                  <w:pPr>
                    <w:spacing w:before="60" w:after="0"/>
                    <w:jc w:val="center"/>
                    <w:rPr>
                      <w:rFonts w:eastAsia="Times New Roman" w:cs="Arial"/>
                      <w:szCs w:val="20"/>
                    </w:rPr>
                  </w:pPr>
                  <w:r w:rsidRPr="00505285">
                    <w:rPr>
                      <w:rFonts w:eastAsia="Times New Roman" w:cs="Arial"/>
                      <w:szCs w:val="20"/>
                    </w:rPr>
                    <w:t>200</w:t>
                  </w:r>
                </w:p>
              </w:tc>
            </w:tr>
            <w:tr w:rsidR="00505285" w:rsidRPr="00505285" w14:paraId="7806D234" w14:textId="77777777" w:rsidTr="00C63D4E">
              <w:tc>
                <w:tcPr>
                  <w:tcW w:w="2767" w:type="dxa"/>
                  <w:tcMar>
                    <w:left w:w="170" w:type="dxa"/>
                  </w:tcMar>
                </w:tcPr>
                <w:p w14:paraId="4BB20A66" w14:textId="77777777" w:rsidR="00505285" w:rsidRPr="00505285" w:rsidRDefault="00505285">
                  <w:pPr>
                    <w:spacing w:before="60" w:after="0"/>
                    <w:rPr>
                      <w:rFonts w:eastAsia="Times New Roman" w:cs="Arial"/>
                      <w:b/>
                      <w:bCs/>
                      <w:szCs w:val="20"/>
                    </w:rPr>
                  </w:pPr>
                  <w:r w:rsidRPr="00505285">
                    <w:rPr>
                      <w:rFonts w:eastAsia="Times New Roman" w:cs="Arial"/>
                      <w:b/>
                      <w:bCs/>
                      <w:szCs w:val="20"/>
                    </w:rPr>
                    <w:t>2 to under 5 years</w:t>
                  </w:r>
                </w:p>
              </w:tc>
              <w:tc>
                <w:tcPr>
                  <w:tcW w:w="1299" w:type="dxa"/>
                </w:tcPr>
                <w:p w14:paraId="0845C798" w14:textId="77777777" w:rsidR="00505285" w:rsidRPr="00505285" w:rsidRDefault="00505285">
                  <w:pPr>
                    <w:spacing w:before="60" w:after="0"/>
                    <w:jc w:val="center"/>
                    <w:rPr>
                      <w:rFonts w:eastAsia="Times New Roman" w:cs="Arial"/>
                      <w:szCs w:val="20"/>
                    </w:rPr>
                  </w:pPr>
                  <w:r w:rsidRPr="00505285">
                    <w:rPr>
                      <w:rFonts w:eastAsia="Times New Roman" w:cs="Arial"/>
                      <w:szCs w:val="20"/>
                    </w:rPr>
                    <w:t>250</w:t>
                  </w:r>
                </w:p>
              </w:tc>
            </w:tr>
            <w:tr w:rsidR="00505285" w:rsidRPr="00505285" w14:paraId="57D93B88" w14:textId="77777777" w:rsidTr="00C63D4E">
              <w:tc>
                <w:tcPr>
                  <w:tcW w:w="2767" w:type="dxa"/>
                  <w:tcMar>
                    <w:left w:w="170" w:type="dxa"/>
                  </w:tcMar>
                </w:tcPr>
                <w:p w14:paraId="7CD74372" w14:textId="77777777" w:rsidR="00505285" w:rsidRPr="00505285" w:rsidRDefault="00505285">
                  <w:pPr>
                    <w:spacing w:before="60" w:after="0"/>
                    <w:rPr>
                      <w:rFonts w:eastAsia="Times New Roman" w:cs="Arial"/>
                      <w:b/>
                      <w:bCs/>
                      <w:szCs w:val="20"/>
                    </w:rPr>
                  </w:pPr>
                  <w:r w:rsidRPr="00505285">
                    <w:rPr>
                      <w:rFonts w:eastAsia="Times New Roman" w:cs="Arial"/>
                      <w:b/>
                      <w:bCs/>
                      <w:szCs w:val="20"/>
                    </w:rPr>
                    <w:t>5 to under 12 years</w:t>
                  </w:r>
                </w:p>
              </w:tc>
              <w:tc>
                <w:tcPr>
                  <w:tcW w:w="1299" w:type="dxa"/>
                </w:tcPr>
                <w:p w14:paraId="694359CF" w14:textId="77777777" w:rsidR="00505285" w:rsidRPr="00505285" w:rsidRDefault="00505285">
                  <w:pPr>
                    <w:spacing w:before="60" w:after="0"/>
                    <w:jc w:val="center"/>
                    <w:rPr>
                      <w:rFonts w:eastAsia="Times New Roman" w:cs="Arial"/>
                      <w:szCs w:val="20"/>
                    </w:rPr>
                  </w:pPr>
                  <w:r w:rsidRPr="00505285">
                    <w:rPr>
                      <w:rFonts w:eastAsia="Times New Roman" w:cs="Arial"/>
                      <w:szCs w:val="20"/>
                    </w:rPr>
                    <w:t>350</w:t>
                  </w:r>
                </w:p>
              </w:tc>
            </w:tr>
            <w:tr w:rsidR="00505285" w:rsidRPr="00505285" w14:paraId="49ABF1C3" w14:textId="77777777" w:rsidTr="00C63D4E">
              <w:tc>
                <w:tcPr>
                  <w:tcW w:w="2767" w:type="dxa"/>
                  <w:tcMar>
                    <w:left w:w="170" w:type="dxa"/>
                  </w:tcMar>
                </w:tcPr>
                <w:p w14:paraId="43C127CB" w14:textId="77777777" w:rsidR="00505285" w:rsidRPr="00505285" w:rsidRDefault="00505285">
                  <w:pPr>
                    <w:spacing w:before="60" w:after="0"/>
                    <w:rPr>
                      <w:rFonts w:eastAsia="Times New Roman" w:cs="Arial"/>
                      <w:b/>
                      <w:bCs/>
                      <w:szCs w:val="20"/>
                    </w:rPr>
                  </w:pPr>
                  <w:r w:rsidRPr="00505285">
                    <w:rPr>
                      <w:rFonts w:eastAsia="Times New Roman" w:cs="Arial"/>
                      <w:b/>
                      <w:bCs/>
                      <w:szCs w:val="20"/>
                    </w:rPr>
                    <w:t>12 to under 18 years</w:t>
                  </w:r>
                </w:p>
              </w:tc>
              <w:tc>
                <w:tcPr>
                  <w:tcW w:w="1299" w:type="dxa"/>
                </w:tcPr>
                <w:p w14:paraId="64206412" w14:textId="77777777" w:rsidR="00505285" w:rsidRPr="00505285" w:rsidRDefault="00505285">
                  <w:pPr>
                    <w:spacing w:before="60" w:after="0"/>
                    <w:jc w:val="center"/>
                    <w:rPr>
                      <w:rFonts w:eastAsia="Times New Roman" w:cs="Arial"/>
                      <w:szCs w:val="20"/>
                    </w:rPr>
                  </w:pPr>
                  <w:r w:rsidRPr="00505285">
                    <w:rPr>
                      <w:rFonts w:eastAsia="Times New Roman" w:cs="Arial"/>
                      <w:szCs w:val="20"/>
                    </w:rPr>
                    <w:t>500</w:t>
                  </w:r>
                </w:p>
              </w:tc>
            </w:tr>
          </w:tbl>
          <w:p w14:paraId="64669CE8" w14:textId="77777777" w:rsidR="00247C82" w:rsidRPr="00505285" w:rsidRDefault="00247C82">
            <w:pPr>
              <w:spacing w:after="0"/>
              <w:cnfStyle w:val="000000100000" w:firstRow="0" w:lastRow="0" w:firstColumn="0" w:lastColumn="0" w:oddVBand="0" w:evenVBand="0" w:oddHBand="1" w:evenHBand="0" w:firstRowFirstColumn="0" w:firstRowLastColumn="0" w:lastRowFirstColumn="0" w:lastRowLastColumn="0"/>
              <w:rPr>
                <w:rFonts w:eastAsia="Times New Roman" w:cs="Arial"/>
                <w:b/>
                <w:bCs/>
                <w:szCs w:val="20"/>
              </w:rPr>
            </w:pPr>
          </w:p>
        </w:tc>
      </w:tr>
      <w:tr w:rsidR="00247C82" w:rsidRPr="00505285" w14:paraId="28C5A07C" w14:textId="77777777" w:rsidTr="00247C82">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tcPr>
          <w:p w14:paraId="06F0148A" w14:textId="77777777" w:rsidR="00247C82" w:rsidRPr="00505285" w:rsidRDefault="00247C82">
            <w:pPr>
              <w:rPr>
                <w:rFonts w:eastAsia="Times New Roman" w:cs="Arial"/>
                <w:szCs w:val="20"/>
              </w:rPr>
            </w:pPr>
            <w:r w:rsidRPr="00505285">
              <w:rPr>
                <w:rFonts w:eastAsia="Times New Roman" w:cs="Arial"/>
                <w:szCs w:val="20"/>
              </w:rPr>
              <w:t>Health evidence profile and supporting information</w:t>
            </w:r>
          </w:p>
        </w:tc>
        <w:tc>
          <w:tcPr>
            <w:tcW w:w="4997" w:type="dxa"/>
            <w:tcBorders>
              <w:left w:val="single" w:sz="4" w:space="0" w:color="77BCD9"/>
            </w:tcBorders>
          </w:tcPr>
          <w:p w14:paraId="4350B27F"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In the absence of evidence in children and adolescents, current recommendations have been extrapolated from the adult UL, based on metabolic body weight. </w:t>
            </w:r>
          </w:p>
          <w:p w14:paraId="09DC8D1A"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highlight w:val="yellow"/>
              </w:rPr>
            </w:pPr>
            <w:r w:rsidRPr="00505285">
              <w:rPr>
                <w:rFonts w:eastAsia="Times New Roman" w:cs="Arial"/>
                <w:szCs w:val="20"/>
              </w:rPr>
              <w:t>There remains insufficient evidence to inform derivation of ULs for children and adolescents.</w:t>
            </w:r>
          </w:p>
        </w:tc>
        <w:tc>
          <w:tcPr>
            <w:tcW w:w="6981" w:type="dxa"/>
          </w:tcPr>
          <w:p w14:paraId="6D1DE58D"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In the absence of evidence in children and adolescents, recommendations can be extrapolated from the adult UL, based on metabolic body weight using the following formula:</w:t>
            </w:r>
          </w:p>
          <w:p w14:paraId="2EFC3A86"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vertAlign w:val="superscript"/>
              </w:rPr>
            </w:pPr>
            <w:proofErr w:type="spellStart"/>
            <w:r w:rsidRPr="00505285">
              <w:rPr>
                <w:rFonts w:eastAsia="Times New Roman" w:cs="Arial"/>
                <w:szCs w:val="20"/>
              </w:rPr>
              <w:t>UL</w:t>
            </w:r>
            <w:r w:rsidRPr="00505285">
              <w:rPr>
                <w:rFonts w:eastAsia="Times New Roman" w:cs="Arial"/>
                <w:szCs w:val="20"/>
                <w:vertAlign w:val="subscript"/>
              </w:rPr>
              <w:t>child</w:t>
            </w:r>
            <w:proofErr w:type="spellEnd"/>
            <w:r w:rsidRPr="00505285">
              <w:rPr>
                <w:rFonts w:eastAsia="Times New Roman" w:cs="Arial"/>
                <w:szCs w:val="20"/>
              </w:rPr>
              <w:t xml:space="preserve"> = </w:t>
            </w:r>
            <w:proofErr w:type="spellStart"/>
            <w:r w:rsidRPr="00505285">
              <w:rPr>
                <w:rFonts w:eastAsia="Times New Roman" w:cs="Arial"/>
                <w:szCs w:val="20"/>
              </w:rPr>
              <w:t>UL</w:t>
            </w:r>
            <w:r w:rsidRPr="00505285">
              <w:rPr>
                <w:rFonts w:eastAsia="Times New Roman" w:cs="Arial"/>
                <w:szCs w:val="20"/>
                <w:vertAlign w:val="subscript"/>
              </w:rPr>
              <w:t>adult</w:t>
            </w:r>
            <w:proofErr w:type="spellEnd"/>
            <w:r w:rsidRPr="00505285">
              <w:rPr>
                <w:rFonts w:eastAsia="Times New Roman" w:cs="Arial"/>
                <w:szCs w:val="20"/>
              </w:rPr>
              <w:t xml:space="preserve"> x (</w:t>
            </w:r>
            <w:proofErr w:type="spellStart"/>
            <w:r w:rsidRPr="00505285">
              <w:rPr>
                <w:rFonts w:eastAsia="Times New Roman" w:cs="Arial"/>
                <w:szCs w:val="20"/>
              </w:rPr>
              <w:t>Weight</w:t>
            </w:r>
            <w:r w:rsidRPr="00505285">
              <w:rPr>
                <w:rFonts w:eastAsia="Times New Roman" w:cs="Arial"/>
                <w:szCs w:val="20"/>
                <w:vertAlign w:val="subscript"/>
              </w:rPr>
              <w:t>child</w:t>
            </w:r>
            <w:proofErr w:type="spellEnd"/>
            <w:r w:rsidRPr="00505285">
              <w:rPr>
                <w:rFonts w:eastAsia="Times New Roman" w:cs="Arial"/>
                <w:szCs w:val="20"/>
              </w:rPr>
              <w:t xml:space="preserve">/Weight </w:t>
            </w:r>
            <w:r w:rsidRPr="00505285">
              <w:rPr>
                <w:rFonts w:eastAsia="Times New Roman" w:cs="Arial"/>
                <w:szCs w:val="20"/>
                <w:vertAlign w:val="subscript"/>
              </w:rPr>
              <w:t>adult</w:t>
            </w:r>
            <w:r w:rsidRPr="00505285">
              <w:rPr>
                <w:rFonts w:eastAsia="Times New Roman" w:cs="Arial"/>
                <w:szCs w:val="20"/>
              </w:rPr>
              <w:t>)</w:t>
            </w:r>
            <w:r w:rsidRPr="00505285">
              <w:rPr>
                <w:rFonts w:eastAsia="Times New Roman" w:cs="Arial"/>
                <w:szCs w:val="20"/>
                <w:vertAlign w:val="superscript"/>
              </w:rPr>
              <w:t>0.75</w:t>
            </w:r>
          </w:p>
          <w:p w14:paraId="1D5DFA87"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Reference weights used were based on 2022 ideal weight data from the Australian Bureau of Statistics, as per the current NRVs Methodological Framework (NHMRC, 2025). Calculated values were rounded up to the nearest 50 (children aged &lt;12 years) or rounded to the nearest 100 (children aged &gt;12 years) to arrive at final values.</w:t>
            </w:r>
          </w:p>
          <w:p w14:paraId="3960CA56"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lastRenderedPageBreak/>
              <w:t>Inputs for extrapolation and the raw calculated UL value are shown at Table 8, and rounding of calculated UL to proposed UL is shown at Table 9.</w:t>
            </w:r>
          </w:p>
          <w:p w14:paraId="513F0F0C" w14:textId="77777777" w:rsidR="00247C82" w:rsidRPr="00505285" w:rsidRDefault="00247C82">
            <w:pPr>
              <w:keepNext/>
              <w:spacing w:after="200"/>
              <w:cnfStyle w:val="000000000000" w:firstRow="0" w:lastRow="0" w:firstColumn="0" w:lastColumn="0" w:oddVBand="0" w:evenVBand="0" w:oddHBand="0" w:evenHBand="0" w:firstRowFirstColumn="0" w:firstRowLastColumn="0" w:lastRowFirstColumn="0" w:lastRowLastColumn="0"/>
              <w:rPr>
                <w:rFonts w:eastAsia="Arial" w:cs="Arial"/>
                <w:iCs/>
                <w:caps/>
                <w:szCs w:val="20"/>
              </w:rPr>
            </w:pPr>
            <w:r w:rsidRPr="00505285">
              <w:rPr>
                <w:rFonts w:eastAsia="Arial" w:cs="Arial"/>
                <w:iCs/>
                <w:caps/>
                <w:szCs w:val="20"/>
              </w:rPr>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8</w:t>
            </w:r>
            <w:r w:rsidRPr="00505285">
              <w:rPr>
                <w:rFonts w:eastAsia="Arial" w:cs="Arial"/>
                <w:iCs/>
                <w:caps/>
                <w:noProof/>
                <w:szCs w:val="20"/>
              </w:rPr>
              <w:fldChar w:fldCharType="end"/>
            </w:r>
            <w:r w:rsidRPr="00505285">
              <w:rPr>
                <w:rFonts w:eastAsia="Arial" w:cs="Arial"/>
                <w:iCs/>
                <w:caps/>
                <w:szCs w:val="20"/>
              </w:rPr>
              <w:t xml:space="preserve"> - inputs for extrapolation of adult ul to children</w:t>
            </w:r>
          </w:p>
          <w:tbl>
            <w:tblPr>
              <w:tblStyle w:val="TableGrid3"/>
              <w:tblW w:w="6837" w:type="dxa"/>
              <w:tblInd w:w="0" w:type="dxa"/>
              <w:tblLook w:val="04A0" w:firstRow="1" w:lastRow="0" w:firstColumn="1" w:lastColumn="0" w:noHBand="0" w:noVBand="1"/>
            </w:tblPr>
            <w:tblGrid>
              <w:gridCol w:w="1592"/>
              <w:gridCol w:w="1275"/>
              <w:gridCol w:w="1418"/>
              <w:gridCol w:w="1417"/>
              <w:gridCol w:w="1135"/>
            </w:tblGrid>
            <w:tr w:rsidR="00247C82" w:rsidRPr="00505285" w14:paraId="17A33F10" w14:textId="77777777" w:rsidTr="00C63D4E">
              <w:tc>
                <w:tcPr>
                  <w:tcW w:w="1592" w:type="dxa"/>
                  <w:shd w:val="clear" w:color="auto" w:fill="005F85"/>
                </w:tcPr>
                <w:p w14:paraId="7B3115F9" w14:textId="77777777" w:rsidR="00247C82" w:rsidRPr="00505285" w:rsidRDefault="00247C82" w:rsidP="00C63D4E">
                  <w:pPr>
                    <w:spacing w:before="60" w:after="120"/>
                    <w:rPr>
                      <w:rFonts w:eastAsia="Times New Roman" w:cs="Arial"/>
                      <w:b/>
                      <w:bCs/>
                      <w:color w:val="FFFFFF"/>
                      <w:szCs w:val="20"/>
                    </w:rPr>
                  </w:pPr>
                  <w:r w:rsidRPr="00505285">
                    <w:rPr>
                      <w:rFonts w:eastAsia="Times New Roman" w:cs="Arial"/>
                      <w:b/>
                      <w:bCs/>
                      <w:color w:val="FFFFFF"/>
                      <w:szCs w:val="20"/>
                    </w:rPr>
                    <w:t>Age group</w:t>
                  </w:r>
                </w:p>
              </w:tc>
              <w:tc>
                <w:tcPr>
                  <w:tcW w:w="1275" w:type="dxa"/>
                  <w:shd w:val="clear" w:color="auto" w:fill="005F85"/>
                </w:tcPr>
                <w:p w14:paraId="2524F0C3" w14:textId="77777777" w:rsidR="00247C82" w:rsidRPr="00505285" w:rsidRDefault="00247C82" w:rsidP="00C63D4E">
                  <w:pPr>
                    <w:spacing w:before="60" w:after="120"/>
                    <w:jc w:val="center"/>
                    <w:rPr>
                      <w:rFonts w:eastAsia="Times New Roman" w:cs="Arial"/>
                      <w:b/>
                      <w:bCs/>
                      <w:color w:val="FFFFFF"/>
                      <w:szCs w:val="20"/>
                      <w:vertAlign w:val="subscript"/>
                    </w:rPr>
                  </w:pPr>
                  <w:proofErr w:type="spellStart"/>
                  <w:r w:rsidRPr="00505285">
                    <w:rPr>
                      <w:rFonts w:eastAsia="Times New Roman" w:cs="Arial"/>
                      <w:b/>
                      <w:bCs/>
                      <w:color w:val="FFFFFF"/>
                      <w:szCs w:val="20"/>
                    </w:rPr>
                    <w:t>UL</w:t>
                  </w:r>
                  <w:r w:rsidRPr="00505285">
                    <w:rPr>
                      <w:rFonts w:eastAsia="Times New Roman" w:cs="Arial"/>
                      <w:b/>
                      <w:bCs/>
                      <w:color w:val="FFFFFF"/>
                      <w:szCs w:val="20"/>
                      <w:vertAlign w:val="subscript"/>
                    </w:rPr>
                    <w:t>adult</w:t>
                  </w:r>
                  <w:proofErr w:type="spellEnd"/>
                </w:p>
                <w:p w14:paraId="153533B2" w14:textId="77777777" w:rsidR="00247C82" w:rsidRPr="00505285" w:rsidRDefault="00247C82" w:rsidP="00C63D4E">
                  <w:pPr>
                    <w:spacing w:before="60" w:after="120"/>
                    <w:jc w:val="center"/>
                    <w:rPr>
                      <w:rFonts w:eastAsia="Times New Roman" w:cs="Arial"/>
                      <w:b/>
                      <w:bCs/>
                      <w:color w:val="FFFFFF"/>
                      <w:szCs w:val="20"/>
                    </w:rPr>
                  </w:pPr>
                  <w:r w:rsidRPr="00505285">
                    <w:rPr>
                      <w:rFonts w:eastAsia="Times New Roman" w:cs="Times New Roman"/>
                      <w:b/>
                      <w:bCs/>
                      <w:color w:val="FFFFFF"/>
                      <w:szCs w:val="20"/>
                    </w:rPr>
                    <w:t>(µg/day)</w:t>
                  </w:r>
                </w:p>
              </w:tc>
              <w:tc>
                <w:tcPr>
                  <w:tcW w:w="1418" w:type="dxa"/>
                  <w:shd w:val="clear" w:color="auto" w:fill="005F85"/>
                </w:tcPr>
                <w:p w14:paraId="350CF8C0" w14:textId="77777777" w:rsidR="00247C82" w:rsidRPr="00505285" w:rsidRDefault="00247C82" w:rsidP="00C63D4E">
                  <w:pPr>
                    <w:spacing w:before="60" w:after="120"/>
                    <w:jc w:val="center"/>
                    <w:rPr>
                      <w:rFonts w:eastAsia="Times New Roman" w:cs="Arial"/>
                      <w:b/>
                      <w:bCs/>
                      <w:color w:val="FFFFFF"/>
                      <w:szCs w:val="20"/>
                      <w:vertAlign w:val="subscript"/>
                    </w:rPr>
                  </w:pPr>
                  <w:proofErr w:type="spellStart"/>
                  <w:r w:rsidRPr="00505285">
                    <w:rPr>
                      <w:rFonts w:eastAsia="Times New Roman" w:cs="Arial"/>
                      <w:b/>
                      <w:bCs/>
                      <w:color w:val="FFFFFF"/>
                      <w:szCs w:val="20"/>
                    </w:rPr>
                    <w:t>Weight</w:t>
                  </w:r>
                  <w:r w:rsidRPr="00505285">
                    <w:rPr>
                      <w:rFonts w:eastAsia="Times New Roman" w:cs="Arial"/>
                      <w:b/>
                      <w:bCs/>
                      <w:color w:val="FFFFFF"/>
                      <w:szCs w:val="20"/>
                      <w:vertAlign w:val="subscript"/>
                    </w:rPr>
                    <w:t>child</w:t>
                  </w:r>
                  <w:proofErr w:type="spellEnd"/>
                </w:p>
                <w:p w14:paraId="4DAFA35C" w14:textId="77777777" w:rsidR="00247C82" w:rsidRPr="00505285" w:rsidRDefault="00247C82" w:rsidP="00C63D4E">
                  <w:pPr>
                    <w:spacing w:before="60" w:after="120"/>
                    <w:jc w:val="center"/>
                    <w:rPr>
                      <w:rFonts w:eastAsia="Times New Roman" w:cs="Arial"/>
                      <w:b/>
                      <w:bCs/>
                      <w:color w:val="FFFFFF"/>
                      <w:szCs w:val="20"/>
                    </w:rPr>
                  </w:pPr>
                  <w:r w:rsidRPr="00505285">
                    <w:rPr>
                      <w:rFonts w:eastAsia="Times New Roman" w:cs="Times New Roman"/>
                      <w:b/>
                      <w:bCs/>
                      <w:color w:val="FFFFFF"/>
                      <w:szCs w:val="20"/>
                    </w:rPr>
                    <w:t>(kg)</w:t>
                  </w:r>
                </w:p>
              </w:tc>
              <w:tc>
                <w:tcPr>
                  <w:tcW w:w="1417" w:type="dxa"/>
                  <w:shd w:val="clear" w:color="auto" w:fill="005F85"/>
                </w:tcPr>
                <w:p w14:paraId="661AD071" w14:textId="77777777" w:rsidR="00247C82" w:rsidRPr="00505285" w:rsidRDefault="00247C82" w:rsidP="00C63D4E">
                  <w:pPr>
                    <w:spacing w:before="60" w:after="120"/>
                    <w:jc w:val="center"/>
                    <w:rPr>
                      <w:rFonts w:eastAsia="Times New Roman" w:cs="Arial"/>
                      <w:b/>
                      <w:bCs/>
                      <w:color w:val="FFFFFF"/>
                      <w:szCs w:val="20"/>
                      <w:vertAlign w:val="subscript"/>
                    </w:rPr>
                  </w:pPr>
                  <w:proofErr w:type="spellStart"/>
                  <w:r w:rsidRPr="00505285">
                    <w:rPr>
                      <w:rFonts w:eastAsia="Times New Roman" w:cs="Arial"/>
                      <w:b/>
                      <w:bCs/>
                      <w:color w:val="FFFFFF"/>
                      <w:szCs w:val="20"/>
                    </w:rPr>
                    <w:t>Weight</w:t>
                  </w:r>
                  <w:r w:rsidRPr="00505285">
                    <w:rPr>
                      <w:rFonts w:eastAsia="Times New Roman" w:cs="Arial"/>
                      <w:b/>
                      <w:bCs/>
                      <w:color w:val="FFFFFF"/>
                      <w:szCs w:val="20"/>
                      <w:vertAlign w:val="subscript"/>
                    </w:rPr>
                    <w:t>adult</w:t>
                  </w:r>
                  <w:proofErr w:type="spellEnd"/>
                </w:p>
                <w:p w14:paraId="2DBB7EF4" w14:textId="77777777" w:rsidR="00247C82" w:rsidRPr="00505285" w:rsidRDefault="00247C82" w:rsidP="00C63D4E">
                  <w:pPr>
                    <w:spacing w:before="60" w:after="120"/>
                    <w:jc w:val="center"/>
                    <w:rPr>
                      <w:rFonts w:eastAsia="Times New Roman" w:cs="Arial"/>
                      <w:b/>
                      <w:bCs/>
                      <w:color w:val="FFFFFF"/>
                      <w:szCs w:val="20"/>
                    </w:rPr>
                  </w:pPr>
                  <w:r w:rsidRPr="00505285">
                    <w:rPr>
                      <w:rFonts w:eastAsia="Times New Roman" w:cs="Arial"/>
                      <w:b/>
                      <w:bCs/>
                      <w:color w:val="FFFFFF"/>
                      <w:szCs w:val="20"/>
                    </w:rPr>
                    <w:t>(kg)</w:t>
                  </w:r>
                </w:p>
              </w:tc>
              <w:tc>
                <w:tcPr>
                  <w:tcW w:w="1135" w:type="dxa"/>
                  <w:shd w:val="clear" w:color="auto" w:fill="005F85"/>
                </w:tcPr>
                <w:p w14:paraId="0D0232CE" w14:textId="77777777" w:rsidR="00247C82" w:rsidRPr="00505285" w:rsidRDefault="00247C82" w:rsidP="00C63D4E">
                  <w:pPr>
                    <w:spacing w:before="60" w:after="120"/>
                    <w:jc w:val="center"/>
                    <w:rPr>
                      <w:rFonts w:eastAsia="Times New Roman" w:cs="Arial"/>
                      <w:b/>
                      <w:bCs/>
                      <w:color w:val="FFFFFF"/>
                      <w:szCs w:val="20"/>
                      <w:vertAlign w:val="subscript"/>
                    </w:rPr>
                  </w:pPr>
                  <w:proofErr w:type="spellStart"/>
                  <w:r w:rsidRPr="00505285">
                    <w:rPr>
                      <w:rFonts w:eastAsia="Times New Roman" w:cs="Arial"/>
                      <w:b/>
                      <w:bCs/>
                      <w:color w:val="FFFFFF"/>
                      <w:szCs w:val="20"/>
                    </w:rPr>
                    <w:t>UL</w:t>
                  </w:r>
                  <w:r w:rsidRPr="00505285">
                    <w:rPr>
                      <w:rFonts w:eastAsia="Times New Roman" w:cs="Arial"/>
                      <w:b/>
                      <w:bCs/>
                      <w:color w:val="FFFFFF"/>
                      <w:szCs w:val="20"/>
                      <w:vertAlign w:val="subscript"/>
                    </w:rPr>
                    <w:t>child</w:t>
                  </w:r>
                  <w:proofErr w:type="spellEnd"/>
                </w:p>
                <w:p w14:paraId="2863CC59" w14:textId="77777777" w:rsidR="00247C82" w:rsidRPr="00505285" w:rsidRDefault="00247C82" w:rsidP="00C63D4E">
                  <w:pPr>
                    <w:spacing w:before="60" w:after="120"/>
                    <w:jc w:val="center"/>
                    <w:rPr>
                      <w:rFonts w:eastAsia="Times New Roman" w:cs="Arial"/>
                      <w:b/>
                      <w:bCs/>
                      <w:color w:val="FFFFFF"/>
                      <w:szCs w:val="20"/>
                    </w:rPr>
                  </w:pPr>
                  <w:r w:rsidRPr="00505285">
                    <w:rPr>
                      <w:rFonts w:eastAsia="Times New Roman" w:cs="Times New Roman"/>
                      <w:b/>
                      <w:bCs/>
                      <w:color w:val="FFFFFF"/>
                      <w:szCs w:val="20"/>
                    </w:rPr>
                    <w:t>(µg/day)</w:t>
                  </w:r>
                </w:p>
              </w:tc>
            </w:tr>
            <w:tr w:rsidR="00247C82" w:rsidRPr="00505285" w14:paraId="42F9748E" w14:textId="77777777" w:rsidTr="00C63D4E">
              <w:tc>
                <w:tcPr>
                  <w:tcW w:w="6837" w:type="dxa"/>
                  <w:gridSpan w:val="5"/>
                  <w:shd w:val="clear" w:color="auto" w:fill="005F85"/>
                  <w:vAlign w:val="center"/>
                </w:tcPr>
                <w:p w14:paraId="6CB6FC49" w14:textId="77777777" w:rsidR="00247C82" w:rsidRPr="00505285" w:rsidRDefault="00247C82" w:rsidP="00C63D4E">
                  <w:pPr>
                    <w:spacing w:before="60" w:after="120"/>
                    <w:rPr>
                      <w:rFonts w:eastAsia="Times New Roman" w:cs="Arial"/>
                      <w:b/>
                      <w:bCs/>
                      <w:szCs w:val="20"/>
                    </w:rPr>
                  </w:pPr>
                  <w:r w:rsidRPr="00505285">
                    <w:rPr>
                      <w:rFonts w:eastAsia="Times New Roman" w:cs="Arial"/>
                      <w:b/>
                      <w:bCs/>
                      <w:color w:val="FFFFFF"/>
                      <w:szCs w:val="20"/>
                    </w:rPr>
                    <w:t>NRVs age groupings:</w:t>
                  </w:r>
                </w:p>
              </w:tc>
            </w:tr>
            <w:tr w:rsidR="00247C82" w:rsidRPr="00505285" w14:paraId="53389B6F" w14:textId="77777777" w:rsidTr="00C63D4E">
              <w:tc>
                <w:tcPr>
                  <w:tcW w:w="1592" w:type="dxa"/>
                  <w:vAlign w:val="bottom"/>
                </w:tcPr>
                <w:p w14:paraId="76F9451F" w14:textId="77777777" w:rsidR="00247C82" w:rsidRPr="00505285" w:rsidRDefault="00247C82" w:rsidP="00C63D4E">
                  <w:pPr>
                    <w:spacing w:before="60" w:after="120"/>
                    <w:rPr>
                      <w:rFonts w:eastAsia="Times New Roman" w:cs="Arial"/>
                      <w:szCs w:val="20"/>
                    </w:rPr>
                  </w:pPr>
                  <w:r w:rsidRPr="00505285">
                    <w:rPr>
                      <w:rFonts w:eastAsia="Times New Roman" w:cs="Arial"/>
                      <w:szCs w:val="20"/>
                    </w:rPr>
                    <w:t>1 to &lt;4y</w:t>
                  </w:r>
                </w:p>
              </w:tc>
              <w:tc>
                <w:tcPr>
                  <w:tcW w:w="1275" w:type="dxa"/>
                  <w:vMerge w:val="restart"/>
                  <w:vAlign w:val="center"/>
                </w:tcPr>
                <w:p w14:paraId="53DDB8C9"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600</w:t>
                  </w:r>
                </w:p>
              </w:tc>
              <w:tc>
                <w:tcPr>
                  <w:tcW w:w="1418" w:type="dxa"/>
                </w:tcPr>
                <w:p w14:paraId="7C06E10A"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13</w:t>
                  </w:r>
                </w:p>
              </w:tc>
              <w:tc>
                <w:tcPr>
                  <w:tcW w:w="1417" w:type="dxa"/>
                  <w:vMerge w:val="restart"/>
                  <w:vAlign w:val="center"/>
                </w:tcPr>
                <w:p w14:paraId="2EF43DA9"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62.9</w:t>
                  </w:r>
                </w:p>
              </w:tc>
              <w:tc>
                <w:tcPr>
                  <w:tcW w:w="1135" w:type="dxa"/>
                </w:tcPr>
                <w:p w14:paraId="6AEE4E24" w14:textId="77777777" w:rsidR="00247C82" w:rsidRPr="00505285" w:rsidRDefault="00247C82" w:rsidP="00C63D4E">
                  <w:pPr>
                    <w:spacing w:before="60" w:after="120"/>
                    <w:rPr>
                      <w:rFonts w:eastAsia="Times New Roman" w:cs="Arial"/>
                      <w:szCs w:val="20"/>
                    </w:rPr>
                  </w:pPr>
                  <w:r w:rsidRPr="00505285">
                    <w:rPr>
                      <w:rFonts w:eastAsia="Times New Roman" w:cs="Arial"/>
                      <w:szCs w:val="20"/>
                    </w:rPr>
                    <w:t>183.9</w:t>
                  </w:r>
                </w:p>
              </w:tc>
            </w:tr>
            <w:tr w:rsidR="00247C82" w:rsidRPr="00505285" w14:paraId="4C495672" w14:textId="77777777" w:rsidTr="00C63D4E">
              <w:tc>
                <w:tcPr>
                  <w:tcW w:w="1592" w:type="dxa"/>
                  <w:vAlign w:val="bottom"/>
                </w:tcPr>
                <w:p w14:paraId="3DAFE1F1" w14:textId="77777777" w:rsidR="00247C82" w:rsidRPr="00505285" w:rsidRDefault="00247C82" w:rsidP="00C63D4E">
                  <w:pPr>
                    <w:spacing w:before="60" w:after="120"/>
                    <w:rPr>
                      <w:rFonts w:eastAsia="Times New Roman" w:cs="Arial"/>
                      <w:szCs w:val="20"/>
                    </w:rPr>
                  </w:pPr>
                  <w:r w:rsidRPr="00505285">
                    <w:rPr>
                      <w:rFonts w:eastAsia="Times New Roman" w:cs="Arial"/>
                      <w:szCs w:val="20"/>
                    </w:rPr>
                    <w:t xml:space="preserve">4 to &lt;9y </w:t>
                  </w:r>
                </w:p>
              </w:tc>
              <w:tc>
                <w:tcPr>
                  <w:tcW w:w="1275" w:type="dxa"/>
                  <w:vMerge/>
                </w:tcPr>
                <w:p w14:paraId="1F7BB49E" w14:textId="77777777" w:rsidR="00247C82" w:rsidRPr="00505285" w:rsidRDefault="00247C82" w:rsidP="00C63D4E">
                  <w:pPr>
                    <w:spacing w:before="60" w:after="120"/>
                    <w:rPr>
                      <w:rFonts w:eastAsia="Times New Roman" w:cs="Arial"/>
                      <w:szCs w:val="20"/>
                    </w:rPr>
                  </w:pPr>
                </w:p>
              </w:tc>
              <w:tc>
                <w:tcPr>
                  <w:tcW w:w="1418" w:type="dxa"/>
                </w:tcPr>
                <w:p w14:paraId="67CCD19C"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22.4</w:t>
                  </w:r>
                </w:p>
              </w:tc>
              <w:tc>
                <w:tcPr>
                  <w:tcW w:w="1417" w:type="dxa"/>
                  <w:vMerge/>
                </w:tcPr>
                <w:p w14:paraId="37924110" w14:textId="77777777" w:rsidR="00247C82" w:rsidRPr="00505285" w:rsidRDefault="00247C82" w:rsidP="00C63D4E">
                  <w:pPr>
                    <w:spacing w:before="60" w:after="120"/>
                    <w:rPr>
                      <w:rFonts w:eastAsia="Times New Roman" w:cs="Arial"/>
                      <w:szCs w:val="20"/>
                    </w:rPr>
                  </w:pPr>
                </w:p>
              </w:tc>
              <w:tc>
                <w:tcPr>
                  <w:tcW w:w="1135" w:type="dxa"/>
                </w:tcPr>
                <w:p w14:paraId="00D6D22A" w14:textId="77777777" w:rsidR="00247C82" w:rsidRPr="00505285" w:rsidRDefault="00247C82" w:rsidP="00C63D4E">
                  <w:pPr>
                    <w:spacing w:before="60" w:after="120"/>
                    <w:rPr>
                      <w:rFonts w:eastAsia="Times New Roman" w:cs="Arial"/>
                      <w:szCs w:val="20"/>
                    </w:rPr>
                  </w:pPr>
                  <w:r w:rsidRPr="00505285">
                    <w:rPr>
                      <w:rFonts w:eastAsia="Times New Roman" w:cs="Arial"/>
                      <w:szCs w:val="20"/>
                    </w:rPr>
                    <w:t>276.6</w:t>
                  </w:r>
                </w:p>
              </w:tc>
            </w:tr>
            <w:tr w:rsidR="00247C82" w:rsidRPr="00505285" w14:paraId="35B5F654" w14:textId="77777777" w:rsidTr="00C63D4E">
              <w:tc>
                <w:tcPr>
                  <w:tcW w:w="1592" w:type="dxa"/>
                  <w:vAlign w:val="bottom"/>
                </w:tcPr>
                <w:p w14:paraId="34862E4E" w14:textId="77777777" w:rsidR="00247C82" w:rsidRPr="00505285" w:rsidRDefault="00247C82" w:rsidP="00C63D4E">
                  <w:pPr>
                    <w:spacing w:before="60" w:after="120"/>
                    <w:rPr>
                      <w:rFonts w:eastAsia="Times New Roman" w:cs="Arial"/>
                      <w:szCs w:val="20"/>
                    </w:rPr>
                  </w:pPr>
                  <w:r w:rsidRPr="00505285">
                    <w:rPr>
                      <w:rFonts w:eastAsia="Times New Roman" w:cs="Arial"/>
                      <w:szCs w:val="20"/>
                    </w:rPr>
                    <w:t>9 to &lt;14y</w:t>
                  </w:r>
                </w:p>
              </w:tc>
              <w:tc>
                <w:tcPr>
                  <w:tcW w:w="1275" w:type="dxa"/>
                  <w:vMerge/>
                </w:tcPr>
                <w:p w14:paraId="1AAB31F1" w14:textId="77777777" w:rsidR="00247C82" w:rsidRPr="00505285" w:rsidRDefault="00247C82" w:rsidP="00C63D4E">
                  <w:pPr>
                    <w:spacing w:before="60" w:after="120"/>
                    <w:rPr>
                      <w:rFonts w:eastAsia="Times New Roman" w:cs="Arial"/>
                      <w:szCs w:val="20"/>
                    </w:rPr>
                  </w:pPr>
                </w:p>
              </w:tc>
              <w:tc>
                <w:tcPr>
                  <w:tcW w:w="1418" w:type="dxa"/>
                </w:tcPr>
                <w:p w14:paraId="34A7A898"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40.7</w:t>
                  </w:r>
                </w:p>
              </w:tc>
              <w:tc>
                <w:tcPr>
                  <w:tcW w:w="1417" w:type="dxa"/>
                  <w:vMerge/>
                </w:tcPr>
                <w:p w14:paraId="1EFB91FB" w14:textId="77777777" w:rsidR="00247C82" w:rsidRPr="00505285" w:rsidRDefault="00247C82" w:rsidP="00C63D4E">
                  <w:pPr>
                    <w:spacing w:before="60" w:after="120"/>
                    <w:rPr>
                      <w:rFonts w:eastAsia="Times New Roman" w:cs="Arial"/>
                      <w:szCs w:val="20"/>
                    </w:rPr>
                  </w:pPr>
                </w:p>
              </w:tc>
              <w:tc>
                <w:tcPr>
                  <w:tcW w:w="1135" w:type="dxa"/>
                </w:tcPr>
                <w:p w14:paraId="341C1DF4" w14:textId="77777777" w:rsidR="00247C82" w:rsidRPr="00505285" w:rsidRDefault="00247C82" w:rsidP="00C63D4E">
                  <w:pPr>
                    <w:spacing w:before="60" w:after="120"/>
                    <w:rPr>
                      <w:rFonts w:eastAsia="Times New Roman" w:cs="Arial"/>
                      <w:szCs w:val="20"/>
                    </w:rPr>
                  </w:pPr>
                  <w:r w:rsidRPr="00505285">
                    <w:rPr>
                      <w:rFonts w:eastAsia="Times New Roman" w:cs="Arial"/>
                      <w:szCs w:val="20"/>
                    </w:rPr>
                    <w:t>432.9</w:t>
                  </w:r>
                </w:p>
              </w:tc>
            </w:tr>
            <w:tr w:rsidR="00247C82" w:rsidRPr="00505285" w14:paraId="086A2500" w14:textId="77777777" w:rsidTr="00C63D4E">
              <w:tc>
                <w:tcPr>
                  <w:tcW w:w="1592" w:type="dxa"/>
                  <w:vAlign w:val="bottom"/>
                </w:tcPr>
                <w:p w14:paraId="20B7C271" w14:textId="77777777" w:rsidR="00247C82" w:rsidRPr="00505285" w:rsidRDefault="00247C82" w:rsidP="00C63D4E">
                  <w:pPr>
                    <w:spacing w:before="60" w:after="120"/>
                    <w:rPr>
                      <w:rFonts w:eastAsia="Times New Roman" w:cs="Arial"/>
                      <w:szCs w:val="20"/>
                    </w:rPr>
                  </w:pPr>
                  <w:r w:rsidRPr="00505285">
                    <w:rPr>
                      <w:rFonts w:eastAsia="Times New Roman" w:cs="Arial"/>
                      <w:szCs w:val="20"/>
                    </w:rPr>
                    <w:t>14 to &lt;18y</w:t>
                  </w:r>
                </w:p>
              </w:tc>
              <w:tc>
                <w:tcPr>
                  <w:tcW w:w="1275" w:type="dxa"/>
                  <w:vMerge/>
                </w:tcPr>
                <w:p w14:paraId="44AB3F4B" w14:textId="77777777" w:rsidR="00247C82" w:rsidRPr="00505285" w:rsidRDefault="00247C82" w:rsidP="00C63D4E">
                  <w:pPr>
                    <w:spacing w:before="60" w:after="120"/>
                    <w:rPr>
                      <w:rFonts w:eastAsia="Times New Roman" w:cs="Arial"/>
                      <w:szCs w:val="20"/>
                    </w:rPr>
                  </w:pPr>
                </w:p>
              </w:tc>
              <w:tc>
                <w:tcPr>
                  <w:tcW w:w="1418" w:type="dxa"/>
                </w:tcPr>
                <w:p w14:paraId="78A7FCB4"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57.6</w:t>
                  </w:r>
                </w:p>
              </w:tc>
              <w:tc>
                <w:tcPr>
                  <w:tcW w:w="1417" w:type="dxa"/>
                  <w:vMerge/>
                </w:tcPr>
                <w:p w14:paraId="5F968B23" w14:textId="77777777" w:rsidR="00247C82" w:rsidRPr="00505285" w:rsidRDefault="00247C82" w:rsidP="00C63D4E">
                  <w:pPr>
                    <w:spacing w:before="60" w:after="120"/>
                    <w:rPr>
                      <w:rFonts w:eastAsia="Times New Roman" w:cs="Arial"/>
                      <w:szCs w:val="20"/>
                    </w:rPr>
                  </w:pPr>
                </w:p>
              </w:tc>
              <w:tc>
                <w:tcPr>
                  <w:tcW w:w="1135" w:type="dxa"/>
                </w:tcPr>
                <w:p w14:paraId="2D64A066" w14:textId="77777777" w:rsidR="00247C82" w:rsidRPr="00505285" w:rsidRDefault="00247C82" w:rsidP="00C63D4E">
                  <w:pPr>
                    <w:spacing w:before="60" w:after="120"/>
                    <w:rPr>
                      <w:rFonts w:eastAsia="Times New Roman" w:cs="Arial"/>
                      <w:szCs w:val="20"/>
                    </w:rPr>
                  </w:pPr>
                  <w:r w:rsidRPr="00505285">
                    <w:rPr>
                      <w:rFonts w:eastAsia="Times New Roman" w:cs="Arial"/>
                      <w:szCs w:val="20"/>
                    </w:rPr>
                    <w:t>561.7</w:t>
                  </w:r>
                </w:p>
              </w:tc>
            </w:tr>
            <w:tr w:rsidR="00247C82" w:rsidRPr="00505285" w14:paraId="66C2194C" w14:textId="77777777" w:rsidTr="00C63D4E">
              <w:tc>
                <w:tcPr>
                  <w:tcW w:w="6837" w:type="dxa"/>
                  <w:gridSpan w:val="5"/>
                  <w:shd w:val="clear" w:color="auto" w:fill="005F85"/>
                  <w:vAlign w:val="center"/>
                </w:tcPr>
                <w:p w14:paraId="6B1A3076" w14:textId="77777777" w:rsidR="00247C82" w:rsidRPr="00505285" w:rsidRDefault="00247C82" w:rsidP="00C63D4E">
                  <w:pPr>
                    <w:spacing w:before="60" w:after="120"/>
                    <w:rPr>
                      <w:rFonts w:eastAsia="Times New Roman" w:cs="Arial"/>
                      <w:szCs w:val="20"/>
                    </w:rPr>
                  </w:pPr>
                  <w:r w:rsidRPr="00505285">
                    <w:rPr>
                      <w:rFonts w:eastAsia="Times New Roman" w:cs="Arial"/>
                      <w:b/>
                      <w:bCs/>
                      <w:color w:val="FFFFFF"/>
                      <w:szCs w:val="20"/>
                    </w:rPr>
                    <w:t>Age (grouped by school-age):</w:t>
                  </w:r>
                </w:p>
              </w:tc>
            </w:tr>
            <w:tr w:rsidR="00247C82" w:rsidRPr="00505285" w14:paraId="75EF6AEC" w14:textId="77777777" w:rsidTr="00C63D4E">
              <w:tc>
                <w:tcPr>
                  <w:tcW w:w="1592" w:type="dxa"/>
                  <w:vAlign w:val="center"/>
                </w:tcPr>
                <w:p w14:paraId="3F517152" w14:textId="77777777" w:rsidR="00247C82" w:rsidRPr="00505285" w:rsidRDefault="00247C82" w:rsidP="00C63D4E">
                  <w:pPr>
                    <w:spacing w:before="60" w:after="120"/>
                    <w:rPr>
                      <w:rFonts w:eastAsia="Times New Roman" w:cs="Arial"/>
                      <w:szCs w:val="20"/>
                    </w:rPr>
                  </w:pPr>
                  <w:r w:rsidRPr="00505285">
                    <w:rPr>
                      <w:rFonts w:eastAsia="Times New Roman" w:cs="Arial"/>
                      <w:szCs w:val="20"/>
                    </w:rPr>
                    <w:t xml:space="preserve">12 to &lt;24 </w:t>
                  </w:r>
                  <w:proofErr w:type="spellStart"/>
                  <w:r w:rsidRPr="00505285">
                    <w:rPr>
                      <w:rFonts w:eastAsia="Times New Roman" w:cs="Arial"/>
                      <w:szCs w:val="20"/>
                    </w:rPr>
                    <w:t>mo</w:t>
                  </w:r>
                  <w:proofErr w:type="spellEnd"/>
                </w:p>
              </w:tc>
              <w:tc>
                <w:tcPr>
                  <w:tcW w:w="1275" w:type="dxa"/>
                  <w:vMerge w:val="restart"/>
                  <w:vAlign w:val="center"/>
                </w:tcPr>
                <w:p w14:paraId="3275222B"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600</w:t>
                  </w:r>
                </w:p>
              </w:tc>
              <w:tc>
                <w:tcPr>
                  <w:tcW w:w="1418" w:type="dxa"/>
                  <w:vAlign w:val="center"/>
                </w:tcPr>
                <w:p w14:paraId="52AC9B1F"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10.6</w:t>
                  </w:r>
                </w:p>
              </w:tc>
              <w:tc>
                <w:tcPr>
                  <w:tcW w:w="1417" w:type="dxa"/>
                  <w:vMerge w:val="restart"/>
                  <w:vAlign w:val="center"/>
                </w:tcPr>
                <w:p w14:paraId="42C7C363"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62.9</w:t>
                  </w:r>
                </w:p>
              </w:tc>
              <w:tc>
                <w:tcPr>
                  <w:tcW w:w="1135" w:type="dxa"/>
                </w:tcPr>
                <w:p w14:paraId="049F7F9D" w14:textId="77777777" w:rsidR="00247C82" w:rsidRPr="00505285" w:rsidRDefault="00247C82" w:rsidP="00C63D4E">
                  <w:pPr>
                    <w:spacing w:before="60" w:after="120"/>
                    <w:rPr>
                      <w:rFonts w:eastAsia="Times New Roman" w:cs="Arial"/>
                      <w:szCs w:val="20"/>
                    </w:rPr>
                  </w:pPr>
                  <w:r w:rsidRPr="00505285">
                    <w:rPr>
                      <w:rFonts w:eastAsia="Times New Roman" w:cs="Arial"/>
                      <w:szCs w:val="20"/>
                    </w:rPr>
                    <w:t>157.8</w:t>
                  </w:r>
                </w:p>
              </w:tc>
            </w:tr>
            <w:tr w:rsidR="00247C82" w:rsidRPr="00505285" w14:paraId="3EAC1D43" w14:textId="77777777" w:rsidTr="00C63D4E">
              <w:tc>
                <w:tcPr>
                  <w:tcW w:w="1592" w:type="dxa"/>
                  <w:vAlign w:val="center"/>
                </w:tcPr>
                <w:p w14:paraId="7CE5C51C" w14:textId="77777777" w:rsidR="00247C82" w:rsidRPr="00505285" w:rsidRDefault="00247C82" w:rsidP="00C63D4E">
                  <w:pPr>
                    <w:spacing w:before="60" w:after="120"/>
                    <w:rPr>
                      <w:rFonts w:eastAsia="Times New Roman" w:cs="Arial"/>
                      <w:szCs w:val="20"/>
                    </w:rPr>
                  </w:pPr>
                  <w:r w:rsidRPr="00505285">
                    <w:rPr>
                      <w:rFonts w:eastAsia="Times New Roman" w:cs="Arial"/>
                      <w:szCs w:val="20"/>
                    </w:rPr>
                    <w:t>2 to &lt;5 yr</w:t>
                  </w:r>
                </w:p>
              </w:tc>
              <w:tc>
                <w:tcPr>
                  <w:tcW w:w="1275" w:type="dxa"/>
                  <w:vMerge/>
                </w:tcPr>
                <w:p w14:paraId="15C7BA3C" w14:textId="77777777" w:rsidR="00247C82" w:rsidRPr="00505285" w:rsidRDefault="00247C82" w:rsidP="00C63D4E">
                  <w:pPr>
                    <w:spacing w:before="60" w:after="120"/>
                    <w:rPr>
                      <w:rFonts w:eastAsia="Times New Roman" w:cs="Arial"/>
                      <w:szCs w:val="20"/>
                    </w:rPr>
                  </w:pPr>
                </w:p>
              </w:tc>
              <w:tc>
                <w:tcPr>
                  <w:tcW w:w="1418" w:type="dxa"/>
                  <w:vAlign w:val="center"/>
                </w:tcPr>
                <w:p w14:paraId="2A405B67"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15.9</w:t>
                  </w:r>
                </w:p>
              </w:tc>
              <w:tc>
                <w:tcPr>
                  <w:tcW w:w="1417" w:type="dxa"/>
                  <w:vMerge/>
                </w:tcPr>
                <w:p w14:paraId="01FF3C76" w14:textId="77777777" w:rsidR="00247C82" w:rsidRPr="00505285" w:rsidRDefault="00247C82" w:rsidP="00C63D4E">
                  <w:pPr>
                    <w:spacing w:before="60" w:after="120"/>
                    <w:rPr>
                      <w:rFonts w:eastAsia="Times New Roman" w:cs="Arial"/>
                      <w:szCs w:val="20"/>
                    </w:rPr>
                  </w:pPr>
                </w:p>
              </w:tc>
              <w:tc>
                <w:tcPr>
                  <w:tcW w:w="1135" w:type="dxa"/>
                </w:tcPr>
                <w:p w14:paraId="37BF3DA1" w14:textId="77777777" w:rsidR="00247C82" w:rsidRPr="00505285" w:rsidRDefault="00247C82" w:rsidP="00C63D4E">
                  <w:pPr>
                    <w:spacing w:before="60" w:after="120"/>
                    <w:rPr>
                      <w:rFonts w:eastAsia="Times New Roman" w:cs="Arial"/>
                      <w:szCs w:val="20"/>
                    </w:rPr>
                  </w:pPr>
                  <w:r w:rsidRPr="00505285">
                    <w:rPr>
                      <w:rFonts w:eastAsia="Times New Roman" w:cs="Arial"/>
                      <w:szCs w:val="20"/>
                    </w:rPr>
                    <w:t>213.9</w:t>
                  </w:r>
                </w:p>
              </w:tc>
            </w:tr>
            <w:tr w:rsidR="00247C82" w:rsidRPr="00505285" w14:paraId="56587B6B" w14:textId="77777777" w:rsidTr="00C63D4E">
              <w:tc>
                <w:tcPr>
                  <w:tcW w:w="1592" w:type="dxa"/>
                  <w:vAlign w:val="center"/>
                </w:tcPr>
                <w:p w14:paraId="6BEB60AA" w14:textId="77777777" w:rsidR="00247C82" w:rsidRPr="00505285" w:rsidRDefault="00247C82" w:rsidP="00C63D4E">
                  <w:pPr>
                    <w:spacing w:before="60" w:after="120"/>
                    <w:rPr>
                      <w:rFonts w:eastAsia="Times New Roman" w:cs="Arial"/>
                      <w:szCs w:val="20"/>
                    </w:rPr>
                  </w:pPr>
                  <w:r w:rsidRPr="00505285">
                    <w:rPr>
                      <w:rFonts w:eastAsia="Times New Roman" w:cs="Arial"/>
                      <w:szCs w:val="20"/>
                    </w:rPr>
                    <w:t>5 to &lt;12 yr</w:t>
                  </w:r>
                </w:p>
              </w:tc>
              <w:tc>
                <w:tcPr>
                  <w:tcW w:w="1275" w:type="dxa"/>
                  <w:vMerge/>
                </w:tcPr>
                <w:p w14:paraId="3FE844FB" w14:textId="77777777" w:rsidR="00247C82" w:rsidRPr="00505285" w:rsidRDefault="00247C82" w:rsidP="00C63D4E">
                  <w:pPr>
                    <w:spacing w:before="60" w:after="120"/>
                    <w:rPr>
                      <w:rFonts w:eastAsia="Times New Roman" w:cs="Arial"/>
                      <w:szCs w:val="20"/>
                    </w:rPr>
                  </w:pPr>
                </w:p>
              </w:tc>
              <w:tc>
                <w:tcPr>
                  <w:tcW w:w="1418" w:type="dxa"/>
                  <w:vAlign w:val="center"/>
                </w:tcPr>
                <w:p w14:paraId="4CAB2853"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28.6</w:t>
                  </w:r>
                </w:p>
              </w:tc>
              <w:tc>
                <w:tcPr>
                  <w:tcW w:w="1417" w:type="dxa"/>
                  <w:vMerge/>
                </w:tcPr>
                <w:p w14:paraId="5D36DB81" w14:textId="77777777" w:rsidR="00247C82" w:rsidRPr="00505285" w:rsidRDefault="00247C82" w:rsidP="00C63D4E">
                  <w:pPr>
                    <w:spacing w:before="60" w:after="120"/>
                    <w:rPr>
                      <w:rFonts w:eastAsia="Times New Roman" w:cs="Arial"/>
                      <w:szCs w:val="20"/>
                    </w:rPr>
                  </w:pPr>
                </w:p>
              </w:tc>
              <w:tc>
                <w:tcPr>
                  <w:tcW w:w="1135" w:type="dxa"/>
                </w:tcPr>
                <w:p w14:paraId="1C8FDE86" w14:textId="77777777" w:rsidR="00247C82" w:rsidRPr="00505285" w:rsidRDefault="00247C82" w:rsidP="00C63D4E">
                  <w:pPr>
                    <w:spacing w:before="60" w:after="120"/>
                    <w:rPr>
                      <w:rFonts w:eastAsia="Times New Roman" w:cs="Arial"/>
                      <w:szCs w:val="20"/>
                    </w:rPr>
                  </w:pPr>
                  <w:r w:rsidRPr="00505285">
                    <w:rPr>
                      <w:rFonts w:eastAsia="Times New Roman" w:cs="Arial"/>
                      <w:szCs w:val="20"/>
                    </w:rPr>
                    <w:t>332.2</w:t>
                  </w:r>
                </w:p>
              </w:tc>
            </w:tr>
            <w:tr w:rsidR="00247C82" w:rsidRPr="00505285" w14:paraId="2817257E" w14:textId="77777777" w:rsidTr="00C63D4E">
              <w:tc>
                <w:tcPr>
                  <w:tcW w:w="1592" w:type="dxa"/>
                  <w:vAlign w:val="center"/>
                </w:tcPr>
                <w:p w14:paraId="1B838F51" w14:textId="77777777" w:rsidR="00247C82" w:rsidRPr="00505285" w:rsidRDefault="00247C82" w:rsidP="00C63D4E">
                  <w:pPr>
                    <w:spacing w:before="60" w:after="120"/>
                    <w:rPr>
                      <w:rFonts w:eastAsia="Times New Roman" w:cs="Arial"/>
                      <w:szCs w:val="20"/>
                    </w:rPr>
                  </w:pPr>
                  <w:r w:rsidRPr="00505285">
                    <w:rPr>
                      <w:rFonts w:eastAsia="Times New Roman" w:cs="Arial"/>
                      <w:szCs w:val="20"/>
                    </w:rPr>
                    <w:t>12 to &lt;18 yr</w:t>
                  </w:r>
                </w:p>
              </w:tc>
              <w:tc>
                <w:tcPr>
                  <w:tcW w:w="1275" w:type="dxa"/>
                  <w:vMerge/>
                </w:tcPr>
                <w:p w14:paraId="211DC8EE" w14:textId="77777777" w:rsidR="00247C82" w:rsidRPr="00505285" w:rsidRDefault="00247C82" w:rsidP="00C63D4E">
                  <w:pPr>
                    <w:spacing w:before="60" w:after="120"/>
                    <w:rPr>
                      <w:rFonts w:eastAsia="Times New Roman" w:cs="Arial"/>
                      <w:szCs w:val="20"/>
                    </w:rPr>
                  </w:pPr>
                </w:p>
              </w:tc>
              <w:tc>
                <w:tcPr>
                  <w:tcW w:w="1418" w:type="dxa"/>
                  <w:vAlign w:val="center"/>
                </w:tcPr>
                <w:p w14:paraId="0EB21646"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54.5</w:t>
                  </w:r>
                </w:p>
              </w:tc>
              <w:tc>
                <w:tcPr>
                  <w:tcW w:w="1417" w:type="dxa"/>
                  <w:vMerge/>
                </w:tcPr>
                <w:p w14:paraId="610D3DAA" w14:textId="77777777" w:rsidR="00247C82" w:rsidRPr="00505285" w:rsidRDefault="00247C82" w:rsidP="00C63D4E">
                  <w:pPr>
                    <w:spacing w:before="60" w:after="120"/>
                    <w:rPr>
                      <w:rFonts w:eastAsia="Times New Roman" w:cs="Arial"/>
                      <w:szCs w:val="20"/>
                    </w:rPr>
                  </w:pPr>
                </w:p>
              </w:tc>
              <w:tc>
                <w:tcPr>
                  <w:tcW w:w="1135" w:type="dxa"/>
                </w:tcPr>
                <w:p w14:paraId="5403927A" w14:textId="77777777" w:rsidR="00247C82" w:rsidRPr="00505285" w:rsidRDefault="00247C82" w:rsidP="00C63D4E">
                  <w:pPr>
                    <w:spacing w:before="60" w:after="120"/>
                    <w:rPr>
                      <w:rFonts w:eastAsia="Times New Roman" w:cs="Arial"/>
                      <w:szCs w:val="20"/>
                    </w:rPr>
                  </w:pPr>
                  <w:r w:rsidRPr="00505285">
                    <w:rPr>
                      <w:rFonts w:eastAsia="Times New Roman" w:cs="Arial"/>
                      <w:szCs w:val="20"/>
                    </w:rPr>
                    <w:t>538.8</w:t>
                  </w:r>
                </w:p>
              </w:tc>
            </w:tr>
          </w:tbl>
          <w:p w14:paraId="1B061E14" w14:textId="205F987E" w:rsidR="00247C82" w:rsidRPr="00505285" w:rsidRDefault="00247C82">
            <w:pPr>
              <w:keepNext/>
              <w:spacing w:before="240"/>
              <w:cnfStyle w:val="000000000000" w:firstRow="0" w:lastRow="0" w:firstColumn="0" w:lastColumn="0" w:oddVBand="0" w:evenVBand="0" w:oddHBand="0" w:evenHBand="0" w:firstRowFirstColumn="0" w:firstRowLastColumn="0" w:lastRowFirstColumn="0" w:lastRowLastColumn="0"/>
              <w:rPr>
                <w:rFonts w:eastAsia="Arial" w:cs="Arial"/>
                <w:iCs/>
                <w:caps/>
                <w:szCs w:val="20"/>
              </w:rPr>
            </w:pPr>
            <w:r w:rsidRPr="00505285">
              <w:rPr>
                <w:rFonts w:eastAsia="Arial" w:cs="Arial"/>
                <w:iCs/>
                <w:caps/>
                <w:szCs w:val="20"/>
              </w:rPr>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9</w:t>
            </w:r>
            <w:r w:rsidRPr="00505285">
              <w:rPr>
                <w:rFonts w:eastAsia="Arial" w:cs="Arial"/>
                <w:iCs/>
                <w:caps/>
                <w:noProof/>
                <w:szCs w:val="20"/>
              </w:rPr>
              <w:fldChar w:fldCharType="end"/>
            </w:r>
            <w:r w:rsidRPr="00505285">
              <w:rPr>
                <w:rFonts w:eastAsia="Arial" w:cs="Arial"/>
                <w:iCs/>
                <w:caps/>
                <w:szCs w:val="20"/>
              </w:rPr>
              <w:t xml:space="preserve"> - rounding for extrapolated child and adolescent ULs</w:t>
            </w:r>
          </w:p>
          <w:tbl>
            <w:tblPr>
              <w:tblStyle w:val="TableGrid3"/>
              <w:tblW w:w="0" w:type="auto"/>
              <w:tblInd w:w="0" w:type="dxa"/>
              <w:tblLook w:val="04A0" w:firstRow="1" w:lastRow="0" w:firstColumn="1" w:lastColumn="0" w:noHBand="0" w:noVBand="1"/>
            </w:tblPr>
            <w:tblGrid>
              <w:gridCol w:w="1592"/>
              <w:gridCol w:w="1555"/>
              <w:gridCol w:w="1276"/>
              <w:gridCol w:w="1275"/>
            </w:tblGrid>
            <w:tr w:rsidR="00247C82" w:rsidRPr="00505285" w14:paraId="31C02663" w14:textId="77777777">
              <w:tc>
                <w:tcPr>
                  <w:tcW w:w="1592" w:type="dxa"/>
                  <w:shd w:val="clear" w:color="auto" w:fill="005F85"/>
                </w:tcPr>
                <w:p w14:paraId="54BCADCC" w14:textId="77777777" w:rsidR="00247C82" w:rsidRPr="00505285" w:rsidRDefault="00247C82" w:rsidP="00C63D4E">
                  <w:pPr>
                    <w:spacing w:before="60" w:after="120"/>
                    <w:rPr>
                      <w:rFonts w:eastAsia="Times New Roman" w:cs="Arial"/>
                      <w:b/>
                      <w:bCs/>
                      <w:color w:val="FFFFFF"/>
                      <w:szCs w:val="20"/>
                    </w:rPr>
                  </w:pPr>
                  <w:r w:rsidRPr="00505285">
                    <w:rPr>
                      <w:rFonts w:eastAsia="Times New Roman" w:cs="Arial"/>
                      <w:b/>
                      <w:bCs/>
                      <w:color w:val="FFFFFF"/>
                      <w:szCs w:val="20"/>
                    </w:rPr>
                    <w:t>Age group</w:t>
                  </w:r>
                </w:p>
              </w:tc>
              <w:tc>
                <w:tcPr>
                  <w:tcW w:w="1555" w:type="dxa"/>
                  <w:shd w:val="clear" w:color="auto" w:fill="005F85"/>
                </w:tcPr>
                <w:p w14:paraId="65643E5A" w14:textId="77777777" w:rsidR="00247C82" w:rsidRPr="00505285" w:rsidRDefault="00247C82" w:rsidP="00C63D4E">
                  <w:pPr>
                    <w:spacing w:before="60" w:after="120"/>
                    <w:jc w:val="center"/>
                    <w:rPr>
                      <w:rFonts w:eastAsia="Times New Roman" w:cs="Arial"/>
                      <w:b/>
                      <w:bCs/>
                      <w:color w:val="FFFFFF"/>
                      <w:szCs w:val="20"/>
                      <w:vertAlign w:val="subscript"/>
                    </w:rPr>
                  </w:pPr>
                  <w:r w:rsidRPr="00505285">
                    <w:rPr>
                      <w:rFonts w:eastAsia="Times New Roman" w:cs="Arial"/>
                      <w:b/>
                      <w:bCs/>
                      <w:color w:val="FFFFFF"/>
                      <w:szCs w:val="20"/>
                    </w:rPr>
                    <w:t xml:space="preserve">Calculated </w:t>
                  </w:r>
                  <w:proofErr w:type="spellStart"/>
                  <w:r w:rsidRPr="00505285">
                    <w:rPr>
                      <w:rFonts w:eastAsia="Times New Roman" w:cs="Arial"/>
                      <w:b/>
                      <w:bCs/>
                      <w:color w:val="FFFFFF"/>
                      <w:szCs w:val="20"/>
                    </w:rPr>
                    <w:t>UL</w:t>
                  </w:r>
                  <w:r w:rsidRPr="00505285">
                    <w:rPr>
                      <w:rFonts w:eastAsia="Times New Roman" w:cs="Arial"/>
                      <w:b/>
                      <w:bCs/>
                      <w:color w:val="FFFFFF"/>
                      <w:szCs w:val="20"/>
                      <w:vertAlign w:val="subscript"/>
                    </w:rPr>
                    <w:t>child</w:t>
                  </w:r>
                  <w:proofErr w:type="spellEnd"/>
                </w:p>
                <w:p w14:paraId="51B8FB54" w14:textId="77777777" w:rsidR="00247C82" w:rsidRPr="00505285" w:rsidRDefault="00247C82" w:rsidP="00C63D4E">
                  <w:pPr>
                    <w:spacing w:before="60" w:after="120"/>
                    <w:jc w:val="center"/>
                    <w:rPr>
                      <w:rFonts w:eastAsia="Times New Roman" w:cs="Arial"/>
                      <w:b/>
                      <w:bCs/>
                      <w:color w:val="FFFFFF"/>
                      <w:szCs w:val="20"/>
                    </w:rPr>
                  </w:pPr>
                  <w:r w:rsidRPr="00505285">
                    <w:rPr>
                      <w:rFonts w:eastAsia="Times New Roman" w:cs="Times New Roman"/>
                      <w:b/>
                      <w:bCs/>
                      <w:color w:val="FFFFFF"/>
                      <w:szCs w:val="20"/>
                    </w:rPr>
                    <w:t>(µg/day)</w:t>
                  </w:r>
                </w:p>
              </w:tc>
              <w:tc>
                <w:tcPr>
                  <w:tcW w:w="1276" w:type="dxa"/>
                  <w:shd w:val="clear" w:color="auto" w:fill="005F85"/>
                </w:tcPr>
                <w:p w14:paraId="408EB04A" w14:textId="77777777" w:rsidR="00247C82" w:rsidRPr="00505285" w:rsidRDefault="00247C82" w:rsidP="00C63D4E">
                  <w:pPr>
                    <w:spacing w:before="60" w:after="120"/>
                    <w:jc w:val="center"/>
                    <w:rPr>
                      <w:rFonts w:eastAsia="Times New Roman" w:cs="Arial"/>
                      <w:b/>
                      <w:bCs/>
                      <w:color w:val="FFFFFF"/>
                      <w:szCs w:val="20"/>
                    </w:rPr>
                  </w:pPr>
                  <w:r w:rsidRPr="00505285">
                    <w:rPr>
                      <w:rFonts w:eastAsia="Times New Roman" w:cs="Arial"/>
                      <w:b/>
                      <w:bCs/>
                      <w:color w:val="FFFFFF"/>
                      <w:szCs w:val="20"/>
                    </w:rPr>
                    <w:t>Rounding</w:t>
                  </w:r>
                </w:p>
                <w:p w14:paraId="3D0DDA81" w14:textId="77777777" w:rsidR="00247C82" w:rsidRPr="00505285" w:rsidRDefault="00247C82" w:rsidP="00C63D4E">
                  <w:pPr>
                    <w:spacing w:before="60" w:after="120"/>
                    <w:jc w:val="center"/>
                    <w:rPr>
                      <w:rFonts w:eastAsia="Times New Roman" w:cs="Arial"/>
                      <w:b/>
                      <w:bCs/>
                      <w:color w:val="FFFFFF"/>
                      <w:szCs w:val="20"/>
                    </w:rPr>
                  </w:pPr>
                  <w:r w:rsidRPr="00505285">
                    <w:rPr>
                      <w:rFonts w:eastAsia="Times New Roman" w:cs="Times New Roman"/>
                      <w:b/>
                      <w:bCs/>
                      <w:color w:val="FFFFFF"/>
                      <w:szCs w:val="20"/>
                    </w:rPr>
                    <w:t>(µg/day)</w:t>
                  </w:r>
                </w:p>
              </w:tc>
              <w:tc>
                <w:tcPr>
                  <w:tcW w:w="1275" w:type="dxa"/>
                  <w:shd w:val="clear" w:color="auto" w:fill="005F85"/>
                </w:tcPr>
                <w:p w14:paraId="5784559D" w14:textId="77777777" w:rsidR="00247C82" w:rsidRPr="00505285" w:rsidRDefault="00247C82" w:rsidP="00C63D4E">
                  <w:pPr>
                    <w:spacing w:before="60" w:after="120"/>
                    <w:jc w:val="center"/>
                    <w:rPr>
                      <w:rFonts w:eastAsia="Times New Roman" w:cs="Arial"/>
                      <w:b/>
                      <w:bCs/>
                      <w:color w:val="FFFFFF"/>
                      <w:szCs w:val="20"/>
                      <w:vertAlign w:val="subscript"/>
                    </w:rPr>
                  </w:pPr>
                  <w:r w:rsidRPr="00505285">
                    <w:rPr>
                      <w:rFonts w:eastAsia="Times New Roman" w:cs="Arial"/>
                      <w:b/>
                      <w:bCs/>
                      <w:color w:val="FFFFFF"/>
                      <w:szCs w:val="20"/>
                    </w:rPr>
                    <w:t xml:space="preserve">Proposed </w:t>
                  </w:r>
                  <w:proofErr w:type="spellStart"/>
                  <w:r w:rsidRPr="00505285">
                    <w:rPr>
                      <w:rFonts w:eastAsia="Times New Roman" w:cs="Arial"/>
                      <w:b/>
                      <w:bCs/>
                      <w:color w:val="FFFFFF"/>
                      <w:szCs w:val="20"/>
                    </w:rPr>
                    <w:t>UL</w:t>
                  </w:r>
                  <w:r w:rsidRPr="00505285">
                    <w:rPr>
                      <w:rFonts w:eastAsia="Times New Roman" w:cs="Arial"/>
                      <w:b/>
                      <w:bCs/>
                      <w:color w:val="FFFFFF"/>
                      <w:szCs w:val="20"/>
                      <w:vertAlign w:val="subscript"/>
                    </w:rPr>
                    <w:t>child</w:t>
                  </w:r>
                  <w:proofErr w:type="spellEnd"/>
                </w:p>
                <w:p w14:paraId="0AD53E35" w14:textId="77777777" w:rsidR="00247C82" w:rsidRPr="00505285" w:rsidRDefault="00247C82" w:rsidP="00C63D4E">
                  <w:pPr>
                    <w:spacing w:before="60" w:after="120"/>
                    <w:jc w:val="center"/>
                    <w:rPr>
                      <w:rFonts w:eastAsia="Times New Roman" w:cs="Arial"/>
                      <w:b/>
                      <w:bCs/>
                      <w:color w:val="FFFFFF"/>
                      <w:szCs w:val="20"/>
                    </w:rPr>
                  </w:pPr>
                  <w:r w:rsidRPr="00505285">
                    <w:rPr>
                      <w:rFonts w:eastAsia="Times New Roman" w:cs="Times New Roman"/>
                      <w:b/>
                      <w:bCs/>
                      <w:color w:val="FFFFFF"/>
                      <w:szCs w:val="20"/>
                    </w:rPr>
                    <w:t>(µg/day)</w:t>
                  </w:r>
                </w:p>
              </w:tc>
            </w:tr>
            <w:tr w:rsidR="00247C82" w:rsidRPr="00505285" w14:paraId="51D32B0A" w14:textId="77777777">
              <w:tc>
                <w:tcPr>
                  <w:tcW w:w="5698" w:type="dxa"/>
                  <w:gridSpan w:val="4"/>
                  <w:shd w:val="clear" w:color="auto" w:fill="005F85"/>
                  <w:vAlign w:val="center"/>
                </w:tcPr>
                <w:p w14:paraId="338D611B" w14:textId="77777777" w:rsidR="00247C82" w:rsidRPr="00505285" w:rsidRDefault="00247C82" w:rsidP="00C63D4E">
                  <w:pPr>
                    <w:spacing w:before="60" w:after="120"/>
                    <w:rPr>
                      <w:rFonts w:eastAsia="Times New Roman" w:cs="Arial"/>
                      <w:szCs w:val="20"/>
                    </w:rPr>
                  </w:pPr>
                  <w:r w:rsidRPr="00505285">
                    <w:rPr>
                      <w:rFonts w:eastAsia="Times New Roman" w:cs="Arial"/>
                      <w:b/>
                      <w:bCs/>
                      <w:color w:val="FFFFFF"/>
                      <w:szCs w:val="20"/>
                    </w:rPr>
                    <w:t>NRVs age groupings:</w:t>
                  </w:r>
                </w:p>
              </w:tc>
            </w:tr>
            <w:tr w:rsidR="00247C82" w:rsidRPr="00505285" w14:paraId="0AD63636" w14:textId="77777777">
              <w:tc>
                <w:tcPr>
                  <w:tcW w:w="1592" w:type="dxa"/>
                  <w:vAlign w:val="bottom"/>
                </w:tcPr>
                <w:p w14:paraId="2D26FD7E" w14:textId="77777777" w:rsidR="00247C82" w:rsidRPr="00505285" w:rsidRDefault="00247C82" w:rsidP="00C63D4E">
                  <w:pPr>
                    <w:spacing w:before="60" w:after="120"/>
                    <w:rPr>
                      <w:rFonts w:eastAsia="Times New Roman" w:cs="Arial"/>
                      <w:szCs w:val="20"/>
                    </w:rPr>
                  </w:pPr>
                  <w:r w:rsidRPr="00505285">
                    <w:rPr>
                      <w:rFonts w:eastAsia="Times New Roman" w:cs="Arial"/>
                      <w:szCs w:val="20"/>
                    </w:rPr>
                    <w:lastRenderedPageBreak/>
                    <w:t>1 to &lt;4 yr</w:t>
                  </w:r>
                </w:p>
              </w:tc>
              <w:tc>
                <w:tcPr>
                  <w:tcW w:w="1555" w:type="dxa"/>
                </w:tcPr>
                <w:p w14:paraId="4BD7A2F7"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183.9</w:t>
                  </w:r>
                </w:p>
              </w:tc>
              <w:tc>
                <w:tcPr>
                  <w:tcW w:w="1276" w:type="dxa"/>
                  <w:vAlign w:val="center"/>
                </w:tcPr>
                <w:p w14:paraId="2A93AF8E"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16.1</w:t>
                  </w:r>
                </w:p>
              </w:tc>
              <w:tc>
                <w:tcPr>
                  <w:tcW w:w="1275" w:type="dxa"/>
                  <w:vAlign w:val="center"/>
                </w:tcPr>
                <w:p w14:paraId="7EC29B8C"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200</w:t>
                  </w:r>
                </w:p>
              </w:tc>
            </w:tr>
            <w:tr w:rsidR="00247C82" w:rsidRPr="00505285" w14:paraId="466B9238" w14:textId="77777777">
              <w:tc>
                <w:tcPr>
                  <w:tcW w:w="1592" w:type="dxa"/>
                  <w:vAlign w:val="bottom"/>
                </w:tcPr>
                <w:p w14:paraId="56EA5BE8" w14:textId="77777777" w:rsidR="00247C82" w:rsidRPr="00505285" w:rsidRDefault="00247C82" w:rsidP="00C63D4E">
                  <w:pPr>
                    <w:spacing w:before="60" w:after="120"/>
                    <w:rPr>
                      <w:rFonts w:eastAsia="Times New Roman" w:cs="Arial"/>
                      <w:szCs w:val="20"/>
                    </w:rPr>
                  </w:pPr>
                  <w:r w:rsidRPr="00505285">
                    <w:rPr>
                      <w:rFonts w:eastAsia="Times New Roman" w:cs="Arial"/>
                      <w:szCs w:val="20"/>
                    </w:rPr>
                    <w:t xml:space="preserve">4 to &lt;9 yr </w:t>
                  </w:r>
                </w:p>
              </w:tc>
              <w:tc>
                <w:tcPr>
                  <w:tcW w:w="1555" w:type="dxa"/>
                </w:tcPr>
                <w:p w14:paraId="77D4A626"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276.6</w:t>
                  </w:r>
                </w:p>
              </w:tc>
              <w:tc>
                <w:tcPr>
                  <w:tcW w:w="1276" w:type="dxa"/>
                  <w:vAlign w:val="center"/>
                </w:tcPr>
                <w:p w14:paraId="33F6FBF6"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23.4</w:t>
                  </w:r>
                </w:p>
              </w:tc>
              <w:tc>
                <w:tcPr>
                  <w:tcW w:w="1275" w:type="dxa"/>
                  <w:vAlign w:val="center"/>
                </w:tcPr>
                <w:p w14:paraId="252CE575"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300</w:t>
                  </w:r>
                </w:p>
              </w:tc>
            </w:tr>
            <w:tr w:rsidR="00247C82" w:rsidRPr="00505285" w14:paraId="4EFA11E0" w14:textId="77777777">
              <w:tc>
                <w:tcPr>
                  <w:tcW w:w="1592" w:type="dxa"/>
                  <w:vAlign w:val="bottom"/>
                </w:tcPr>
                <w:p w14:paraId="27D54A95" w14:textId="77777777" w:rsidR="00247C82" w:rsidRPr="00505285" w:rsidRDefault="00247C82" w:rsidP="00C63D4E">
                  <w:pPr>
                    <w:spacing w:before="60" w:after="120"/>
                    <w:rPr>
                      <w:rFonts w:eastAsia="Times New Roman" w:cs="Arial"/>
                      <w:szCs w:val="20"/>
                    </w:rPr>
                  </w:pPr>
                  <w:r w:rsidRPr="00505285">
                    <w:rPr>
                      <w:rFonts w:eastAsia="Times New Roman" w:cs="Arial"/>
                      <w:szCs w:val="20"/>
                    </w:rPr>
                    <w:t>9 to &lt;14 yr</w:t>
                  </w:r>
                </w:p>
              </w:tc>
              <w:tc>
                <w:tcPr>
                  <w:tcW w:w="1555" w:type="dxa"/>
                </w:tcPr>
                <w:p w14:paraId="3C9B009C"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432.9</w:t>
                  </w:r>
                </w:p>
              </w:tc>
              <w:tc>
                <w:tcPr>
                  <w:tcW w:w="1276" w:type="dxa"/>
                  <w:vAlign w:val="center"/>
                </w:tcPr>
                <w:p w14:paraId="21732948"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17.1</w:t>
                  </w:r>
                </w:p>
              </w:tc>
              <w:tc>
                <w:tcPr>
                  <w:tcW w:w="1275" w:type="dxa"/>
                  <w:vAlign w:val="center"/>
                </w:tcPr>
                <w:p w14:paraId="5A036301"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450</w:t>
                  </w:r>
                </w:p>
              </w:tc>
            </w:tr>
            <w:tr w:rsidR="00247C82" w:rsidRPr="00505285" w14:paraId="73DD0AE9" w14:textId="77777777">
              <w:tc>
                <w:tcPr>
                  <w:tcW w:w="1592" w:type="dxa"/>
                  <w:vAlign w:val="bottom"/>
                </w:tcPr>
                <w:p w14:paraId="6A8CA985" w14:textId="77777777" w:rsidR="00247C82" w:rsidRPr="00505285" w:rsidRDefault="00247C82" w:rsidP="00C63D4E">
                  <w:pPr>
                    <w:spacing w:before="60" w:after="120"/>
                    <w:rPr>
                      <w:rFonts w:eastAsia="Times New Roman" w:cs="Arial"/>
                      <w:szCs w:val="20"/>
                    </w:rPr>
                  </w:pPr>
                  <w:r w:rsidRPr="00505285">
                    <w:rPr>
                      <w:rFonts w:eastAsia="Times New Roman" w:cs="Arial"/>
                      <w:szCs w:val="20"/>
                    </w:rPr>
                    <w:t>14 to &lt;18 yr</w:t>
                  </w:r>
                </w:p>
              </w:tc>
              <w:tc>
                <w:tcPr>
                  <w:tcW w:w="1555" w:type="dxa"/>
                </w:tcPr>
                <w:p w14:paraId="315049C7"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561.7</w:t>
                  </w:r>
                </w:p>
              </w:tc>
              <w:tc>
                <w:tcPr>
                  <w:tcW w:w="1276" w:type="dxa"/>
                  <w:vAlign w:val="center"/>
                </w:tcPr>
                <w:p w14:paraId="702B37CC"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-11.7</w:t>
                  </w:r>
                </w:p>
              </w:tc>
              <w:tc>
                <w:tcPr>
                  <w:tcW w:w="1275" w:type="dxa"/>
                  <w:vAlign w:val="center"/>
                </w:tcPr>
                <w:p w14:paraId="45088B83"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550</w:t>
                  </w:r>
                </w:p>
              </w:tc>
            </w:tr>
            <w:tr w:rsidR="00247C82" w:rsidRPr="00505285" w14:paraId="35CD6356" w14:textId="77777777">
              <w:tc>
                <w:tcPr>
                  <w:tcW w:w="5698" w:type="dxa"/>
                  <w:gridSpan w:val="4"/>
                  <w:shd w:val="clear" w:color="auto" w:fill="005F85"/>
                  <w:vAlign w:val="center"/>
                </w:tcPr>
                <w:p w14:paraId="01F8832F" w14:textId="77777777" w:rsidR="00247C82" w:rsidRPr="00505285" w:rsidRDefault="00247C82" w:rsidP="00C63D4E">
                  <w:pPr>
                    <w:spacing w:before="60" w:after="120"/>
                    <w:rPr>
                      <w:rFonts w:eastAsia="Times New Roman" w:cs="Arial"/>
                      <w:szCs w:val="20"/>
                    </w:rPr>
                  </w:pPr>
                  <w:r w:rsidRPr="00505285">
                    <w:rPr>
                      <w:rFonts w:eastAsia="Times New Roman" w:cs="Arial"/>
                      <w:b/>
                      <w:bCs/>
                      <w:color w:val="FFFFFF"/>
                      <w:szCs w:val="20"/>
                    </w:rPr>
                    <w:t>Age (grouped by school-age):</w:t>
                  </w:r>
                </w:p>
              </w:tc>
            </w:tr>
            <w:tr w:rsidR="00247C82" w:rsidRPr="00505285" w14:paraId="6821F992" w14:textId="77777777">
              <w:tc>
                <w:tcPr>
                  <w:tcW w:w="1592" w:type="dxa"/>
                  <w:vAlign w:val="center"/>
                </w:tcPr>
                <w:p w14:paraId="2368BC1A" w14:textId="77777777" w:rsidR="00247C82" w:rsidRPr="00505285" w:rsidRDefault="00247C82" w:rsidP="00C63D4E">
                  <w:pPr>
                    <w:spacing w:before="60" w:after="120"/>
                    <w:rPr>
                      <w:rFonts w:eastAsia="Times New Roman" w:cs="Arial"/>
                      <w:szCs w:val="20"/>
                    </w:rPr>
                  </w:pPr>
                  <w:r w:rsidRPr="00505285">
                    <w:rPr>
                      <w:rFonts w:eastAsia="Times New Roman" w:cs="Arial"/>
                      <w:szCs w:val="20"/>
                    </w:rPr>
                    <w:t xml:space="preserve">12 to &lt;24 </w:t>
                  </w:r>
                  <w:proofErr w:type="spellStart"/>
                  <w:r w:rsidRPr="00505285">
                    <w:rPr>
                      <w:rFonts w:eastAsia="Times New Roman" w:cs="Arial"/>
                      <w:szCs w:val="20"/>
                    </w:rPr>
                    <w:t>mo</w:t>
                  </w:r>
                  <w:proofErr w:type="spellEnd"/>
                </w:p>
              </w:tc>
              <w:tc>
                <w:tcPr>
                  <w:tcW w:w="1555" w:type="dxa"/>
                </w:tcPr>
                <w:p w14:paraId="04050478"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157.8</w:t>
                  </w:r>
                </w:p>
              </w:tc>
              <w:tc>
                <w:tcPr>
                  <w:tcW w:w="1276" w:type="dxa"/>
                  <w:vAlign w:val="center"/>
                </w:tcPr>
                <w:p w14:paraId="4F892CF6"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42.2</w:t>
                  </w:r>
                </w:p>
              </w:tc>
              <w:tc>
                <w:tcPr>
                  <w:tcW w:w="1275" w:type="dxa"/>
                  <w:vAlign w:val="center"/>
                </w:tcPr>
                <w:p w14:paraId="5C8EAA23"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200</w:t>
                  </w:r>
                </w:p>
              </w:tc>
            </w:tr>
            <w:tr w:rsidR="00247C82" w:rsidRPr="00505285" w14:paraId="3F5E2FC6" w14:textId="77777777">
              <w:tc>
                <w:tcPr>
                  <w:tcW w:w="1592" w:type="dxa"/>
                  <w:vAlign w:val="center"/>
                </w:tcPr>
                <w:p w14:paraId="7A7055B7" w14:textId="77777777" w:rsidR="00247C82" w:rsidRPr="00505285" w:rsidRDefault="00247C82" w:rsidP="00C63D4E">
                  <w:pPr>
                    <w:spacing w:before="60" w:after="120"/>
                    <w:rPr>
                      <w:rFonts w:eastAsia="Times New Roman" w:cs="Arial"/>
                      <w:szCs w:val="20"/>
                    </w:rPr>
                  </w:pPr>
                  <w:r w:rsidRPr="00505285">
                    <w:rPr>
                      <w:rFonts w:eastAsia="Times New Roman" w:cs="Arial"/>
                      <w:szCs w:val="20"/>
                    </w:rPr>
                    <w:t>2 to &lt;5 yr</w:t>
                  </w:r>
                </w:p>
              </w:tc>
              <w:tc>
                <w:tcPr>
                  <w:tcW w:w="1555" w:type="dxa"/>
                </w:tcPr>
                <w:p w14:paraId="42953B1A"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213.9</w:t>
                  </w:r>
                </w:p>
              </w:tc>
              <w:tc>
                <w:tcPr>
                  <w:tcW w:w="1276" w:type="dxa"/>
                  <w:vAlign w:val="center"/>
                </w:tcPr>
                <w:p w14:paraId="72092464"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36.1</w:t>
                  </w:r>
                </w:p>
              </w:tc>
              <w:tc>
                <w:tcPr>
                  <w:tcW w:w="1275" w:type="dxa"/>
                  <w:vAlign w:val="center"/>
                </w:tcPr>
                <w:p w14:paraId="63C60943"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250</w:t>
                  </w:r>
                </w:p>
              </w:tc>
            </w:tr>
            <w:tr w:rsidR="00247C82" w:rsidRPr="00505285" w14:paraId="3C30DC5C" w14:textId="77777777">
              <w:tc>
                <w:tcPr>
                  <w:tcW w:w="1592" w:type="dxa"/>
                  <w:vAlign w:val="center"/>
                </w:tcPr>
                <w:p w14:paraId="1B5B9001" w14:textId="77777777" w:rsidR="00247C82" w:rsidRPr="00505285" w:rsidRDefault="00247C82" w:rsidP="00C63D4E">
                  <w:pPr>
                    <w:spacing w:before="60" w:after="120"/>
                    <w:rPr>
                      <w:rFonts w:eastAsia="Times New Roman" w:cs="Arial"/>
                      <w:szCs w:val="20"/>
                    </w:rPr>
                  </w:pPr>
                  <w:r w:rsidRPr="00505285">
                    <w:rPr>
                      <w:rFonts w:eastAsia="Times New Roman" w:cs="Arial"/>
                      <w:szCs w:val="20"/>
                    </w:rPr>
                    <w:t>5 to &lt;12 yr</w:t>
                  </w:r>
                </w:p>
              </w:tc>
              <w:tc>
                <w:tcPr>
                  <w:tcW w:w="1555" w:type="dxa"/>
                </w:tcPr>
                <w:p w14:paraId="22B03E5F"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332.2</w:t>
                  </w:r>
                </w:p>
              </w:tc>
              <w:tc>
                <w:tcPr>
                  <w:tcW w:w="1276" w:type="dxa"/>
                  <w:vAlign w:val="center"/>
                </w:tcPr>
                <w:p w14:paraId="5E558B57"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17.8</w:t>
                  </w:r>
                </w:p>
              </w:tc>
              <w:tc>
                <w:tcPr>
                  <w:tcW w:w="1275" w:type="dxa"/>
                  <w:vAlign w:val="center"/>
                </w:tcPr>
                <w:p w14:paraId="12CF77BA"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350</w:t>
                  </w:r>
                </w:p>
              </w:tc>
            </w:tr>
            <w:tr w:rsidR="00247C82" w:rsidRPr="00505285" w14:paraId="0A4F7166" w14:textId="77777777">
              <w:tc>
                <w:tcPr>
                  <w:tcW w:w="1592" w:type="dxa"/>
                  <w:vAlign w:val="center"/>
                </w:tcPr>
                <w:p w14:paraId="39827B55" w14:textId="77777777" w:rsidR="00247C82" w:rsidRPr="00505285" w:rsidRDefault="00247C82" w:rsidP="00C63D4E">
                  <w:pPr>
                    <w:spacing w:before="60" w:after="120"/>
                    <w:rPr>
                      <w:rFonts w:eastAsia="Times New Roman" w:cs="Arial"/>
                      <w:szCs w:val="20"/>
                    </w:rPr>
                  </w:pPr>
                  <w:r w:rsidRPr="00505285">
                    <w:rPr>
                      <w:rFonts w:eastAsia="Times New Roman" w:cs="Arial"/>
                      <w:szCs w:val="20"/>
                    </w:rPr>
                    <w:t>12 to &lt;18 yr</w:t>
                  </w:r>
                </w:p>
              </w:tc>
              <w:tc>
                <w:tcPr>
                  <w:tcW w:w="1555" w:type="dxa"/>
                </w:tcPr>
                <w:p w14:paraId="5DC23169"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538.8</w:t>
                  </w:r>
                </w:p>
              </w:tc>
              <w:tc>
                <w:tcPr>
                  <w:tcW w:w="1276" w:type="dxa"/>
                  <w:vAlign w:val="center"/>
                </w:tcPr>
                <w:p w14:paraId="7DEE788F"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-38.8</w:t>
                  </w:r>
                </w:p>
              </w:tc>
              <w:tc>
                <w:tcPr>
                  <w:tcW w:w="1275" w:type="dxa"/>
                  <w:vAlign w:val="center"/>
                </w:tcPr>
                <w:p w14:paraId="409409F9" w14:textId="77777777" w:rsidR="00247C82" w:rsidRPr="00505285" w:rsidRDefault="00247C82" w:rsidP="00C63D4E">
                  <w:pPr>
                    <w:spacing w:before="60" w:after="120"/>
                    <w:jc w:val="center"/>
                    <w:rPr>
                      <w:rFonts w:eastAsia="Times New Roman" w:cs="Arial"/>
                      <w:szCs w:val="20"/>
                    </w:rPr>
                  </w:pPr>
                  <w:r w:rsidRPr="00505285">
                    <w:rPr>
                      <w:rFonts w:eastAsia="Times New Roman" w:cs="Arial"/>
                      <w:szCs w:val="20"/>
                    </w:rPr>
                    <w:t>500</w:t>
                  </w:r>
                </w:p>
              </w:tc>
            </w:tr>
          </w:tbl>
          <w:p w14:paraId="24BE04A9"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p>
        </w:tc>
      </w:tr>
      <w:tr w:rsidR="00247C82" w:rsidRPr="00505285" w14:paraId="1DE57921" w14:textId="77777777" w:rsidTr="00247C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tcPr>
          <w:p w14:paraId="40AA8DC3" w14:textId="77777777" w:rsidR="00247C82" w:rsidRPr="00505285" w:rsidRDefault="00247C82">
            <w:pPr>
              <w:rPr>
                <w:rFonts w:eastAsia="Times New Roman" w:cs="Arial"/>
                <w:szCs w:val="20"/>
              </w:rPr>
            </w:pPr>
            <w:r w:rsidRPr="00505285">
              <w:rPr>
                <w:rFonts w:eastAsia="Times New Roman" w:cs="Arial"/>
                <w:szCs w:val="20"/>
              </w:rPr>
              <w:lastRenderedPageBreak/>
              <w:t xml:space="preserve">Iodine exposure in Australia and New Zealand </w:t>
            </w:r>
          </w:p>
        </w:tc>
        <w:tc>
          <w:tcPr>
            <w:tcW w:w="11978" w:type="dxa"/>
            <w:gridSpan w:val="2"/>
            <w:tcBorders>
              <w:left w:val="single" w:sz="4" w:space="0" w:color="77BCD9"/>
            </w:tcBorders>
          </w:tcPr>
          <w:p w14:paraId="6A0D4E13"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 xml:space="preserve">The 2022-24 NHMS reported that children aged 5 to under 18 were iodine-sufficient, with a median UIC of 171 µg/L and only 8% with UIC &lt;50 µg/L (ABS, 2025a). Urinary iodine measures were highest in children aged 5 to under 12 years (median UIC 185µg/L for males; 188µg/L for females). </w:t>
            </w:r>
          </w:p>
          <w:p w14:paraId="1B791FBF" w14:textId="77777777" w:rsidR="00247C82" w:rsidRPr="00505285" w:rsidRDefault="00247C82">
            <w:pPr>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lightGray"/>
              </w:rPr>
            </w:pPr>
            <w:r w:rsidRPr="00505285">
              <w:rPr>
                <w:rFonts w:eastAsia="Times New Roman" w:cs="Arial"/>
                <w:szCs w:val="20"/>
              </w:rPr>
              <w:t xml:space="preserve">Current dietary intake data from the 2023 National Nutrition and Physical Activity Survey (NNPAS) are presented at Table 10. Current ABS data do not report the 95% confidence interval nor the percentage of the population exceeding the UL. Consequently, data from the 2011-13 Australian Health Survey (ABS, 2015) are also presented inclusive of this data. These data show that iodine intakes are well below the proposed ULs for at least 95% of the population across all age groups, except for young children. </w:t>
            </w:r>
          </w:p>
          <w:p w14:paraId="10C3AAFF" w14:textId="77777777" w:rsidR="00247C82" w:rsidRDefault="00247C82">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505285">
              <w:rPr>
                <w:rFonts w:eastAsia="Arial" w:cs="Arial"/>
                <w:szCs w:val="20"/>
              </w:rPr>
              <w:t xml:space="preserve">Data from the </w:t>
            </w:r>
            <w:r w:rsidRPr="00505285">
              <w:rPr>
                <w:rFonts w:eastAsia="Times New Roman" w:cs="Arial"/>
                <w:szCs w:val="20"/>
              </w:rPr>
              <w:t xml:space="preserve">2011-13 Australian Health Survey </w:t>
            </w:r>
            <w:r w:rsidRPr="00505285">
              <w:rPr>
                <w:rFonts w:eastAsia="Arial" w:cs="Arial"/>
                <w:szCs w:val="20"/>
              </w:rPr>
              <w:t>(ABS, 2015) suggested that 12.9% of males and 5.6% of females aged 2-3 years had intakes exceeding the UL. However, these intakes are unlikely to have adverse health effects, in view of the safety margins used to derive an UL and given the reversible nature of the clinical end point on which ULs are based (sub-clinical hypothyroidism). Furthermore, the period of excessive intake is expected to be transient, with less than 1% of children expected to exceed the UL at the age of 4 years (FSANZ 2016).</w:t>
            </w:r>
          </w:p>
          <w:p w14:paraId="637E8431" w14:textId="77777777" w:rsidR="006F5470" w:rsidRPr="00505285" w:rsidRDefault="006F5470">
            <w:pPr>
              <w:cnfStyle w:val="000000100000" w:firstRow="0" w:lastRow="0" w:firstColumn="0" w:lastColumn="0" w:oddVBand="0" w:evenVBand="0" w:oddHBand="1" w:evenHBand="0" w:firstRowFirstColumn="0" w:firstRowLastColumn="0" w:lastRowFirstColumn="0" w:lastRowLastColumn="0"/>
              <w:rPr>
                <w:rFonts w:eastAsia="Arial" w:cs="Arial"/>
                <w:szCs w:val="20"/>
              </w:rPr>
            </w:pPr>
          </w:p>
          <w:p w14:paraId="3D83AC7D" w14:textId="77777777" w:rsidR="00247C82" w:rsidRPr="00505285" w:rsidRDefault="00247C82">
            <w:pPr>
              <w:keepNext/>
              <w:spacing w:after="200"/>
              <w:cnfStyle w:val="000000100000" w:firstRow="0" w:lastRow="0" w:firstColumn="0" w:lastColumn="0" w:oddVBand="0" w:evenVBand="0" w:oddHBand="1" w:evenHBand="0" w:firstRowFirstColumn="0" w:firstRowLastColumn="0" w:lastRowFirstColumn="0" w:lastRowLastColumn="0"/>
              <w:rPr>
                <w:rFonts w:eastAsia="Arial" w:cs="Arial"/>
                <w:iCs/>
                <w:caps/>
                <w:szCs w:val="20"/>
              </w:rPr>
            </w:pPr>
            <w:r w:rsidRPr="00505285">
              <w:rPr>
                <w:rFonts w:eastAsia="Arial" w:cs="Arial"/>
                <w:iCs/>
                <w:caps/>
                <w:szCs w:val="20"/>
              </w:rPr>
              <w:lastRenderedPageBreak/>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10</w:t>
            </w:r>
            <w:r w:rsidRPr="00505285">
              <w:rPr>
                <w:rFonts w:eastAsia="Arial" w:cs="Arial"/>
                <w:iCs/>
                <w:caps/>
                <w:noProof/>
                <w:szCs w:val="20"/>
              </w:rPr>
              <w:fldChar w:fldCharType="end"/>
            </w:r>
            <w:r w:rsidRPr="00505285">
              <w:rPr>
                <w:rFonts w:eastAsia="Arial" w:cs="Arial"/>
                <w:iCs/>
                <w:caps/>
                <w:szCs w:val="20"/>
              </w:rPr>
              <w:t xml:space="preserve"> - INTAKE IN CHILDREN AND ADOLESCENTS (2 - 18 years), AUSTRALIAN HEALTH SURVEY 2011-13 (ABS, 2015)</w:t>
            </w:r>
          </w:p>
          <w:tbl>
            <w:tblPr>
              <w:tblW w:w="12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1276"/>
              <w:gridCol w:w="1276"/>
              <w:gridCol w:w="1842"/>
              <w:gridCol w:w="1418"/>
              <w:gridCol w:w="2268"/>
              <w:gridCol w:w="1419"/>
            </w:tblGrid>
            <w:tr w:rsidR="00247C82" w:rsidRPr="00505285" w14:paraId="21EC9A0A" w14:textId="77777777">
              <w:trPr>
                <w:trHeight w:val="300"/>
              </w:trPr>
              <w:tc>
                <w:tcPr>
                  <w:tcW w:w="2621" w:type="dxa"/>
                  <w:vMerge w:val="restart"/>
                  <w:shd w:val="clear" w:color="auto" w:fill="005F85"/>
                  <w:noWrap/>
                  <w:vAlign w:val="bottom"/>
                </w:tcPr>
                <w:p w14:paraId="7F7D058F" w14:textId="77777777" w:rsidR="00247C82" w:rsidRPr="00505285" w:rsidRDefault="00247C82">
                  <w:pPr>
                    <w:keepNext/>
                    <w:spacing w:after="0" w:line="240" w:lineRule="auto"/>
                    <w:rPr>
                      <w:rFonts w:eastAsia="Times New Roman" w:cs="Calibri"/>
                      <w:b/>
                      <w:bCs/>
                      <w:color w:val="FFFFFF"/>
                      <w:szCs w:val="20"/>
                    </w:rPr>
                  </w:pPr>
                  <w:r w:rsidRPr="00505285">
                    <w:rPr>
                      <w:rFonts w:eastAsia="Times New Roman" w:cs="Calibri"/>
                      <w:b/>
                      <w:bCs/>
                      <w:color w:val="FFFFFF"/>
                      <w:szCs w:val="20"/>
                    </w:rPr>
                    <w:t>Age groups (years)</w:t>
                  </w:r>
                </w:p>
                <w:p w14:paraId="7A4B2A18" w14:textId="77777777" w:rsidR="00247C82" w:rsidRPr="00505285" w:rsidRDefault="00247C82">
                  <w:pPr>
                    <w:keepNext/>
                    <w:spacing w:after="0" w:line="240" w:lineRule="auto"/>
                    <w:rPr>
                      <w:rFonts w:eastAsia="Times New Roman" w:cs="Calibri"/>
                      <w:b/>
                      <w:bCs/>
                      <w:color w:val="FFFFFF"/>
                      <w:szCs w:val="20"/>
                    </w:rPr>
                  </w:pPr>
                  <w:r w:rsidRPr="00505285">
                    <w:rPr>
                      <w:rFonts w:eastAsia="Times New Roman" w:cs="Calibri"/>
                      <w:b/>
                      <w:bCs/>
                      <w:color w:val="FFFFFF"/>
                      <w:szCs w:val="20"/>
                    </w:rPr>
                    <w:t>2023 / 2011-13)</w:t>
                  </w:r>
                </w:p>
              </w:tc>
              <w:tc>
                <w:tcPr>
                  <w:tcW w:w="2552" w:type="dxa"/>
                  <w:gridSpan w:val="2"/>
                  <w:shd w:val="clear" w:color="auto" w:fill="005F85"/>
                </w:tcPr>
                <w:p w14:paraId="309AD155" w14:textId="77777777" w:rsidR="00247C82" w:rsidRPr="00505285" w:rsidDel="00B25629"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2023 NNPAS (ABS, 2025b)</w:t>
                  </w:r>
                </w:p>
              </w:tc>
              <w:tc>
                <w:tcPr>
                  <w:tcW w:w="6947" w:type="dxa"/>
                  <w:gridSpan w:val="4"/>
                  <w:shd w:val="clear" w:color="auto" w:fill="005F85"/>
                </w:tcPr>
                <w:p w14:paraId="3E5D7209"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2011-13 AHS (ABS, 2015)</w:t>
                  </w:r>
                </w:p>
              </w:tc>
            </w:tr>
            <w:tr w:rsidR="00247C82" w:rsidRPr="00505285" w14:paraId="1EE1CF35" w14:textId="77777777">
              <w:trPr>
                <w:trHeight w:val="300"/>
              </w:trPr>
              <w:tc>
                <w:tcPr>
                  <w:tcW w:w="2621" w:type="dxa"/>
                  <w:vMerge/>
                  <w:shd w:val="clear" w:color="auto" w:fill="005F85"/>
                  <w:noWrap/>
                  <w:vAlign w:val="bottom"/>
                  <w:hideMark/>
                </w:tcPr>
                <w:p w14:paraId="0CDE3226" w14:textId="77777777" w:rsidR="00247C82" w:rsidRPr="00505285" w:rsidRDefault="00247C82">
                  <w:pPr>
                    <w:keepNext/>
                    <w:spacing w:after="0" w:line="240" w:lineRule="auto"/>
                    <w:rPr>
                      <w:rFonts w:eastAsia="Times New Roman" w:cs="Calibri"/>
                      <w:b/>
                      <w:bCs/>
                      <w:color w:val="FFFFFF"/>
                      <w:szCs w:val="20"/>
                    </w:rPr>
                  </w:pPr>
                </w:p>
              </w:tc>
              <w:tc>
                <w:tcPr>
                  <w:tcW w:w="1276" w:type="dxa"/>
                  <w:shd w:val="clear" w:color="auto" w:fill="005F85"/>
                </w:tcPr>
                <w:p w14:paraId="43369E57"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Intake</w:t>
                  </w:r>
                </w:p>
                <w:p w14:paraId="216554D6"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Males. (µg/day)</w:t>
                  </w:r>
                </w:p>
              </w:tc>
              <w:tc>
                <w:tcPr>
                  <w:tcW w:w="1276" w:type="dxa"/>
                  <w:shd w:val="clear" w:color="auto" w:fill="005F85"/>
                </w:tcPr>
                <w:p w14:paraId="4774586E"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Intake</w:t>
                  </w:r>
                </w:p>
                <w:p w14:paraId="557140C3"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Females</w:t>
                  </w:r>
                </w:p>
                <w:p w14:paraId="74CE59A5"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(µg/day)</w:t>
                  </w:r>
                </w:p>
              </w:tc>
              <w:tc>
                <w:tcPr>
                  <w:tcW w:w="1842" w:type="dxa"/>
                  <w:shd w:val="clear" w:color="auto" w:fill="005F85"/>
                </w:tcPr>
                <w:p w14:paraId="2B5202DB"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 xml:space="preserve">Intake in Males (µg/day) </w:t>
                  </w:r>
                </w:p>
                <w:p w14:paraId="04446567"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Mean (95% CI)</w:t>
                  </w:r>
                </w:p>
              </w:tc>
              <w:tc>
                <w:tcPr>
                  <w:tcW w:w="1418" w:type="dxa"/>
                  <w:shd w:val="clear" w:color="auto" w:fill="005F85"/>
                </w:tcPr>
                <w:p w14:paraId="4EF2CBBA"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 exceeding UL</w:t>
                  </w:r>
                </w:p>
              </w:tc>
              <w:tc>
                <w:tcPr>
                  <w:tcW w:w="2268" w:type="dxa"/>
                  <w:shd w:val="clear" w:color="auto" w:fill="005F85"/>
                </w:tcPr>
                <w:p w14:paraId="537E77F5"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Intake in Females</w:t>
                  </w:r>
                </w:p>
                <w:p w14:paraId="35CCE698"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 xml:space="preserve">(µg/day) </w:t>
                  </w:r>
                </w:p>
                <w:p w14:paraId="10B720F9"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Mean (95% CI)</w:t>
                  </w:r>
                </w:p>
              </w:tc>
              <w:tc>
                <w:tcPr>
                  <w:tcW w:w="1419" w:type="dxa"/>
                  <w:shd w:val="clear" w:color="auto" w:fill="005F85"/>
                </w:tcPr>
                <w:p w14:paraId="5C78BC6F" w14:textId="77777777" w:rsidR="00247C82" w:rsidRPr="00505285" w:rsidRDefault="00247C82">
                  <w:pPr>
                    <w:keepNext/>
                    <w:spacing w:after="0" w:line="240" w:lineRule="auto"/>
                    <w:jc w:val="center"/>
                    <w:rPr>
                      <w:rFonts w:eastAsia="Times New Roman" w:cs="Calibri"/>
                      <w:b/>
                      <w:bCs/>
                      <w:color w:val="FFFFFF"/>
                      <w:szCs w:val="20"/>
                    </w:rPr>
                  </w:pPr>
                  <w:r w:rsidRPr="00505285">
                    <w:rPr>
                      <w:rFonts w:eastAsia="Times New Roman" w:cs="Calibri"/>
                      <w:b/>
                      <w:bCs/>
                      <w:color w:val="FFFFFF"/>
                      <w:szCs w:val="20"/>
                    </w:rPr>
                    <w:t>% exceeding UL</w:t>
                  </w:r>
                </w:p>
              </w:tc>
            </w:tr>
            <w:tr w:rsidR="00247C82" w:rsidRPr="00505285" w14:paraId="0A3176C7" w14:textId="77777777">
              <w:trPr>
                <w:trHeight w:val="300"/>
              </w:trPr>
              <w:tc>
                <w:tcPr>
                  <w:tcW w:w="2621" w:type="dxa"/>
                  <w:noWrap/>
                  <w:vAlign w:val="bottom"/>
                </w:tcPr>
                <w:p w14:paraId="57D6F8C6" w14:textId="77777777" w:rsidR="00247C82" w:rsidRPr="00505285" w:rsidRDefault="00247C82">
                  <w:pPr>
                    <w:keepNext/>
                    <w:spacing w:after="0" w:line="240" w:lineRule="auto"/>
                    <w:rPr>
                      <w:rFonts w:eastAsia="Times New Roman" w:cs="Calibri"/>
                      <w:szCs w:val="20"/>
                    </w:rPr>
                  </w:pPr>
                  <w:r w:rsidRPr="00505285">
                    <w:rPr>
                      <w:rFonts w:eastAsia="Times New Roman" w:cs="Calibri"/>
                      <w:szCs w:val="20"/>
                    </w:rPr>
                    <w:t>2 to &lt;5 y / 2 to &lt;4 y</w:t>
                  </w:r>
                </w:p>
              </w:tc>
              <w:tc>
                <w:tcPr>
                  <w:tcW w:w="1276" w:type="dxa"/>
                </w:tcPr>
                <w:p w14:paraId="6D129992"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152</w:t>
                  </w:r>
                </w:p>
              </w:tc>
              <w:tc>
                <w:tcPr>
                  <w:tcW w:w="1276" w:type="dxa"/>
                </w:tcPr>
                <w:p w14:paraId="7D9A677A"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143</w:t>
                  </w:r>
                </w:p>
              </w:tc>
              <w:tc>
                <w:tcPr>
                  <w:tcW w:w="1842" w:type="dxa"/>
                </w:tcPr>
                <w:p w14:paraId="2780B3D3"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157 (100 - 222)</w:t>
                  </w:r>
                </w:p>
              </w:tc>
              <w:tc>
                <w:tcPr>
                  <w:tcW w:w="1418" w:type="dxa"/>
                </w:tcPr>
                <w:p w14:paraId="0F7F6CEA"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12.9%</w:t>
                  </w:r>
                </w:p>
              </w:tc>
              <w:tc>
                <w:tcPr>
                  <w:tcW w:w="2268" w:type="dxa"/>
                </w:tcPr>
                <w:p w14:paraId="2681F685"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141 (88 - 202)</w:t>
                  </w:r>
                </w:p>
              </w:tc>
              <w:tc>
                <w:tcPr>
                  <w:tcW w:w="1419" w:type="dxa"/>
                </w:tcPr>
                <w:p w14:paraId="62DB17EB"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5.6%</w:t>
                  </w:r>
                </w:p>
              </w:tc>
            </w:tr>
            <w:tr w:rsidR="00247C82" w:rsidRPr="00505285" w14:paraId="1E5DF3E2" w14:textId="77777777">
              <w:trPr>
                <w:trHeight w:val="300"/>
              </w:trPr>
              <w:tc>
                <w:tcPr>
                  <w:tcW w:w="2621" w:type="dxa"/>
                  <w:noWrap/>
                  <w:vAlign w:val="bottom"/>
                  <w:hideMark/>
                </w:tcPr>
                <w:p w14:paraId="26A6730E" w14:textId="77777777" w:rsidR="00247C82" w:rsidRPr="00505285" w:rsidRDefault="00247C82">
                  <w:pPr>
                    <w:keepNext/>
                    <w:spacing w:after="0" w:line="240" w:lineRule="auto"/>
                    <w:rPr>
                      <w:rFonts w:eastAsia="Times New Roman" w:cs="Calibri"/>
                      <w:szCs w:val="20"/>
                    </w:rPr>
                  </w:pPr>
                  <w:r w:rsidRPr="00505285">
                    <w:rPr>
                      <w:rFonts w:eastAsia="Times New Roman" w:cs="Calibri"/>
                      <w:szCs w:val="20"/>
                    </w:rPr>
                    <w:t>5 to &lt;12 y / 4 to &lt;9 yr</w:t>
                  </w:r>
                </w:p>
              </w:tc>
              <w:tc>
                <w:tcPr>
                  <w:tcW w:w="1276" w:type="dxa"/>
                </w:tcPr>
                <w:p w14:paraId="5A98B3DB"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176</w:t>
                  </w:r>
                </w:p>
              </w:tc>
              <w:tc>
                <w:tcPr>
                  <w:tcW w:w="1276" w:type="dxa"/>
                </w:tcPr>
                <w:p w14:paraId="2F38B53F"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165</w:t>
                  </w:r>
                </w:p>
              </w:tc>
              <w:tc>
                <w:tcPr>
                  <w:tcW w:w="1842" w:type="dxa"/>
                </w:tcPr>
                <w:p w14:paraId="2D8DFFD0"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164 (106 - 231)</w:t>
                  </w:r>
                </w:p>
              </w:tc>
              <w:tc>
                <w:tcPr>
                  <w:tcW w:w="1418" w:type="dxa"/>
                </w:tcPr>
                <w:p w14:paraId="3B9BA4CE"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0.1%</w:t>
                  </w:r>
                </w:p>
              </w:tc>
              <w:tc>
                <w:tcPr>
                  <w:tcW w:w="2268" w:type="dxa"/>
                </w:tcPr>
                <w:p w14:paraId="5D0E4F4C"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148 (93 - 210)</w:t>
                  </w:r>
                </w:p>
              </w:tc>
              <w:tc>
                <w:tcPr>
                  <w:tcW w:w="1419" w:type="dxa"/>
                </w:tcPr>
                <w:p w14:paraId="0904F5FF"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247C82" w:rsidRPr="00505285" w14:paraId="28062016" w14:textId="77777777">
              <w:trPr>
                <w:trHeight w:val="300"/>
              </w:trPr>
              <w:tc>
                <w:tcPr>
                  <w:tcW w:w="2621" w:type="dxa"/>
                  <w:noWrap/>
                  <w:vAlign w:val="bottom"/>
                  <w:hideMark/>
                </w:tcPr>
                <w:p w14:paraId="1561DA14" w14:textId="77777777" w:rsidR="00247C82" w:rsidRPr="00505285" w:rsidRDefault="00247C82">
                  <w:pPr>
                    <w:keepNext/>
                    <w:spacing w:after="0" w:line="240" w:lineRule="auto"/>
                    <w:rPr>
                      <w:rFonts w:eastAsia="Times New Roman" w:cs="Calibri"/>
                      <w:szCs w:val="20"/>
                    </w:rPr>
                  </w:pPr>
                  <w:r w:rsidRPr="00505285">
                    <w:rPr>
                      <w:rFonts w:eastAsia="Times New Roman" w:cs="Calibri"/>
                      <w:szCs w:val="20"/>
                    </w:rPr>
                    <w:t>12 to &lt;18 y / 9 to &lt;14 yr</w:t>
                  </w:r>
                </w:p>
              </w:tc>
              <w:tc>
                <w:tcPr>
                  <w:tcW w:w="1276" w:type="dxa"/>
                </w:tcPr>
                <w:p w14:paraId="65F7F4D9"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220</w:t>
                  </w:r>
                </w:p>
              </w:tc>
              <w:tc>
                <w:tcPr>
                  <w:tcW w:w="1276" w:type="dxa"/>
                </w:tcPr>
                <w:p w14:paraId="747922E3"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161</w:t>
                  </w:r>
                </w:p>
              </w:tc>
              <w:tc>
                <w:tcPr>
                  <w:tcW w:w="1842" w:type="dxa"/>
                </w:tcPr>
                <w:p w14:paraId="663C5A8B"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190 (111 - 285)</w:t>
                  </w:r>
                </w:p>
              </w:tc>
              <w:tc>
                <w:tcPr>
                  <w:tcW w:w="1418" w:type="dxa"/>
                </w:tcPr>
                <w:p w14:paraId="346A7EE8"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c>
                <w:tcPr>
                  <w:tcW w:w="2268" w:type="dxa"/>
                </w:tcPr>
                <w:p w14:paraId="74936025"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169 (102 - 247)</w:t>
                  </w:r>
                </w:p>
              </w:tc>
              <w:tc>
                <w:tcPr>
                  <w:tcW w:w="1419" w:type="dxa"/>
                </w:tcPr>
                <w:p w14:paraId="54DC71C9"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r w:rsidR="00247C82" w:rsidRPr="00505285" w14:paraId="2E90913A" w14:textId="77777777">
              <w:trPr>
                <w:trHeight w:val="300"/>
              </w:trPr>
              <w:tc>
                <w:tcPr>
                  <w:tcW w:w="2621" w:type="dxa"/>
                  <w:noWrap/>
                  <w:vAlign w:val="bottom"/>
                  <w:hideMark/>
                </w:tcPr>
                <w:p w14:paraId="0E09AD55" w14:textId="77777777" w:rsidR="00247C82" w:rsidRPr="00505285" w:rsidRDefault="00247C82">
                  <w:pPr>
                    <w:keepNext/>
                    <w:spacing w:after="0" w:line="240" w:lineRule="auto"/>
                    <w:rPr>
                      <w:rFonts w:eastAsia="Times New Roman" w:cs="Calibri"/>
                      <w:szCs w:val="20"/>
                    </w:rPr>
                  </w:pPr>
                  <w:r w:rsidRPr="00505285">
                    <w:rPr>
                      <w:rFonts w:eastAsia="Times New Roman" w:cs="Calibri"/>
                      <w:szCs w:val="20"/>
                    </w:rPr>
                    <w:t>12 to &lt;18 y / 14 to &lt;19 yr</w:t>
                  </w:r>
                </w:p>
              </w:tc>
              <w:tc>
                <w:tcPr>
                  <w:tcW w:w="1276" w:type="dxa"/>
                </w:tcPr>
                <w:p w14:paraId="244B5858"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220</w:t>
                  </w:r>
                </w:p>
              </w:tc>
              <w:tc>
                <w:tcPr>
                  <w:tcW w:w="1276" w:type="dxa"/>
                </w:tcPr>
                <w:p w14:paraId="7988DFDD"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161</w:t>
                  </w:r>
                </w:p>
              </w:tc>
              <w:tc>
                <w:tcPr>
                  <w:tcW w:w="1842" w:type="dxa"/>
                </w:tcPr>
                <w:p w14:paraId="13010E75"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205 (123 - 303)</w:t>
                  </w:r>
                </w:p>
              </w:tc>
              <w:tc>
                <w:tcPr>
                  <w:tcW w:w="1418" w:type="dxa"/>
                </w:tcPr>
                <w:p w14:paraId="2A946B02"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c>
                <w:tcPr>
                  <w:tcW w:w="2268" w:type="dxa"/>
                </w:tcPr>
                <w:p w14:paraId="1AD9F0AA"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153 (91 - 229)</w:t>
                  </w:r>
                </w:p>
              </w:tc>
              <w:tc>
                <w:tcPr>
                  <w:tcW w:w="1419" w:type="dxa"/>
                </w:tcPr>
                <w:p w14:paraId="35F2616E" w14:textId="77777777" w:rsidR="00247C82" w:rsidRPr="00505285" w:rsidRDefault="00247C82">
                  <w:pPr>
                    <w:keepNext/>
                    <w:spacing w:after="0" w:line="240" w:lineRule="auto"/>
                    <w:jc w:val="center"/>
                    <w:rPr>
                      <w:rFonts w:eastAsia="Times New Roman" w:cs="Calibri"/>
                      <w:color w:val="000000"/>
                      <w:szCs w:val="20"/>
                    </w:rPr>
                  </w:pPr>
                  <w:r w:rsidRPr="00505285">
                    <w:rPr>
                      <w:rFonts w:eastAsia="Times New Roman" w:cs="Calibri"/>
                      <w:color w:val="000000"/>
                      <w:szCs w:val="20"/>
                    </w:rPr>
                    <w:t>0%</w:t>
                  </w:r>
                </w:p>
              </w:tc>
            </w:tr>
          </w:tbl>
          <w:p w14:paraId="7B2036DB" w14:textId="77777777" w:rsidR="00247C82" w:rsidRPr="00505285" w:rsidRDefault="00247C82">
            <w:pPr>
              <w:spacing w:before="120"/>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lightGray"/>
              </w:rPr>
            </w:pPr>
            <w:r w:rsidRPr="00505285">
              <w:rPr>
                <w:rFonts w:eastAsia="Arial" w:cs="Arial"/>
                <w:szCs w:val="20"/>
              </w:rPr>
              <w:t>In New Zealand, available population data have not captured intake or median UIC for children aged under 15 years. However, studies suggest that children aged 8-10 years are iodine sufficient (</w:t>
            </w:r>
            <w:proofErr w:type="spellStart"/>
            <w:r w:rsidRPr="00505285">
              <w:rPr>
                <w:rFonts w:eastAsia="Arial" w:cs="Arial"/>
                <w:szCs w:val="20"/>
              </w:rPr>
              <w:t>Skeaff</w:t>
            </w:r>
            <w:proofErr w:type="spellEnd"/>
            <w:r w:rsidRPr="00505285">
              <w:rPr>
                <w:rFonts w:eastAsia="Arial" w:cs="Arial"/>
                <w:szCs w:val="20"/>
              </w:rPr>
              <w:t xml:space="preserve"> &amp; Lonsdale-Cooper, 2013; Jones et al 2016), although a more recent, smaller study in children aged 9-11 years estimated intake to be 74µg/day; below the RDI (120µg/day) in this age group (</w:t>
            </w:r>
            <w:proofErr w:type="spellStart"/>
            <w:r w:rsidRPr="00505285">
              <w:rPr>
                <w:rFonts w:eastAsia="Arial" w:cs="Arial"/>
                <w:szCs w:val="20"/>
              </w:rPr>
              <w:t>Peniamina</w:t>
            </w:r>
            <w:proofErr w:type="spellEnd"/>
            <w:r w:rsidRPr="00505285">
              <w:rPr>
                <w:rFonts w:eastAsia="Arial" w:cs="Arial"/>
                <w:szCs w:val="20"/>
              </w:rPr>
              <w:t xml:space="preserve"> et al 2019).</w:t>
            </w:r>
          </w:p>
        </w:tc>
      </w:tr>
      <w:tr w:rsidR="00247C82" w:rsidRPr="00505285" w14:paraId="79A70819" w14:textId="77777777" w:rsidTr="00247C82">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tcPr>
          <w:p w14:paraId="0764AD5A" w14:textId="77777777" w:rsidR="00247C82" w:rsidRPr="00505285" w:rsidRDefault="00247C82">
            <w:pPr>
              <w:rPr>
                <w:rFonts w:eastAsia="Times New Roman" w:cs="Arial"/>
                <w:szCs w:val="20"/>
              </w:rPr>
            </w:pPr>
            <w:r w:rsidRPr="00505285">
              <w:rPr>
                <w:rFonts w:eastAsia="Times New Roman" w:cs="Arial"/>
                <w:szCs w:val="20"/>
              </w:rPr>
              <w:lastRenderedPageBreak/>
              <w:t>Benchmarking against comparable international jurisdictions</w:t>
            </w:r>
          </w:p>
        </w:tc>
        <w:tc>
          <w:tcPr>
            <w:tcW w:w="11978" w:type="dxa"/>
            <w:gridSpan w:val="2"/>
            <w:tcBorders>
              <w:left w:val="single" w:sz="4" w:space="0" w:color="77BCD9"/>
            </w:tcBorders>
          </w:tcPr>
          <w:p w14:paraId="3C5AF850"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505285">
              <w:rPr>
                <w:rFonts w:eastAsia="Times New Roman" w:cs="Times New Roman"/>
                <w:szCs w:val="20"/>
              </w:rPr>
              <w:t xml:space="preserve">Table 11 shows NRV recommendations for comparable international jurisdictions. Values have been adjusted using a weighted average calculation, to align with the proposed age groupings (denoted by * in the table). </w:t>
            </w:r>
          </w:p>
          <w:p w14:paraId="08F4EBC2" w14:textId="77777777" w:rsidR="00247C82" w:rsidRPr="00505285" w:rsidRDefault="00247C82">
            <w:pPr>
              <w:keepNext/>
              <w:spacing w:after="200"/>
              <w:cnfStyle w:val="000000000000" w:firstRow="0" w:lastRow="0" w:firstColumn="0" w:lastColumn="0" w:oddVBand="0" w:evenVBand="0" w:oddHBand="0" w:evenHBand="0" w:firstRowFirstColumn="0" w:firstRowLastColumn="0" w:lastRowFirstColumn="0" w:lastRowLastColumn="0"/>
              <w:rPr>
                <w:rFonts w:eastAsia="Arial" w:cs="Arial"/>
                <w:iCs/>
                <w:caps/>
                <w:szCs w:val="20"/>
              </w:rPr>
            </w:pPr>
            <w:r w:rsidRPr="00505285">
              <w:rPr>
                <w:rFonts w:eastAsia="Arial" w:cs="Arial"/>
                <w:iCs/>
                <w:caps/>
                <w:szCs w:val="20"/>
              </w:rPr>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11</w:t>
            </w:r>
            <w:r w:rsidRPr="00505285">
              <w:rPr>
                <w:rFonts w:eastAsia="Arial" w:cs="Arial"/>
                <w:iCs/>
                <w:caps/>
                <w:noProof/>
                <w:szCs w:val="20"/>
              </w:rPr>
              <w:fldChar w:fldCharType="end"/>
            </w:r>
            <w:r w:rsidRPr="00505285">
              <w:rPr>
                <w:rFonts w:eastAsia="Arial" w:cs="Arial"/>
                <w:iCs/>
                <w:caps/>
                <w:szCs w:val="20"/>
              </w:rPr>
              <w:t xml:space="preserve"> - CHILD and ADOLESCENT </w:t>
            </w:r>
            <w:proofErr w:type="gramStart"/>
            <w:r w:rsidRPr="00505285">
              <w:rPr>
                <w:rFonts w:eastAsia="Arial" w:cs="Arial"/>
                <w:iCs/>
                <w:caps/>
                <w:szCs w:val="20"/>
              </w:rPr>
              <w:t>UPPER LEVEL</w:t>
            </w:r>
            <w:proofErr w:type="gramEnd"/>
            <w:r w:rsidRPr="00505285">
              <w:rPr>
                <w:rFonts w:eastAsia="Arial" w:cs="Arial"/>
                <w:iCs/>
                <w:caps/>
                <w:szCs w:val="20"/>
              </w:rPr>
              <w:t xml:space="preserve"> RECOMMENDATIONS ACROSS COMPARABLE JURISDICTIONS</w:t>
            </w:r>
          </w:p>
          <w:tbl>
            <w:tblPr>
              <w:tblW w:w="11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3"/>
              <w:gridCol w:w="1701"/>
              <w:gridCol w:w="1985"/>
              <w:gridCol w:w="1984"/>
              <w:gridCol w:w="1701"/>
              <w:gridCol w:w="1701"/>
            </w:tblGrid>
            <w:tr w:rsidR="00247C82" w:rsidRPr="00505285" w14:paraId="386E6D35" w14:textId="77777777">
              <w:trPr>
                <w:trHeight w:val="900"/>
              </w:trPr>
              <w:tc>
                <w:tcPr>
                  <w:tcW w:w="2623" w:type="dxa"/>
                  <w:shd w:val="clear" w:color="auto" w:fill="005F85"/>
                  <w:vAlign w:val="bottom"/>
                  <w:hideMark/>
                </w:tcPr>
                <w:p w14:paraId="37052B06"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Age (years)</w:t>
                  </w:r>
                </w:p>
              </w:tc>
              <w:tc>
                <w:tcPr>
                  <w:tcW w:w="1701" w:type="dxa"/>
                  <w:shd w:val="clear" w:color="auto" w:fill="005F85"/>
                  <w:vAlign w:val="bottom"/>
                </w:tcPr>
                <w:p w14:paraId="5C504BD6" w14:textId="77777777" w:rsidR="00247C82" w:rsidRPr="00505285" w:rsidRDefault="00247C82">
                  <w:pPr>
                    <w:spacing w:after="0" w:line="240" w:lineRule="auto"/>
                    <w:jc w:val="center"/>
                    <w:rPr>
                      <w:rFonts w:eastAsia="Times New Roman"/>
                      <w:b/>
                      <w:bCs/>
                      <w:color w:val="FFFFFF"/>
                      <w:szCs w:val="20"/>
                    </w:rPr>
                  </w:pPr>
                  <w:proofErr w:type="gramStart"/>
                  <w:r w:rsidRPr="00505285">
                    <w:rPr>
                      <w:rFonts w:eastAsia="Times New Roman"/>
                      <w:b/>
                      <w:bCs/>
                      <w:color w:val="FFFFFF"/>
                      <w:szCs w:val="20"/>
                    </w:rPr>
                    <w:t>Proposed  UL</w:t>
                  </w:r>
                  <w:proofErr w:type="gramEnd"/>
                </w:p>
                <w:p w14:paraId="0F7A3599"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985" w:type="dxa"/>
                  <w:shd w:val="clear" w:color="auto" w:fill="005F85"/>
                  <w:vAlign w:val="bottom"/>
                  <w:hideMark/>
                </w:tcPr>
                <w:p w14:paraId="5E66F4CA"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Current ANZ UL</w:t>
                  </w:r>
                </w:p>
                <w:p w14:paraId="2EC9CACA"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w:t>
                  </w:r>
                  <w:proofErr w:type="gramStart"/>
                  <w:r w:rsidRPr="00505285">
                    <w:rPr>
                      <w:rFonts w:eastAsia="Times New Roman"/>
                      <w:b/>
                      <w:bCs/>
                      <w:color w:val="FFFFFF"/>
                      <w:szCs w:val="20"/>
                    </w:rPr>
                    <w:t>2006)*</w:t>
                  </w:r>
                  <w:proofErr w:type="gramEnd"/>
                </w:p>
                <w:p w14:paraId="0E758652"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984" w:type="dxa"/>
                  <w:shd w:val="clear" w:color="auto" w:fill="005F85"/>
                  <w:vAlign w:val="bottom"/>
                  <w:hideMark/>
                </w:tcPr>
                <w:p w14:paraId="4DAEB096"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USA/Canada UL</w:t>
                  </w:r>
                </w:p>
                <w:p w14:paraId="41B93831"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w:t>
                  </w:r>
                  <w:proofErr w:type="gramStart"/>
                  <w:r w:rsidRPr="00505285">
                    <w:rPr>
                      <w:rFonts w:eastAsia="Times New Roman"/>
                      <w:b/>
                      <w:bCs/>
                      <w:color w:val="FFFFFF"/>
                      <w:szCs w:val="20"/>
                    </w:rPr>
                    <w:t>2001)*</w:t>
                  </w:r>
                  <w:proofErr w:type="gramEnd"/>
                </w:p>
                <w:p w14:paraId="79AD9780"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(µg/day)</w:t>
                  </w:r>
                </w:p>
              </w:tc>
              <w:tc>
                <w:tcPr>
                  <w:tcW w:w="1701" w:type="dxa"/>
                  <w:shd w:val="clear" w:color="auto" w:fill="005F85"/>
                  <w:vAlign w:val="bottom"/>
                  <w:hideMark/>
                </w:tcPr>
                <w:p w14:paraId="1399F254"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EFSA UL</w:t>
                  </w:r>
                </w:p>
                <w:p w14:paraId="13F2387D"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w:t>
                  </w:r>
                  <w:proofErr w:type="gramStart"/>
                  <w:r w:rsidRPr="00505285">
                    <w:rPr>
                      <w:rFonts w:eastAsia="Times New Roman"/>
                      <w:b/>
                      <w:bCs/>
                      <w:color w:val="FFFFFF"/>
                      <w:szCs w:val="20"/>
                    </w:rPr>
                    <w:t>2014)*</w:t>
                  </w:r>
                  <w:proofErr w:type="gramEnd"/>
                  <w:r w:rsidRPr="00505285">
                    <w:rPr>
                      <w:rFonts w:eastAsia="Times New Roman"/>
                      <w:b/>
                      <w:bCs/>
                      <w:color w:val="FFFFFF"/>
                      <w:szCs w:val="20"/>
                    </w:rPr>
                    <w:t xml:space="preserve"> (µg/day)</w:t>
                  </w:r>
                </w:p>
              </w:tc>
              <w:tc>
                <w:tcPr>
                  <w:tcW w:w="1701" w:type="dxa"/>
                  <w:shd w:val="clear" w:color="auto" w:fill="005F85"/>
                  <w:vAlign w:val="bottom"/>
                </w:tcPr>
                <w:p w14:paraId="4E6DE12F"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NNR UL</w:t>
                  </w:r>
                </w:p>
                <w:p w14:paraId="6864B6BE"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w:t>
                  </w:r>
                  <w:proofErr w:type="gramStart"/>
                  <w:r w:rsidRPr="00505285">
                    <w:rPr>
                      <w:rFonts w:eastAsia="Times New Roman"/>
                      <w:b/>
                      <w:bCs/>
                      <w:color w:val="FFFFFF"/>
                      <w:szCs w:val="20"/>
                    </w:rPr>
                    <w:t>2023)*</w:t>
                  </w:r>
                  <w:proofErr w:type="gramEnd"/>
                </w:p>
                <w:p w14:paraId="7AC37BB9" w14:textId="77777777" w:rsidR="00247C82" w:rsidRPr="00505285" w:rsidRDefault="00247C82">
                  <w:pPr>
                    <w:spacing w:after="0" w:line="240" w:lineRule="auto"/>
                    <w:jc w:val="center"/>
                    <w:rPr>
                      <w:rFonts w:eastAsia="Times New Roman"/>
                      <w:b/>
                      <w:bCs/>
                      <w:color w:val="FFFFFF"/>
                      <w:szCs w:val="20"/>
                    </w:rPr>
                  </w:pPr>
                  <w:r w:rsidRPr="00505285">
                    <w:rPr>
                      <w:rFonts w:eastAsia="Times New Roman"/>
                      <w:b/>
                      <w:bCs/>
                      <w:color w:val="FFFFFF"/>
                      <w:szCs w:val="20"/>
                    </w:rPr>
                    <w:t>(µg/day)</w:t>
                  </w:r>
                </w:p>
              </w:tc>
            </w:tr>
            <w:tr w:rsidR="00247C82" w:rsidRPr="00505285" w14:paraId="2C8E6531" w14:textId="77777777">
              <w:trPr>
                <w:trHeight w:val="300"/>
              </w:trPr>
              <w:tc>
                <w:tcPr>
                  <w:tcW w:w="11695" w:type="dxa"/>
                  <w:gridSpan w:val="6"/>
                  <w:shd w:val="clear" w:color="auto" w:fill="005F85"/>
                  <w:noWrap/>
                </w:tcPr>
                <w:p w14:paraId="7F604D9C" w14:textId="77777777" w:rsidR="00247C82" w:rsidRPr="00505285" w:rsidRDefault="00247C82">
                  <w:pPr>
                    <w:spacing w:after="0" w:line="240" w:lineRule="auto"/>
                    <w:rPr>
                      <w:rFonts w:eastAsia="Arial" w:cs="Arial"/>
                      <w:szCs w:val="20"/>
                    </w:rPr>
                  </w:pPr>
                  <w:r w:rsidRPr="00505285">
                    <w:rPr>
                      <w:rFonts w:eastAsia="Times New Roman" w:cs="Arial"/>
                      <w:b/>
                      <w:bCs/>
                      <w:color w:val="FFFFFF"/>
                      <w:szCs w:val="20"/>
                    </w:rPr>
                    <w:t>NRVs age groupings:</w:t>
                  </w:r>
                </w:p>
              </w:tc>
            </w:tr>
            <w:tr w:rsidR="00247C82" w:rsidRPr="00505285" w14:paraId="0903DB38" w14:textId="77777777">
              <w:trPr>
                <w:trHeight w:val="300"/>
              </w:trPr>
              <w:tc>
                <w:tcPr>
                  <w:tcW w:w="2623" w:type="dxa"/>
                  <w:noWrap/>
                </w:tcPr>
                <w:p w14:paraId="6DCCC4AB" w14:textId="77777777" w:rsidR="00247C82" w:rsidRPr="00505285" w:rsidRDefault="00247C82">
                  <w:pPr>
                    <w:spacing w:after="0" w:line="240" w:lineRule="auto"/>
                    <w:rPr>
                      <w:rFonts w:eastAsia="Times New Roman"/>
                      <w:color w:val="000000"/>
                      <w:szCs w:val="20"/>
                    </w:rPr>
                  </w:pPr>
                  <w:r w:rsidRPr="00505285">
                    <w:rPr>
                      <w:rFonts w:eastAsia="Arial" w:cs="Arial"/>
                      <w:szCs w:val="20"/>
                    </w:rPr>
                    <w:t>1 to under 4 years</w:t>
                  </w:r>
                </w:p>
              </w:tc>
              <w:tc>
                <w:tcPr>
                  <w:tcW w:w="1701" w:type="dxa"/>
                </w:tcPr>
                <w:p w14:paraId="63A1B2FA" w14:textId="77777777" w:rsidR="00247C82" w:rsidRPr="00505285" w:rsidRDefault="00247C82">
                  <w:pPr>
                    <w:spacing w:after="0" w:line="240" w:lineRule="auto"/>
                    <w:jc w:val="center"/>
                    <w:rPr>
                      <w:rFonts w:eastAsia="Times New Roman"/>
                      <w:color w:val="000000"/>
                      <w:szCs w:val="20"/>
                    </w:rPr>
                  </w:pPr>
                  <w:r w:rsidRPr="00505285">
                    <w:rPr>
                      <w:rFonts w:eastAsia="Arial" w:cs="Arial"/>
                      <w:szCs w:val="20"/>
                    </w:rPr>
                    <w:t>200</w:t>
                  </w:r>
                </w:p>
              </w:tc>
              <w:tc>
                <w:tcPr>
                  <w:tcW w:w="1985" w:type="dxa"/>
                  <w:noWrap/>
                </w:tcPr>
                <w:p w14:paraId="4D5C1F86"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200</w:t>
                  </w:r>
                </w:p>
              </w:tc>
              <w:tc>
                <w:tcPr>
                  <w:tcW w:w="1984" w:type="dxa"/>
                  <w:noWrap/>
                </w:tcPr>
                <w:p w14:paraId="62323770" w14:textId="77777777" w:rsidR="00247C82" w:rsidRPr="00505285" w:rsidRDefault="00247C82">
                  <w:pPr>
                    <w:spacing w:after="0" w:line="240" w:lineRule="auto"/>
                    <w:jc w:val="center"/>
                    <w:rPr>
                      <w:rFonts w:eastAsia="Times New Roman"/>
                      <w:color w:val="000000"/>
                      <w:szCs w:val="20"/>
                    </w:rPr>
                  </w:pPr>
                  <w:r w:rsidRPr="00505285">
                    <w:rPr>
                      <w:rFonts w:eastAsia="Times New Roman"/>
                      <w:color w:val="000000"/>
                      <w:szCs w:val="20"/>
                    </w:rPr>
                    <w:t>200</w:t>
                  </w:r>
                </w:p>
              </w:tc>
              <w:tc>
                <w:tcPr>
                  <w:tcW w:w="1701" w:type="dxa"/>
                  <w:noWrap/>
                </w:tcPr>
                <w:p w14:paraId="3B85A2C6" w14:textId="77777777" w:rsidR="00247C82" w:rsidRPr="00505285" w:rsidRDefault="00247C82">
                  <w:pPr>
                    <w:spacing w:after="0" w:line="240" w:lineRule="auto"/>
                    <w:jc w:val="center"/>
                    <w:rPr>
                      <w:rFonts w:eastAsia="Times New Roman"/>
                      <w:color w:val="000000"/>
                      <w:szCs w:val="20"/>
                    </w:rPr>
                  </w:pPr>
                  <w:r w:rsidRPr="00505285">
                    <w:rPr>
                      <w:rFonts w:eastAsia="Arial" w:cs="Arial"/>
                      <w:szCs w:val="20"/>
                    </w:rPr>
                    <w:t>200</w:t>
                  </w:r>
                </w:p>
              </w:tc>
              <w:tc>
                <w:tcPr>
                  <w:tcW w:w="1701" w:type="dxa"/>
                </w:tcPr>
                <w:p w14:paraId="10C24CAA" w14:textId="77777777" w:rsidR="00247C82" w:rsidRPr="00505285" w:rsidRDefault="00247C82">
                  <w:pPr>
                    <w:spacing w:after="0" w:line="240" w:lineRule="auto"/>
                    <w:jc w:val="center"/>
                    <w:rPr>
                      <w:rFonts w:eastAsia="Times New Roman"/>
                      <w:color w:val="000000"/>
                      <w:szCs w:val="20"/>
                    </w:rPr>
                  </w:pPr>
                  <w:r w:rsidRPr="00505285">
                    <w:rPr>
                      <w:rFonts w:eastAsia="Arial" w:cs="Arial"/>
                      <w:szCs w:val="20"/>
                    </w:rPr>
                    <w:t>-</w:t>
                  </w:r>
                </w:p>
              </w:tc>
            </w:tr>
            <w:tr w:rsidR="00247C82" w:rsidRPr="00505285" w14:paraId="61AC283D" w14:textId="77777777">
              <w:trPr>
                <w:trHeight w:val="300"/>
              </w:trPr>
              <w:tc>
                <w:tcPr>
                  <w:tcW w:w="2623" w:type="dxa"/>
                  <w:noWrap/>
                </w:tcPr>
                <w:p w14:paraId="73FDB56D" w14:textId="77777777" w:rsidR="00247C82" w:rsidRPr="00505285" w:rsidRDefault="00247C82">
                  <w:pPr>
                    <w:spacing w:after="0" w:line="240" w:lineRule="auto"/>
                    <w:rPr>
                      <w:rFonts w:eastAsia="Times New Roman"/>
                      <w:color w:val="000000"/>
                      <w:szCs w:val="20"/>
                    </w:rPr>
                  </w:pPr>
                  <w:r w:rsidRPr="00505285">
                    <w:rPr>
                      <w:rFonts w:eastAsia="Arial" w:cs="Arial"/>
                      <w:szCs w:val="20"/>
                    </w:rPr>
                    <w:t xml:space="preserve">4 to under 9 years </w:t>
                  </w:r>
                </w:p>
              </w:tc>
              <w:tc>
                <w:tcPr>
                  <w:tcW w:w="1701" w:type="dxa"/>
                </w:tcPr>
                <w:p w14:paraId="67261EBE" w14:textId="77777777" w:rsidR="00247C82" w:rsidRPr="00505285" w:rsidRDefault="00247C82">
                  <w:pPr>
                    <w:spacing w:after="0" w:line="240" w:lineRule="auto"/>
                    <w:jc w:val="center"/>
                    <w:rPr>
                      <w:rFonts w:eastAsia="Arial" w:cs="Arial"/>
                      <w:szCs w:val="20"/>
                    </w:rPr>
                  </w:pPr>
                  <w:r w:rsidRPr="00505285">
                    <w:rPr>
                      <w:rFonts w:eastAsia="Arial" w:cs="Arial"/>
                      <w:szCs w:val="20"/>
                    </w:rPr>
                    <w:t>300</w:t>
                  </w:r>
                </w:p>
              </w:tc>
              <w:tc>
                <w:tcPr>
                  <w:tcW w:w="1985" w:type="dxa"/>
                  <w:noWrap/>
                </w:tcPr>
                <w:p w14:paraId="3C763A83" w14:textId="77777777" w:rsidR="00247C82" w:rsidRPr="00505285" w:rsidRDefault="00247C82">
                  <w:pPr>
                    <w:spacing w:after="0" w:line="240" w:lineRule="auto"/>
                    <w:jc w:val="center"/>
                    <w:rPr>
                      <w:rFonts w:eastAsia="Arial" w:cs="Arial"/>
                      <w:szCs w:val="20"/>
                    </w:rPr>
                  </w:pPr>
                  <w:r w:rsidRPr="00505285">
                    <w:rPr>
                      <w:rFonts w:eastAsia="Arial" w:cs="Arial"/>
                      <w:szCs w:val="20"/>
                    </w:rPr>
                    <w:t>300</w:t>
                  </w:r>
                </w:p>
              </w:tc>
              <w:tc>
                <w:tcPr>
                  <w:tcW w:w="1984" w:type="dxa"/>
                  <w:noWrap/>
                </w:tcPr>
                <w:p w14:paraId="1EAF851D" w14:textId="77777777" w:rsidR="00247C82" w:rsidRPr="00505285" w:rsidRDefault="00247C82">
                  <w:pPr>
                    <w:spacing w:after="0" w:line="240" w:lineRule="auto"/>
                    <w:jc w:val="center"/>
                    <w:rPr>
                      <w:rFonts w:eastAsia="Arial" w:cs="Arial"/>
                      <w:szCs w:val="20"/>
                    </w:rPr>
                  </w:pPr>
                  <w:r w:rsidRPr="00505285">
                    <w:rPr>
                      <w:rFonts w:eastAsia="Arial" w:cs="Arial"/>
                      <w:szCs w:val="20"/>
                    </w:rPr>
                    <w:t>300</w:t>
                  </w:r>
                </w:p>
              </w:tc>
              <w:tc>
                <w:tcPr>
                  <w:tcW w:w="1701" w:type="dxa"/>
                  <w:noWrap/>
                </w:tcPr>
                <w:p w14:paraId="4E9274FD" w14:textId="77777777" w:rsidR="00247C82" w:rsidRPr="00505285" w:rsidRDefault="00247C82">
                  <w:pPr>
                    <w:spacing w:after="0" w:line="240" w:lineRule="auto"/>
                    <w:jc w:val="center"/>
                    <w:rPr>
                      <w:rFonts w:eastAsia="Arial" w:cs="Arial"/>
                      <w:szCs w:val="20"/>
                    </w:rPr>
                  </w:pPr>
                  <w:r w:rsidRPr="00505285">
                    <w:rPr>
                      <w:rFonts w:eastAsia="Arial" w:cs="Arial"/>
                      <w:szCs w:val="20"/>
                    </w:rPr>
                    <w:t>280*</w:t>
                  </w:r>
                </w:p>
              </w:tc>
              <w:tc>
                <w:tcPr>
                  <w:tcW w:w="1701" w:type="dxa"/>
                </w:tcPr>
                <w:p w14:paraId="639EE460" w14:textId="77777777" w:rsidR="00247C82" w:rsidRPr="00505285" w:rsidRDefault="00247C82">
                  <w:pPr>
                    <w:spacing w:after="0" w:line="240" w:lineRule="auto"/>
                    <w:jc w:val="center"/>
                    <w:rPr>
                      <w:rFonts w:eastAsia="Arial" w:cs="Arial"/>
                      <w:szCs w:val="20"/>
                    </w:rPr>
                  </w:pPr>
                  <w:r w:rsidRPr="00505285">
                    <w:rPr>
                      <w:rFonts w:eastAsia="Arial" w:cs="Arial"/>
                      <w:szCs w:val="20"/>
                    </w:rPr>
                    <w:t>-</w:t>
                  </w:r>
                </w:p>
              </w:tc>
            </w:tr>
            <w:tr w:rsidR="00247C82" w:rsidRPr="00505285" w14:paraId="31F01F46" w14:textId="77777777">
              <w:trPr>
                <w:trHeight w:val="300"/>
              </w:trPr>
              <w:tc>
                <w:tcPr>
                  <w:tcW w:w="2623" w:type="dxa"/>
                  <w:noWrap/>
                </w:tcPr>
                <w:p w14:paraId="2490A58C" w14:textId="77777777" w:rsidR="00247C82" w:rsidRPr="00505285" w:rsidRDefault="00247C82">
                  <w:pPr>
                    <w:spacing w:after="0" w:line="240" w:lineRule="auto"/>
                    <w:rPr>
                      <w:rFonts w:eastAsia="Times New Roman"/>
                      <w:color w:val="000000"/>
                      <w:szCs w:val="20"/>
                    </w:rPr>
                  </w:pPr>
                  <w:r w:rsidRPr="00505285">
                    <w:rPr>
                      <w:rFonts w:eastAsia="Arial" w:cs="Arial"/>
                      <w:szCs w:val="20"/>
                    </w:rPr>
                    <w:t>9 to under 14 years</w:t>
                  </w:r>
                </w:p>
              </w:tc>
              <w:tc>
                <w:tcPr>
                  <w:tcW w:w="1701" w:type="dxa"/>
                </w:tcPr>
                <w:p w14:paraId="5C2BA939" w14:textId="77777777" w:rsidR="00247C82" w:rsidRPr="00505285" w:rsidRDefault="00247C82">
                  <w:pPr>
                    <w:spacing w:after="0" w:line="240" w:lineRule="auto"/>
                    <w:jc w:val="center"/>
                    <w:rPr>
                      <w:rFonts w:eastAsia="Arial" w:cs="Arial"/>
                      <w:szCs w:val="20"/>
                    </w:rPr>
                  </w:pPr>
                  <w:r w:rsidRPr="00505285">
                    <w:rPr>
                      <w:rFonts w:eastAsia="Arial" w:cs="Arial"/>
                      <w:szCs w:val="20"/>
                    </w:rPr>
                    <w:t>450</w:t>
                  </w:r>
                </w:p>
              </w:tc>
              <w:tc>
                <w:tcPr>
                  <w:tcW w:w="1985" w:type="dxa"/>
                  <w:noWrap/>
                </w:tcPr>
                <w:p w14:paraId="1207E6D9" w14:textId="77777777" w:rsidR="00247C82" w:rsidRPr="00505285" w:rsidRDefault="00247C82">
                  <w:pPr>
                    <w:spacing w:after="0" w:line="240" w:lineRule="auto"/>
                    <w:jc w:val="center"/>
                    <w:rPr>
                      <w:rFonts w:eastAsia="Arial" w:cs="Arial"/>
                      <w:szCs w:val="20"/>
                    </w:rPr>
                  </w:pPr>
                  <w:r w:rsidRPr="00505285">
                    <w:rPr>
                      <w:rFonts w:eastAsia="Arial" w:cs="Arial"/>
                      <w:szCs w:val="20"/>
                    </w:rPr>
                    <w:t>600</w:t>
                  </w:r>
                </w:p>
              </w:tc>
              <w:tc>
                <w:tcPr>
                  <w:tcW w:w="1984" w:type="dxa"/>
                  <w:noWrap/>
                </w:tcPr>
                <w:p w14:paraId="542FBEF7" w14:textId="77777777" w:rsidR="00247C82" w:rsidRPr="00505285" w:rsidRDefault="00247C82">
                  <w:pPr>
                    <w:spacing w:after="0" w:line="240" w:lineRule="auto"/>
                    <w:jc w:val="center"/>
                    <w:rPr>
                      <w:rFonts w:eastAsia="Arial" w:cs="Arial"/>
                      <w:szCs w:val="20"/>
                    </w:rPr>
                  </w:pPr>
                  <w:r w:rsidRPr="00505285">
                    <w:rPr>
                      <w:rFonts w:eastAsia="Arial" w:cs="Arial"/>
                      <w:szCs w:val="20"/>
                    </w:rPr>
                    <w:t>600</w:t>
                  </w:r>
                </w:p>
              </w:tc>
              <w:tc>
                <w:tcPr>
                  <w:tcW w:w="1701" w:type="dxa"/>
                  <w:noWrap/>
                </w:tcPr>
                <w:p w14:paraId="46BDE30B" w14:textId="77777777" w:rsidR="00247C82" w:rsidRPr="00505285" w:rsidRDefault="00247C82">
                  <w:pPr>
                    <w:spacing w:after="0" w:line="240" w:lineRule="auto"/>
                    <w:jc w:val="center"/>
                    <w:rPr>
                      <w:rFonts w:eastAsia="Arial" w:cs="Arial"/>
                      <w:szCs w:val="20"/>
                    </w:rPr>
                  </w:pPr>
                  <w:r w:rsidRPr="00505285">
                    <w:rPr>
                      <w:rFonts w:eastAsia="Arial" w:cs="Arial"/>
                      <w:szCs w:val="20"/>
                    </w:rPr>
                    <w:t>390*</w:t>
                  </w:r>
                </w:p>
              </w:tc>
              <w:tc>
                <w:tcPr>
                  <w:tcW w:w="1701" w:type="dxa"/>
                </w:tcPr>
                <w:p w14:paraId="7DBC0A9D" w14:textId="77777777" w:rsidR="00247C82" w:rsidRPr="00505285" w:rsidRDefault="00247C82">
                  <w:pPr>
                    <w:spacing w:after="0" w:line="240" w:lineRule="auto"/>
                    <w:jc w:val="center"/>
                    <w:rPr>
                      <w:rFonts w:eastAsia="Arial" w:cs="Arial"/>
                      <w:szCs w:val="20"/>
                    </w:rPr>
                  </w:pPr>
                  <w:r w:rsidRPr="00505285">
                    <w:rPr>
                      <w:rFonts w:eastAsia="Arial" w:cs="Arial"/>
                      <w:szCs w:val="20"/>
                    </w:rPr>
                    <w:t>-</w:t>
                  </w:r>
                </w:p>
              </w:tc>
            </w:tr>
            <w:tr w:rsidR="00247C82" w:rsidRPr="00505285" w14:paraId="69E20C18" w14:textId="77777777">
              <w:trPr>
                <w:trHeight w:val="300"/>
              </w:trPr>
              <w:tc>
                <w:tcPr>
                  <w:tcW w:w="2623" w:type="dxa"/>
                  <w:noWrap/>
                </w:tcPr>
                <w:p w14:paraId="63EC8C2E" w14:textId="77777777" w:rsidR="00247C82" w:rsidRPr="00505285" w:rsidRDefault="00247C82">
                  <w:pPr>
                    <w:spacing w:after="0" w:line="240" w:lineRule="auto"/>
                    <w:rPr>
                      <w:rFonts w:eastAsia="Times New Roman"/>
                      <w:color w:val="000000"/>
                      <w:szCs w:val="20"/>
                    </w:rPr>
                  </w:pPr>
                  <w:r w:rsidRPr="00505285">
                    <w:rPr>
                      <w:rFonts w:eastAsia="Arial" w:cs="Arial"/>
                      <w:szCs w:val="20"/>
                    </w:rPr>
                    <w:t>14 to under 18 years</w:t>
                  </w:r>
                </w:p>
              </w:tc>
              <w:tc>
                <w:tcPr>
                  <w:tcW w:w="1701" w:type="dxa"/>
                </w:tcPr>
                <w:p w14:paraId="04CAB30E" w14:textId="77777777" w:rsidR="00247C82" w:rsidRPr="00505285" w:rsidRDefault="00247C82">
                  <w:pPr>
                    <w:spacing w:after="0" w:line="240" w:lineRule="auto"/>
                    <w:jc w:val="center"/>
                    <w:rPr>
                      <w:rFonts w:eastAsia="Arial" w:cs="Arial"/>
                      <w:szCs w:val="20"/>
                    </w:rPr>
                  </w:pPr>
                  <w:r w:rsidRPr="00505285">
                    <w:rPr>
                      <w:rFonts w:eastAsia="Arial" w:cs="Arial"/>
                      <w:szCs w:val="20"/>
                    </w:rPr>
                    <w:t>550</w:t>
                  </w:r>
                </w:p>
              </w:tc>
              <w:tc>
                <w:tcPr>
                  <w:tcW w:w="1985" w:type="dxa"/>
                  <w:noWrap/>
                </w:tcPr>
                <w:p w14:paraId="6F43DA9A" w14:textId="77777777" w:rsidR="00247C82" w:rsidRPr="00505285" w:rsidRDefault="00247C82">
                  <w:pPr>
                    <w:spacing w:after="0" w:line="240" w:lineRule="auto"/>
                    <w:jc w:val="center"/>
                    <w:rPr>
                      <w:rFonts w:eastAsia="Arial" w:cs="Arial"/>
                      <w:szCs w:val="20"/>
                    </w:rPr>
                  </w:pPr>
                  <w:r w:rsidRPr="00505285">
                    <w:rPr>
                      <w:rFonts w:eastAsia="Arial" w:cs="Arial"/>
                      <w:szCs w:val="20"/>
                    </w:rPr>
                    <w:t>900</w:t>
                  </w:r>
                </w:p>
              </w:tc>
              <w:tc>
                <w:tcPr>
                  <w:tcW w:w="1984" w:type="dxa"/>
                  <w:noWrap/>
                </w:tcPr>
                <w:p w14:paraId="192640D5" w14:textId="77777777" w:rsidR="00247C82" w:rsidRPr="00505285" w:rsidRDefault="00247C82">
                  <w:pPr>
                    <w:spacing w:after="0" w:line="240" w:lineRule="auto"/>
                    <w:jc w:val="center"/>
                    <w:rPr>
                      <w:rFonts w:eastAsia="Arial" w:cs="Arial"/>
                      <w:szCs w:val="20"/>
                    </w:rPr>
                  </w:pPr>
                  <w:r w:rsidRPr="00505285">
                    <w:rPr>
                      <w:rFonts w:eastAsia="Arial" w:cs="Arial"/>
                      <w:szCs w:val="20"/>
                    </w:rPr>
                    <w:t>900</w:t>
                  </w:r>
                </w:p>
              </w:tc>
              <w:tc>
                <w:tcPr>
                  <w:tcW w:w="1701" w:type="dxa"/>
                  <w:noWrap/>
                </w:tcPr>
                <w:p w14:paraId="6B91DAA8" w14:textId="77777777" w:rsidR="00247C82" w:rsidRPr="00505285" w:rsidRDefault="00247C82">
                  <w:pPr>
                    <w:spacing w:after="0" w:line="240" w:lineRule="auto"/>
                    <w:jc w:val="center"/>
                    <w:rPr>
                      <w:rFonts w:eastAsia="Arial" w:cs="Arial"/>
                      <w:szCs w:val="20"/>
                    </w:rPr>
                  </w:pPr>
                  <w:r w:rsidRPr="00505285">
                    <w:rPr>
                      <w:rFonts w:eastAsia="Arial" w:cs="Arial"/>
                      <w:szCs w:val="20"/>
                    </w:rPr>
                    <w:t>488*</w:t>
                  </w:r>
                </w:p>
              </w:tc>
              <w:tc>
                <w:tcPr>
                  <w:tcW w:w="1701" w:type="dxa"/>
                </w:tcPr>
                <w:p w14:paraId="557E5079" w14:textId="77777777" w:rsidR="00247C82" w:rsidRPr="00505285" w:rsidRDefault="00247C82">
                  <w:pPr>
                    <w:spacing w:after="0" w:line="240" w:lineRule="auto"/>
                    <w:jc w:val="center"/>
                    <w:rPr>
                      <w:rFonts w:eastAsia="Arial" w:cs="Arial"/>
                      <w:szCs w:val="20"/>
                    </w:rPr>
                  </w:pPr>
                  <w:r w:rsidRPr="00505285">
                    <w:rPr>
                      <w:rFonts w:eastAsia="Arial" w:cs="Arial"/>
                      <w:szCs w:val="20"/>
                    </w:rPr>
                    <w:t>600^</w:t>
                  </w:r>
                </w:p>
              </w:tc>
            </w:tr>
            <w:tr w:rsidR="00247C82" w:rsidRPr="00505285" w14:paraId="5D53139B" w14:textId="77777777">
              <w:trPr>
                <w:trHeight w:val="300"/>
              </w:trPr>
              <w:tc>
                <w:tcPr>
                  <w:tcW w:w="11695" w:type="dxa"/>
                  <w:gridSpan w:val="6"/>
                  <w:shd w:val="clear" w:color="auto" w:fill="005F85"/>
                  <w:noWrap/>
                </w:tcPr>
                <w:p w14:paraId="1FF6E244" w14:textId="77777777" w:rsidR="00247C82" w:rsidRPr="00505285" w:rsidRDefault="00247C82">
                  <w:pPr>
                    <w:spacing w:after="0" w:line="240" w:lineRule="auto"/>
                    <w:rPr>
                      <w:rFonts w:eastAsia="Arial" w:cs="Arial"/>
                      <w:szCs w:val="20"/>
                    </w:rPr>
                  </w:pPr>
                  <w:r w:rsidRPr="00505285">
                    <w:rPr>
                      <w:rFonts w:eastAsia="Times New Roman" w:cs="Arial"/>
                      <w:b/>
                      <w:bCs/>
                      <w:color w:val="FFFFFF"/>
                      <w:szCs w:val="20"/>
                    </w:rPr>
                    <w:lastRenderedPageBreak/>
                    <w:t>Age (grouped by school-age):</w:t>
                  </w:r>
                </w:p>
              </w:tc>
            </w:tr>
            <w:tr w:rsidR="00247C82" w:rsidRPr="00505285" w14:paraId="6EB2692F" w14:textId="77777777">
              <w:trPr>
                <w:trHeight w:val="300"/>
              </w:trPr>
              <w:tc>
                <w:tcPr>
                  <w:tcW w:w="2623" w:type="dxa"/>
                  <w:noWrap/>
                </w:tcPr>
                <w:p w14:paraId="57241765" w14:textId="77777777" w:rsidR="00247C82" w:rsidRPr="00505285" w:rsidRDefault="00247C82">
                  <w:pPr>
                    <w:spacing w:after="0" w:line="240" w:lineRule="auto"/>
                    <w:rPr>
                      <w:rFonts w:eastAsia="Arial" w:cs="Arial"/>
                      <w:szCs w:val="20"/>
                    </w:rPr>
                  </w:pPr>
                  <w:r w:rsidRPr="00505285">
                    <w:rPr>
                      <w:rFonts w:eastAsia="Arial" w:cs="Arial"/>
                      <w:szCs w:val="20"/>
                    </w:rPr>
                    <w:t>12 to under 24 months:</w:t>
                  </w:r>
                </w:p>
              </w:tc>
              <w:tc>
                <w:tcPr>
                  <w:tcW w:w="1701" w:type="dxa"/>
                </w:tcPr>
                <w:p w14:paraId="1EA261B9" w14:textId="77777777" w:rsidR="00247C82" w:rsidRPr="00505285" w:rsidRDefault="00247C82">
                  <w:pPr>
                    <w:spacing w:after="0" w:line="240" w:lineRule="auto"/>
                    <w:jc w:val="center"/>
                    <w:rPr>
                      <w:rFonts w:eastAsia="Arial" w:cs="Arial"/>
                      <w:szCs w:val="20"/>
                    </w:rPr>
                  </w:pPr>
                  <w:r w:rsidRPr="00505285">
                    <w:rPr>
                      <w:rFonts w:eastAsia="Arial" w:cs="Arial"/>
                      <w:szCs w:val="20"/>
                    </w:rPr>
                    <w:t>200</w:t>
                  </w:r>
                </w:p>
              </w:tc>
              <w:tc>
                <w:tcPr>
                  <w:tcW w:w="1985" w:type="dxa"/>
                  <w:noWrap/>
                </w:tcPr>
                <w:p w14:paraId="568BBC7D" w14:textId="77777777" w:rsidR="00247C82" w:rsidRPr="00505285" w:rsidRDefault="00247C82">
                  <w:pPr>
                    <w:spacing w:after="0" w:line="240" w:lineRule="auto"/>
                    <w:jc w:val="center"/>
                    <w:rPr>
                      <w:rFonts w:eastAsia="Arial" w:cs="Arial"/>
                      <w:szCs w:val="20"/>
                    </w:rPr>
                  </w:pPr>
                  <w:r w:rsidRPr="00505285">
                    <w:rPr>
                      <w:rFonts w:eastAsia="Times New Roman"/>
                      <w:color w:val="000000"/>
                      <w:szCs w:val="20"/>
                    </w:rPr>
                    <w:t>200</w:t>
                  </w:r>
                </w:p>
              </w:tc>
              <w:tc>
                <w:tcPr>
                  <w:tcW w:w="1984" w:type="dxa"/>
                  <w:noWrap/>
                </w:tcPr>
                <w:p w14:paraId="49CAEFC9" w14:textId="77777777" w:rsidR="00247C82" w:rsidRPr="00505285" w:rsidRDefault="00247C82">
                  <w:pPr>
                    <w:spacing w:after="0" w:line="240" w:lineRule="auto"/>
                    <w:jc w:val="center"/>
                    <w:rPr>
                      <w:rFonts w:eastAsia="Arial" w:cs="Arial"/>
                      <w:szCs w:val="20"/>
                    </w:rPr>
                  </w:pPr>
                  <w:r w:rsidRPr="00505285">
                    <w:rPr>
                      <w:rFonts w:eastAsia="Times New Roman"/>
                      <w:color w:val="000000"/>
                      <w:szCs w:val="20"/>
                    </w:rPr>
                    <w:t>200</w:t>
                  </w:r>
                </w:p>
              </w:tc>
              <w:tc>
                <w:tcPr>
                  <w:tcW w:w="1701" w:type="dxa"/>
                  <w:noWrap/>
                </w:tcPr>
                <w:p w14:paraId="095DCCD6" w14:textId="77777777" w:rsidR="00247C82" w:rsidRPr="00505285" w:rsidRDefault="00247C82">
                  <w:pPr>
                    <w:spacing w:after="0" w:line="240" w:lineRule="auto"/>
                    <w:jc w:val="center"/>
                    <w:rPr>
                      <w:rFonts w:eastAsia="Arial" w:cs="Arial"/>
                      <w:szCs w:val="20"/>
                    </w:rPr>
                  </w:pPr>
                  <w:r w:rsidRPr="00505285">
                    <w:rPr>
                      <w:rFonts w:eastAsia="Arial" w:cs="Arial"/>
                      <w:szCs w:val="20"/>
                    </w:rPr>
                    <w:t>200</w:t>
                  </w:r>
                </w:p>
              </w:tc>
              <w:tc>
                <w:tcPr>
                  <w:tcW w:w="1701" w:type="dxa"/>
                </w:tcPr>
                <w:p w14:paraId="6E87E6E9" w14:textId="77777777" w:rsidR="00247C82" w:rsidRPr="00505285" w:rsidRDefault="00247C82">
                  <w:pPr>
                    <w:spacing w:after="0" w:line="240" w:lineRule="auto"/>
                    <w:jc w:val="center"/>
                    <w:rPr>
                      <w:rFonts w:eastAsia="Arial" w:cs="Arial"/>
                      <w:szCs w:val="20"/>
                    </w:rPr>
                  </w:pPr>
                  <w:r w:rsidRPr="00505285">
                    <w:rPr>
                      <w:rFonts w:eastAsia="Arial" w:cs="Arial"/>
                      <w:szCs w:val="20"/>
                    </w:rPr>
                    <w:t>-</w:t>
                  </w:r>
                </w:p>
              </w:tc>
            </w:tr>
            <w:tr w:rsidR="00247C82" w:rsidRPr="00505285" w14:paraId="2622A47F" w14:textId="77777777">
              <w:trPr>
                <w:trHeight w:val="300"/>
              </w:trPr>
              <w:tc>
                <w:tcPr>
                  <w:tcW w:w="2623" w:type="dxa"/>
                  <w:noWrap/>
                </w:tcPr>
                <w:p w14:paraId="4D7A29AF" w14:textId="77777777" w:rsidR="00247C82" w:rsidRPr="00505285" w:rsidRDefault="00247C82">
                  <w:pPr>
                    <w:spacing w:after="0" w:line="240" w:lineRule="auto"/>
                    <w:rPr>
                      <w:rFonts w:eastAsia="Arial" w:cs="Arial"/>
                      <w:szCs w:val="20"/>
                    </w:rPr>
                  </w:pPr>
                  <w:r w:rsidRPr="00505285">
                    <w:rPr>
                      <w:rFonts w:eastAsia="Arial" w:cs="Arial"/>
                      <w:szCs w:val="20"/>
                    </w:rPr>
                    <w:t xml:space="preserve">2 to under 5 years: </w:t>
                  </w:r>
                </w:p>
              </w:tc>
              <w:tc>
                <w:tcPr>
                  <w:tcW w:w="1701" w:type="dxa"/>
                </w:tcPr>
                <w:p w14:paraId="629DF0EB" w14:textId="77777777" w:rsidR="00247C82" w:rsidRPr="00505285" w:rsidRDefault="00247C82">
                  <w:pPr>
                    <w:spacing w:after="0" w:line="240" w:lineRule="auto"/>
                    <w:jc w:val="center"/>
                    <w:rPr>
                      <w:rFonts w:eastAsia="Arial" w:cs="Arial"/>
                      <w:szCs w:val="20"/>
                    </w:rPr>
                  </w:pPr>
                  <w:r w:rsidRPr="00505285">
                    <w:rPr>
                      <w:rFonts w:eastAsia="Arial" w:cs="Arial"/>
                      <w:szCs w:val="20"/>
                    </w:rPr>
                    <w:t>250</w:t>
                  </w:r>
                </w:p>
              </w:tc>
              <w:tc>
                <w:tcPr>
                  <w:tcW w:w="1985" w:type="dxa"/>
                  <w:noWrap/>
                </w:tcPr>
                <w:p w14:paraId="6030591C" w14:textId="77777777" w:rsidR="00247C82" w:rsidRPr="00505285" w:rsidRDefault="00247C82">
                  <w:pPr>
                    <w:spacing w:after="0" w:line="240" w:lineRule="auto"/>
                    <w:jc w:val="center"/>
                    <w:rPr>
                      <w:rFonts w:eastAsia="Arial" w:cs="Arial"/>
                      <w:szCs w:val="20"/>
                    </w:rPr>
                  </w:pPr>
                  <w:r w:rsidRPr="00505285">
                    <w:rPr>
                      <w:rFonts w:eastAsia="Arial" w:cs="Arial"/>
                      <w:szCs w:val="20"/>
                    </w:rPr>
                    <w:t>233*</w:t>
                  </w:r>
                </w:p>
              </w:tc>
              <w:tc>
                <w:tcPr>
                  <w:tcW w:w="1984" w:type="dxa"/>
                  <w:noWrap/>
                </w:tcPr>
                <w:p w14:paraId="39D77D09" w14:textId="77777777" w:rsidR="00247C82" w:rsidRPr="00505285" w:rsidRDefault="00247C82">
                  <w:pPr>
                    <w:spacing w:after="0" w:line="240" w:lineRule="auto"/>
                    <w:jc w:val="center"/>
                    <w:rPr>
                      <w:rFonts w:eastAsia="Arial" w:cs="Arial"/>
                      <w:szCs w:val="20"/>
                    </w:rPr>
                  </w:pPr>
                  <w:r w:rsidRPr="00505285">
                    <w:rPr>
                      <w:rFonts w:eastAsia="Arial" w:cs="Arial"/>
                      <w:szCs w:val="20"/>
                    </w:rPr>
                    <w:t>233*</w:t>
                  </w:r>
                </w:p>
              </w:tc>
              <w:tc>
                <w:tcPr>
                  <w:tcW w:w="1701" w:type="dxa"/>
                  <w:noWrap/>
                </w:tcPr>
                <w:p w14:paraId="1AE49165" w14:textId="77777777" w:rsidR="00247C82" w:rsidRPr="00505285" w:rsidRDefault="00247C82">
                  <w:pPr>
                    <w:spacing w:after="0" w:line="240" w:lineRule="auto"/>
                    <w:jc w:val="center"/>
                    <w:rPr>
                      <w:rFonts w:eastAsia="Arial" w:cs="Arial"/>
                      <w:szCs w:val="20"/>
                    </w:rPr>
                  </w:pPr>
                  <w:r w:rsidRPr="00505285">
                    <w:rPr>
                      <w:rFonts w:eastAsia="Arial" w:cs="Arial"/>
                      <w:szCs w:val="20"/>
                    </w:rPr>
                    <w:t>217*</w:t>
                  </w:r>
                </w:p>
              </w:tc>
              <w:tc>
                <w:tcPr>
                  <w:tcW w:w="1701" w:type="dxa"/>
                </w:tcPr>
                <w:p w14:paraId="4DAAA256" w14:textId="77777777" w:rsidR="00247C82" w:rsidRPr="00505285" w:rsidRDefault="00247C82">
                  <w:pPr>
                    <w:spacing w:after="0" w:line="240" w:lineRule="auto"/>
                    <w:jc w:val="center"/>
                    <w:rPr>
                      <w:rFonts w:eastAsia="Arial" w:cs="Arial"/>
                      <w:szCs w:val="20"/>
                    </w:rPr>
                  </w:pPr>
                  <w:r w:rsidRPr="00505285">
                    <w:rPr>
                      <w:rFonts w:eastAsia="Arial" w:cs="Arial"/>
                      <w:szCs w:val="20"/>
                    </w:rPr>
                    <w:t>-</w:t>
                  </w:r>
                </w:p>
              </w:tc>
            </w:tr>
            <w:tr w:rsidR="00247C82" w:rsidRPr="00505285" w14:paraId="6768CA25" w14:textId="77777777">
              <w:trPr>
                <w:trHeight w:val="300"/>
              </w:trPr>
              <w:tc>
                <w:tcPr>
                  <w:tcW w:w="2623" w:type="dxa"/>
                  <w:noWrap/>
                </w:tcPr>
                <w:p w14:paraId="1A0D5B27" w14:textId="77777777" w:rsidR="00247C82" w:rsidRPr="00505285" w:rsidRDefault="00247C82">
                  <w:pPr>
                    <w:spacing w:after="0" w:line="240" w:lineRule="auto"/>
                    <w:rPr>
                      <w:rFonts w:eastAsia="Arial" w:cs="Arial"/>
                      <w:szCs w:val="20"/>
                    </w:rPr>
                  </w:pPr>
                  <w:r w:rsidRPr="00505285">
                    <w:rPr>
                      <w:rFonts w:eastAsia="Arial" w:cs="Arial"/>
                      <w:szCs w:val="20"/>
                    </w:rPr>
                    <w:t>5 to under 12 years:</w:t>
                  </w:r>
                </w:p>
              </w:tc>
              <w:tc>
                <w:tcPr>
                  <w:tcW w:w="1701" w:type="dxa"/>
                </w:tcPr>
                <w:p w14:paraId="0D6EB7CB" w14:textId="77777777" w:rsidR="00247C82" w:rsidRPr="00505285" w:rsidRDefault="00247C82">
                  <w:pPr>
                    <w:spacing w:after="0" w:line="240" w:lineRule="auto"/>
                    <w:jc w:val="center"/>
                    <w:rPr>
                      <w:rFonts w:eastAsia="Arial" w:cs="Arial"/>
                      <w:szCs w:val="20"/>
                    </w:rPr>
                  </w:pPr>
                  <w:r w:rsidRPr="00505285">
                    <w:rPr>
                      <w:rFonts w:eastAsia="Arial" w:cs="Arial"/>
                      <w:szCs w:val="20"/>
                    </w:rPr>
                    <w:t>350</w:t>
                  </w:r>
                </w:p>
              </w:tc>
              <w:tc>
                <w:tcPr>
                  <w:tcW w:w="1985" w:type="dxa"/>
                  <w:noWrap/>
                </w:tcPr>
                <w:p w14:paraId="6B8DAB4E" w14:textId="77777777" w:rsidR="00247C82" w:rsidRPr="00505285" w:rsidRDefault="00247C82">
                  <w:pPr>
                    <w:spacing w:after="0" w:line="240" w:lineRule="auto"/>
                    <w:jc w:val="center"/>
                    <w:rPr>
                      <w:rFonts w:eastAsia="Arial" w:cs="Arial"/>
                      <w:szCs w:val="20"/>
                    </w:rPr>
                  </w:pPr>
                  <w:r w:rsidRPr="00505285">
                    <w:rPr>
                      <w:rFonts w:eastAsia="Arial" w:cs="Arial"/>
                      <w:szCs w:val="20"/>
                    </w:rPr>
                    <w:t>429*</w:t>
                  </w:r>
                </w:p>
              </w:tc>
              <w:tc>
                <w:tcPr>
                  <w:tcW w:w="1984" w:type="dxa"/>
                  <w:noWrap/>
                </w:tcPr>
                <w:p w14:paraId="34F1B0E5" w14:textId="77777777" w:rsidR="00247C82" w:rsidRPr="00505285" w:rsidRDefault="00247C82">
                  <w:pPr>
                    <w:spacing w:after="0" w:line="240" w:lineRule="auto"/>
                    <w:jc w:val="center"/>
                    <w:rPr>
                      <w:rFonts w:eastAsia="Arial" w:cs="Arial"/>
                      <w:szCs w:val="20"/>
                    </w:rPr>
                  </w:pPr>
                  <w:r w:rsidRPr="00505285">
                    <w:rPr>
                      <w:rFonts w:eastAsia="Arial" w:cs="Arial"/>
                      <w:szCs w:val="20"/>
                    </w:rPr>
                    <w:t>429*</w:t>
                  </w:r>
                </w:p>
              </w:tc>
              <w:tc>
                <w:tcPr>
                  <w:tcW w:w="1701" w:type="dxa"/>
                  <w:noWrap/>
                </w:tcPr>
                <w:p w14:paraId="371C07DA" w14:textId="77777777" w:rsidR="00247C82" w:rsidRPr="00505285" w:rsidRDefault="00247C82">
                  <w:pPr>
                    <w:spacing w:after="0" w:line="240" w:lineRule="auto"/>
                    <w:jc w:val="center"/>
                    <w:rPr>
                      <w:rFonts w:eastAsia="Arial" w:cs="Arial"/>
                      <w:szCs w:val="20"/>
                    </w:rPr>
                  </w:pPr>
                  <w:r w:rsidRPr="00505285">
                    <w:rPr>
                      <w:rFonts w:eastAsia="Arial" w:cs="Arial"/>
                      <w:szCs w:val="20"/>
                    </w:rPr>
                    <w:t>307*</w:t>
                  </w:r>
                </w:p>
              </w:tc>
              <w:tc>
                <w:tcPr>
                  <w:tcW w:w="1701" w:type="dxa"/>
                </w:tcPr>
                <w:p w14:paraId="4965F4AF" w14:textId="77777777" w:rsidR="00247C82" w:rsidRPr="00505285" w:rsidRDefault="00247C82">
                  <w:pPr>
                    <w:spacing w:after="0" w:line="240" w:lineRule="auto"/>
                    <w:jc w:val="center"/>
                    <w:rPr>
                      <w:rFonts w:eastAsia="Arial" w:cs="Arial"/>
                      <w:szCs w:val="20"/>
                    </w:rPr>
                  </w:pPr>
                  <w:r w:rsidRPr="00505285">
                    <w:rPr>
                      <w:rFonts w:eastAsia="Arial" w:cs="Arial"/>
                      <w:szCs w:val="20"/>
                    </w:rPr>
                    <w:t>-</w:t>
                  </w:r>
                </w:p>
              </w:tc>
            </w:tr>
            <w:tr w:rsidR="00247C82" w:rsidRPr="00505285" w14:paraId="29086E49" w14:textId="77777777">
              <w:trPr>
                <w:trHeight w:val="300"/>
              </w:trPr>
              <w:tc>
                <w:tcPr>
                  <w:tcW w:w="2623" w:type="dxa"/>
                  <w:noWrap/>
                </w:tcPr>
                <w:p w14:paraId="3A1FCED9" w14:textId="77777777" w:rsidR="00247C82" w:rsidRPr="00505285" w:rsidRDefault="00247C82">
                  <w:pPr>
                    <w:spacing w:after="0" w:line="240" w:lineRule="auto"/>
                    <w:rPr>
                      <w:rFonts w:eastAsia="Arial" w:cs="Arial"/>
                      <w:szCs w:val="20"/>
                    </w:rPr>
                  </w:pPr>
                  <w:r w:rsidRPr="00505285">
                    <w:rPr>
                      <w:rFonts w:eastAsia="Arial" w:cs="Arial"/>
                      <w:szCs w:val="20"/>
                    </w:rPr>
                    <w:t xml:space="preserve">12 to under 18 years: </w:t>
                  </w:r>
                </w:p>
              </w:tc>
              <w:tc>
                <w:tcPr>
                  <w:tcW w:w="1701" w:type="dxa"/>
                </w:tcPr>
                <w:p w14:paraId="714F39C3" w14:textId="77777777" w:rsidR="00247C82" w:rsidRPr="00505285" w:rsidRDefault="00247C82">
                  <w:pPr>
                    <w:spacing w:after="0" w:line="240" w:lineRule="auto"/>
                    <w:jc w:val="center"/>
                    <w:rPr>
                      <w:rFonts w:eastAsia="Arial" w:cs="Arial"/>
                      <w:szCs w:val="20"/>
                    </w:rPr>
                  </w:pPr>
                  <w:r w:rsidRPr="00505285">
                    <w:rPr>
                      <w:rFonts w:eastAsia="Arial" w:cs="Arial"/>
                      <w:szCs w:val="20"/>
                    </w:rPr>
                    <w:t>500</w:t>
                  </w:r>
                </w:p>
              </w:tc>
              <w:tc>
                <w:tcPr>
                  <w:tcW w:w="1985" w:type="dxa"/>
                  <w:noWrap/>
                </w:tcPr>
                <w:p w14:paraId="0767F35E" w14:textId="77777777" w:rsidR="00247C82" w:rsidRPr="00505285" w:rsidRDefault="00247C82">
                  <w:pPr>
                    <w:spacing w:after="0" w:line="240" w:lineRule="auto"/>
                    <w:jc w:val="center"/>
                    <w:rPr>
                      <w:rFonts w:eastAsia="Arial" w:cs="Arial"/>
                      <w:szCs w:val="20"/>
                    </w:rPr>
                  </w:pPr>
                  <w:r w:rsidRPr="00505285">
                    <w:rPr>
                      <w:rFonts w:eastAsia="Arial" w:cs="Arial"/>
                      <w:szCs w:val="20"/>
                    </w:rPr>
                    <w:t>800*</w:t>
                  </w:r>
                </w:p>
              </w:tc>
              <w:tc>
                <w:tcPr>
                  <w:tcW w:w="1984" w:type="dxa"/>
                  <w:noWrap/>
                </w:tcPr>
                <w:p w14:paraId="39F004A3" w14:textId="77777777" w:rsidR="00247C82" w:rsidRPr="00505285" w:rsidRDefault="00247C82">
                  <w:pPr>
                    <w:spacing w:after="0" w:line="240" w:lineRule="auto"/>
                    <w:jc w:val="center"/>
                    <w:rPr>
                      <w:rFonts w:eastAsia="Arial" w:cs="Arial"/>
                      <w:szCs w:val="20"/>
                    </w:rPr>
                  </w:pPr>
                  <w:r w:rsidRPr="00505285">
                    <w:rPr>
                      <w:rFonts w:eastAsia="Arial" w:cs="Arial"/>
                      <w:szCs w:val="20"/>
                    </w:rPr>
                    <w:t>800*</w:t>
                  </w:r>
                </w:p>
              </w:tc>
              <w:tc>
                <w:tcPr>
                  <w:tcW w:w="1701" w:type="dxa"/>
                  <w:noWrap/>
                </w:tcPr>
                <w:p w14:paraId="47EEB07D" w14:textId="77777777" w:rsidR="00247C82" w:rsidRPr="00505285" w:rsidRDefault="00247C82">
                  <w:pPr>
                    <w:spacing w:after="0" w:line="240" w:lineRule="auto"/>
                    <w:jc w:val="center"/>
                    <w:rPr>
                      <w:rFonts w:eastAsia="Arial" w:cs="Arial"/>
                      <w:szCs w:val="20"/>
                    </w:rPr>
                  </w:pPr>
                  <w:r w:rsidRPr="00505285">
                    <w:rPr>
                      <w:rFonts w:eastAsia="Arial" w:cs="Arial"/>
                      <w:szCs w:val="20"/>
                    </w:rPr>
                    <w:t>475*</w:t>
                  </w:r>
                </w:p>
              </w:tc>
              <w:tc>
                <w:tcPr>
                  <w:tcW w:w="1701" w:type="dxa"/>
                </w:tcPr>
                <w:p w14:paraId="2AF58BFF" w14:textId="77777777" w:rsidR="00247C82" w:rsidRPr="00505285" w:rsidRDefault="00247C82">
                  <w:pPr>
                    <w:spacing w:after="0" w:line="240" w:lineRule="auto"/>
                    <w:jc w:val="center"/>
                    <w:rPr>
                      <w:rFonts w:eastAsia="Arial" w:cs="Arial"/>
                      <w:szCs w:val="20"/>
                    </w:rPr>
                  </w:pPr>
                  <w:r w:rsidRPr="00505285">
                    <w:rPr>
                      <w:rFonts w:eastAsia="Arial" w:cs="Arial"/>
                      <w:szCs w:val="20"/>
                    </w:rPr>
                    <w:t>600^</w:t>
                  </w:r>
                </w:p>
              </w:tc>
            </w:tr>
          </w:tbl>
          <w:p w14:paraId="437BA649" w14:textId="77777777" w:rsidR="00247C82" w:rsidRPr="00505285" w:rsidRDefault="00247C82">
            <w:pPr>
              <w:cnfStyle w:val="000000000000" w:firstRow="0" w:lastRow="0" w:firstColumn="0" w:lastColumn="0" w:oddVBand="0" w:evenVBand="0" w:oddHBand="0" w:evenHBand="0" w:firstRowFirstColumn="0" w:firstRowLastColumn="0" w:lastRowFirstColumn="0" w:lastRowLastColumn="0"/>
              <w:rPr>
                <w:rFonts w:eastAsia="Times New Roman" w:cs="Arial"/>
                <w:iCs/>
                <w:szCs w:val="20"/>
                <w:highlight w:val="lightGray"/>
              </w:rPr>
            </w:pPr>
            <w:r w:rsidRPr="00505285">
              <w:rPr>
                <w:rFonts w:eastAsia="Times New Roman" w:cs="Arial"/>
                <w:iCs/>
                <w:szCs w:val="20"/>
              </w:rPr>
              <w:t xml:space="preserve">^NNR (2023) specifies a UL for 14 - </w:t>
            </w:r>
            <w:proofErr w:type="gramStart"/>
            <w:r w:rsidRPr="00505285">
              <w:rPr>
                <w:rFonts w:eastAsia="Times New Roman" w:cs="Arial"/>
                <w:iCs/>
                <w:szCs w:val="20"/>
              </w:rPr>
              <w:t>18 year olds</w:t>
            </w:r>
            <w:proofErr w:type="gramEnd"/>
            <w:r w:rsidRPr="00505285">
              <w:rPr>
                <w:rFonts w:eastAsia="Times New Roman" w:cs="Arial"/>
                <w:iCs/>
                <w:szCs w:val="20"/>
              </w:rPr>
              <w:t xml:space="preserve"> during lactation or pregnancy only</w:t>
            </w:r>
          </w:p>
        </w:tc>
      </w:tr>
      <w:tr w:rsidR="00247C82" w:rsidRPr="00505285" w14:paraId="55FC10A0" w14:textId="77777777" w:rsidTr="00247C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hideMark/>
          </w:tcPr>
          <w:p w14:paraId="17EE8F29" w14:textId="77777777" w:rsidR="00247C82" w:rsidRPr="00505285" w:rsidRDefault="00247C82">
            <w:pPr>
              <w:rPr>
                <w:rFonts w:eastAsia="Arial" w:cs="Helvetica"/>
                <w:szCs w:val="20"/>
              </w:rPr>
            </w:pPr>
            <w:r w:rsidRPr="00505285">
              <w:rPr>
                <w:rFonts w:eastAsia="Arial" w:cs="Arial"/>
                <w:szCs w:val="20"/>
              </w:rPr>
              <w:lastRenderedPageBreak/>
              <w:t>Balance of effects (benefits and harms)</w:t>
            </w:r>
          </w:p>
          <w:p w14:paraId="35F6D6E9" w14:textId="77777777" w:rsidR="00247C82" w:rsidRPr="00505285" w:rsidRDefault="00247C82">
            <w:pPr>
              <w:ind w:right="-1346"/>
              <w:rPr>
                <w:rFonts w:eastAsia="Times New Roman" w:cs="Arial"/>
                <w:szCs w:val="20"/>
              </w:rPr>
            </w:pPr>
          </w:p>
        </w:tc>
        <w:tc>
          <w:tcPr>
            <w:tcW w:w="11978" w:type="dxa"/>
            <w:gridSpan w:val="2"/>
            <w:tcBorders>
              <w:left w:val="single" w:sz="4" w:space="0" w:color="77BCD9"/>
            </w:tcBorders>
          </w:tcPr>
          <w:p w14:paraId="599F7944" w14:textId="77777777" w:rsidR="00247C82" w:rsidRPr="00505285" w:rsidRDefault="00247C82">
            <w:pPr>
              <w:spacing w:before="120" w:after="0"/>
              <w:ind w:right="182"/>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There is insufficient evidence from children and adolescents to support a risk assessment and derive a UL. However, evidence suggests that the current UL of 1,100</w:t>
            </w:r>
            <w:r w:rsidRPr="00505285">
              <w:rPr>
                <w:rFonts w:eastAsia="Times New Roman" w:cs="Times New Roman"/>
                <w:szCs w:val="20"/>
              </w:rPr>
              <w:t xml:space="preserve"> µg/day</w:t>
            </w:r>
            <w:r w:rsidRPr="00505285">
              <w:rPr>
                <w:rFonts w:eastAsia="Times New Roman" w:cs="Arial"/>
                <w:szCs w:val="20"/>
              </w:rPr>
              <w:t xml:space="preserve"> may not be protective of all adults within the population. It is reasonable to assume that e</w:t>
            </w:r>
            <w:r w:rsidRPr="00505285">
              <w:rPr>
                <w:rFonts w:eastAsia="Times New Roman" w:cs="Times New Roman"/>
                <w:szCs w:val="20"/>
              </w:rPr>
              <w:t xml:space="preserve">xtrapolation of revised adult values - based on metabolic body weight - will ensure that the </w:t>
            </w:r>
            <w:r w:rsidRPr="00505285">
              <w:rPr>
                <w:rFonts w:eastAsia="Times New Roman" w:cs="Arial"/>
                <w:szCs w:val="20"/>
              </w:rPr>
              <w:t xml:space="preserve">UL for children and adolescents will be protective for most individuals in the general population. </w:t>
            </w:r>
          </w:p>
        </w:tc>
      </w:tr>
      <w:tr w:rsidR="00247C82" w:rsidRPr="00505285" w14:paraId="77463F8B" w14:textId="77777777" w:rsidTr="00247C82">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tcPr>
          <w:p w14:paraId="4216ABAF" w14:textId="77777777" w:rsidR="00247C82" w:rsidRPr="00505285" w:rsidRDefault="00247C82">
            <w:pPr>
              <w:rPr>
                <w:rFonts w:eastAsia="Arial" w:cs="Arial"/>
                <w:szCs w:val="20"/>
              </w:rPr>
            </w:pPr>
            <w:r w:rsidRPr="00505285">
              <w:rPr>
                <w:rFonts w:eastAsia="Arial" w:cs="Arial"/>
                <w:szCs w:val="20"/>
              </w:rPr>
              <w:t>Certainty of the evidence</w:t>
            </w:r>
          </w:p>
        </w:tc>
        <w:tc>
          <w:tcPr>
            <w:tcW w:w="11978" w:type="dxa"/>
            <w:gridSpan w:val="2"/>
            <w:tcBorders>
              <w:left w:val="single" w:sz="4" w:space="0" w:color="77BCD9"/>
            </w:tcBorders>
          </w:tcPr>
          <w:p w14:paraId="7AC51F14" w14:textId="77777777" w:rsidR="00247C82" w:rsidRPr="00505285" w:rsidRDefault="00247C82">
            <w:pPr>
              <w:spacing w:before="120" w:after="0"/>
              <w:ind w:right="34"/>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The evidence on the levels of iodine intake at which adverse effects may occur in children and adolescents is very uncertain.</w:t>
            </w:r>
          </w:p>
        </w:tc>
      </w:tr>
      <w:tr w:rsidR="00247C82" w:rsidRPr="00505285" w14:paraId="764DA84E" w14:textId="77777777" w:rsidTr="00247C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tcPr>
          <w:p w14:paraId="5D00AC4F" w14:textId="77777777" w:rsidR="00247C82" w:rsidRPr="00505285" w:rsidRDefault="00247C82">
            <w:pPr>
              <w:rPr>
                <w:rFonts w:eastAsia="Arial" w:cs="Arial"/>
                <w:szCs w:val="20"/>
              </w:rPr>
            </w:pPr>
            <w:r w:rsidRPr="00505285">
              <w:rPr>
                <w:rFonts w:eastAsia="Arial" w:cs="Arial"/>
                <w:szCs w:val="20"/>
              </w:rPr>
              <w:t>Values, preferences and feasibility (consumers, communities)</w:t>
            </w:r>
          </w:p>
        </w:tc>
        <w:tc>
          <w:tcPr>
            <w:tcW w:w="11978" w:type="dxa"/>
            <w:gridSpan w:val="2"/>
            <w:tcBorders>
              <w:left w:val="single" w:sz="4" w:space="0" w:color="77BCD9"/>
            </w:tcBorders>
          </w:tcPr>
          <w:p w14:paraId="7DDF336E" w14:textId="77777777" w:rsidR="00247C82" w:rsidRPr="00505285" w:rsidRDefault="00247C82">
            <w:pPr>
              <w:spacing w:before="12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 xml:space="preserve">Data from the food modelling system </w:t>
            </w:r>
            <w:r w:rsidRPr="00505285">
              <w:rPr>
                <w:rFonts w:eastAsia="Times New Roman" w:cs="Times New Roman"/>
                <w:szCs w:val="20"/>
              </w:rPr>
              <w:t xml:space="preserve">(NHMRC, 2011) </w:t>
            </w:r>
            <w:r w:rsidRPr="00505285">
              <w:rPr>
                <w:rFonts w:eastAsia="Times New Roman" w:cs="Arial"/>
                <w:szCs w:val="20"/>
              </w:rPr>
              <w:t>suggests that child or adolescent intakes from each of the foundation diets exceed the proposed RDI, but do not approach the ULs for each age group.  Intake data</w:t>
            </w:r>
            <w:r w:rsidRPr="00505285">
              <w:rPr>
                <w:rFonts w:eastAsia="Arial" w:cs="Arial"/>
                <w:szCs w:val="20"/>
              </w:rPr>
              <w:t xml:space="preserve"> from the </w:t>
            </w:r>
            <w:r w:rsidRPr="00505285">
              <w:rPr>
                <w:rFonts w:eastAsia="Times New Roman" w:cs="Arial"/>
                <w:szCs w:val="20"/>
              </w:rPr>
              <w:t>2011-13 Australian Health Survey</w:t>
            </w:r>
            <w:r w:rsidRPr="00505285">
              <w:rPr>
                <w:rFonts w:eastAsia="Arial" w:cs="Arial"/>
                <w:szCs w:val="20"/>
              </w:rPr>
              <w:t xml:space="preserve"> (ABS, 2015) also suggest that the proposed UL is feasible, with intakes for at least 95% of males and females across all age groups less than the proposed ULs. Finally, the proposed UL is substantially higher than the proposed RDI across all age groups, allowing for sufficient variability in individual intak</w:t>
            </w:r>
            <w:r w:rsidRPr="00505285">
              <w:rPr>
                <w:rFonts w:eastAsia="Times New Roman" w:cs="Arial"/>
                <w:szCs w:val="20"/>
              </w:rPr>
              <w:t xml:space="preserve">es within the range between the RDII </w:t>
            </w:r>
            <w:r w:rsidRPr="00505285">
              <w:rPr>
                <w:rFonts w:eastAsia="Arial" w:cs="Arial"/>
                <w:szCs w:val="20"/>
              </w:rPr>
              <w:t>and the proposed UL.</w:t>
            </w:r>
          </w:p>
          <w:p w14:paraId="76C4EFE7" w14:textId="77777777" w:rsidR="00247C82" w:rsidRDefault="00247C82">
            <w:pPr>
              <w:spacing w:before="12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Food modelling data from the overall foundation diets are shown at Table 12 alongside the proposed AI, UL and 2011-13 AHS intake data for comparison purposes.</w:t>
            </w:r>
          </w:p>
          <w:p w14:paraId="54189A08" w14:textId="77777777" w:rsidR="00DD0719" w:rsidRDefault="00DD0719">
            <w:pPr>
              <w:spacing w:before="12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p>
          <w:p w14:paraId="1BDAF964" w14:textId="77777777" w:rsidR="00DD0719" w:rsidRDefault="00DD0719">
            <w:pPr>
              <w:spacing w:before="12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p>
          <w:p w14:paraId="5F83C9AE" w14:textId="77777777" w:rsidR="00DD0719" w:rsidRDefault="00DD0719">
            <w:pPr>
              <w:spacing w:before="12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p>
          <w:p w14:paraId="01E25B84" w14:textId="77777777" w:rsidR="00DD0719" w:rsidRPr="00505285" w:rsidRDefault="00DD0719">
            <w:pPr>
              <w:spacing w:before="120"/>
              <w:ind w:right="34"/>
              <w:cnfStyle w:val="000000100000" w:firstRow="0" w:lastRow="0" w:firstColumn="0" w:lastColumn="0" w:oddVBand="0" w:evenVBand="0" w:oddHBand="1" w:evenHBand="0" w:firstRowFirstColumn="0" w:firstRowLastColumn="0" w:lastRowFirstColumn="0" w:lastRowLastColumn="0"/>
              <w:rPr>
                <w:rFonts w:eastAsia="Times New Roman" w:cs="Arial"/>
                <w:szCs w:val="20"/>
              </w:rPr>
            </w:pPr>
          </w:p>
          <w:p w14:paraId="7C347550" w14:textId="77777777" w:rsidR="00247C82" w:rsidRPr="00505285" w:rsidRDefault="00247C82">
            <w:pPr>
              <w:keepNext/>
              <w:spacing w:after="200"/>
              <w:cnfStyle w:val="000000100000" w:firstRow="0" w:lastRow="0" w:firstColumn="0" w:lastColumn="0" w:oddVBand="0" w:evenVBand="0" w:oddHBand="1" w:evenHBand="0" w:firstRowFirstColumn="0" w:firstRowLastColumn="0" w:lastRowFirstColumn="0" w:lastRowLastColumn="0"/>
              <w:rPr>
                <w:rFonts w:eastAsia="Arial" w:cs="Arial"/>
                <w:iCs/>
                <w:caps/>
                <w:szCs w:val="20"/>
              </w:rPr>
            </w:pPr>
            <w:r w:rsidRPr="00505285">
              <w:rPr>
                <w:rFonts w:eastAsia="Arial" w:cs="Arial"/>
                <w:iCs/>
                <w:caps/>
                <w:szCs w:val="20"/>
              </w:rPr>
              <w:lastRenderedPageBreak/>
              <w:t xml:space="preserve">Table </w:t>
            </w:r>
            <w:r w:rsidRPr="00505285">
              <w:rPr>
                <w:rFonts w:eastAsia="Arial" w:cs="Arial"/>
                <w:iCs/>
                <w:caps/>
                <w:szCs w:val="20"/>
              </w:rPr>
              <w:fldChar w:fldCharType="begin"/>
            </w:r>
            <w:r w:rsidRPr="00505285">
              <w:rPr>
                <w:rFonts w:eastAsia="Arial" w:cs="Arial"/>
                <w:iCs/>
                <w:caps/>
                <w:szCs w:val="20"/>
              </w:rPr>
              <w:instrText xml:space="preserve"> SEQ Table \* ARABIC </w:instrText>
            </w:r>
            <w:r w:rsidRPr="00505285">
              <w:rPr>
                <w:rFonts w:eastAsia="Arial" w:cs="Arial"/>
                <w:iCs/>
                <w:caps/>
                <w:szCs w:val="20"/>
              </w:rPr>
              <w:fldChar w:fldCharType="separate"/>
            </w:r>
            <w:r w:rsidRPr="00505285">
              <w:rPr>
                <w:rFonts w:eastAsia="Arial" w:cs="Arial"/>
                <w:iCs/>
                <w:caps/>
                <w:noProof/>
                <w:szCs w:val="20"/>
              </w:rPr>
              <w:t>12</w:t>
            </w:r>
            <w:r w:rsidRPr="00505285">
              <w:rPr>
                <w:rFonts w:eastAsia="Arial" w:cs="Arial"/>
                <w:iCs/>
                <w:caps/>
                <w:noProof/>
                <w:szCs w:val="20"/>
              </w:rPr>
              <w:fldChar w:fldCharType="end"/>
            </w:r>
            <w:r w:rsidRPr="00505285">
              <w:rPr>
                <w:rFonts w:eastAsia="Arial" w:cs="Arial"/>
                <w:iCs/>
                <w:caps/>
                <w:szCs w:val="20"/>
              </w:rPr>
              <w:t xml:space="preserve"> - COMPARISON OF PROPOSED NRVS WITH FOOD MODELLING DATA (NHMRC, 2011) </w:t>
            </w:r>
            <w:r w:rsidRPr="00505285">
              <w:rPr>
                <w:rFonts w:eastAsia="Arial" w:cs="Arial"/>
                <w:iCs/>
                <w:caps/>
                <w:noProof/>
                <w:szCs w:val="20"/>
              </w:rPr>
              <w:t>AND INTAKE DATA (ABS, 2015)</w:t>
            </w:r>
          </w:p>
          <w:tbl>
            <w:tblPr>
              <w:tblStyle w:val="TableGrid3"/>
              <w:tblW w:w="12399" w:type="dxa"/>
              <w:tblInd w:w="0" w:type="dxa"/>
              <w:tblLook w:val="04A0" w:firstRow="1" w:lastRow="0" w:firstColumn="1" w:lastColumn="0" w:noHBand="0" w:noVBand="1"/>
            </w:tblPr>
            <w:tblGrid>
              <w:gridCol w:w="1206"/>
              <w:gridCol w:w="1412"/>
              <w:gridCol w:w="1418"/>
              <w:gridCol w:w="1276"/>
              <w:gridCol w:w="1417"/>
              <w:gridCol w:w="1276"/>
              <w:gridCol w:w="1191"/>
              <w:gridCol w:w="1644"/>
              <w:gridCol w:w="1559"/>
            </w:tblGrid>
            <w:tr w:rsidR="00247C82" w:rsidRPr="00505285" w14:paraId="18B22B0C" w14:textId="77777777">
              <w:trPr>
                <w:trHeight w:val="422"/>
              </w:trPr>
              <w:tc>
                <w:tcPr>
                  <w:tcW w:w="1206" w:type="dxa"/>
                  <w:vMerge w:val="restart"/>
                  <w:shd w:val="clear" w:color="auto" w:fill="005F85"/>
                  <w:vAlign w:val="bottom"/>
                </w:tcPr>
                <w:p w14:paraId="03857CC5" w14:textId="77777777" w:rsidR="00247C82" w:rsidRPr="00505285" w:rsidRDefault="00247C82">
                  <w:pPr>
                    <w:spacing w:after="0"/>
                    <w:ind w:right="206"/>
                    <w:rPr>
                      <w:rFonts w:eastAsia="Times New Roman" w:cs="Arial"/>
                      <w:b/>
                      <w:bCs/>
                      <w:color w:val="FFFFFF"/>
                      <w:szCs w:val="20"/>
                    </w:rPr>
                  </w:pPr>
                  <w:r w:rsidRPr="00505285">
                    <w:rPr>
                      <w:rFonts w:eastAsia="Times New Roman" w:cs="Arial"/>
                      <w:b/>
                      <w:bCs/>
                      <w:color w:val="FFFFFF"/>
                      <w:szCs w:val="20"/>
                    </w:rPr>
                    <w:t>Age group (years)</w:t>
                  </w:r>
                </w:p>
              </w:tc>
              <w:tc>
                <w:tcPr>
                  <w:tcW w:w="1412" w:type="dxa"/>
                  <w:vMerge w:val="restart"/>
                  <w:shd w:val="clear" w:color="auto" w:fill="005F85"/>
                </w:tcPr>
                <w:p w14:paraId="33104B0A"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Proposed RDI - NRVs ages</w:t>
                  </w:r>
                </w:p>
                <w:p w14:paraId="131B7E53"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(µg/day)</w:t>
                  </w:r>
                </w:p>
              </w:tc>
              <w:tc>
                <w:tcPr>
                  <w:tcW w:w="1418" w:type="dxa"/>
                  <w:vMerge w:val="restart"/>
                  <w:shd w:val="clear" w:color="auto" w:fill="005F85"/>
                </w:tcPr>
                <w:p w14:paraId="20C9F8C4"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Proposed RDI - School age groupings</w:t>
                  </w:r>
                </w:p>
                <w:p w14:paraId="7F593D08"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(µg/day)</w:t>
                  </w:r>
                </w:p>
              </w:tc>
              <w:tc>
                <w:tcPr>
                  <w:tcW w:w="1276" w:type="dxa"/>
                  <w:vMerge w:val="restart"/>
                  <w:shd w:val="clear" w:color="auto" w:fill="005F85"/>
                </w:tcPr>
                <w:p w14:paraId="1D876733"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Proposed UL - NRVs age groups</w:t>
                  </w:r>
                </w:p>
                <w:p w14:paraId="6E8EDCC7"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(µg/day)</w:t>
                  </w:r>
                </w:p>
              </w:tc>
              <w:tc>
                <w:tcPr>
                  <w:tcW w:w="1417" w:type="dxa"/>
                  <w:vMerge w:val="restart"/>
                  <w:shd w:val="clear" w:color="auto" w:fill="005F85"/>
                </w:tcPr>
                <w:p w14:paraId="79B8A28B"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Proposed UL - School-age groupings</w:t>
                  </w:r>
                </w:p>
                <w:p w14:paraId="3B40B033"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(µg/day)</w:t>
                  </w:r>
                </w:p>
              </w:tc>
              <w:tc>
                <w:tcPr>
                  <w:tcW w:w="2467" w:type="dxa"/>
                  <w:gridSpan w:val="2"/>
                  <w:shd w:val="clear" w:color="auto" w:fill="005F85"/>
                </w:tcPr>
                <w:p w14:paraId="3BB45830"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Foundation diets - overall</w:t>
                  </w:r>
                </w:p>
              </w:tc>
              <w:tc>
                <w:tcPr>
                  <w:tcW w:w="3203" w:type="dxa"/>
                  <w:gridSpan w:val="2"/>
                  <w:shd w:val="clear" w:color="auto" w:fill="005F85"/>
                </w:tcPr>
                <w:p w14:paraId="10A8041B"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2011-13 AHS Intake data</w:t>
                  </w:r>
                </w:p>
              </w:tc>
            </w:tr>
            <w:tr w:rsidR="00247C82" w:rsidRPr="00505285" w14:paraId="45F2DC67" w14:textId="77777777">
              <w:trPr>
                <w:trHeight w:val="768"/>
              </w:trPr>
              <w:tc>
                <w:tcPr>
                  <w:tcW w:w="1206" w:type="dxa"/>
                  <w:vMerge/>
                  <w:shd w:val="clear" w:color="auto" w:fill="005F85"/>
                </w:tcPr>
                <w:p w14:paraId="062A176C" w14:textId="77777777" w:rsidR="00247C82" w:rsidRPr="00505285" w:rsidRDefault="00247C82">
                  <w:pPr>
                    <w:spacing w:after="0"/>
                    <w:ind w:right="-1346"/>
                    <w:rPr>
                      <w:rFonts w:eastAsia="Times New Roman" w:cs="Arial"/>
                      <w:b/>
                      <w:bCs/>
                      <w:color w:val="FFFFFF"/>
                      <w:szCs w:val="20"/>
                    </w:rPr>
                  </w:pPr>
                </w:p>
              </w:tc>
              <w:tc>
                <w:tcPr>
                  <w:tcW w:w="1412" w:type="dxa"/>
                  <w:vMerge/>
                  <w:shd w:val="clear" w:color="auto" w:fill="005F85"/>
                </w:tcPr>
                <w:p w14:paraId="17D13638" w14:textId="77777777" w:rsidR="00247C82" w:rsidRPr="00505285" w:rsidRDefault="00247C82">
                  <w:pPr>
                    <w:spacing w:after="0"/>
                    <w:jc w:val="center"/>
                    <w:rPr>
                      <w:rFonts w:eastAsia="Times New Roman" w:cs="Arial"/>
                      <w:b/>
                      <w:bCs/>
                      <w:color w:val="FFFFFF"/>
                      <w:szCs w:val="20"/>
                    </w:rPr>
                  </w:pPr>
                </w:p>
              </w:tc>
              <w:tc>
                <w:tcPr>
                  <w:tcW w:w="1418" w:type="dxa"/>
                  <w:vMerge/>
                  <w:shd w:val="clear" w:color="auto" w:fill="005F85"/>
                </w:tcPr>
                <w:p w14:paraId="5019CDB9" w14:textId="77777777" w:rsidR="00247C82" w:rsidRPr="00505285" w:rsidRDefault="00247C82">
                  <w:pPr>
                    <w:spacing w:after="0"/>
                    <w:jc w:val="center"/>
                    <w:rPr>
                      <w:rFonts w:eastAsia="Times New Roman" w:cs="Arial"/>
                      <w:b/>
                      <w:bCs/>
                      <w:color w:val="FFFFFF"/>
                      <w:szCs w:val="20"/>
                    </w:rPr>
                  </w:pPr>
                </w:p>
              </w:tc>
              <w:tc>
                <w:tcPr>
                  <w:tcW w:w="1276" w:type="dxa"/>
                  <w:vMerge/>
                  <w:shd w:val="clear" w:color="auto" w:fill="005F85"/>
                </w:tcPr>
                <w:p w14:paraId="08F601B6" w14:textId="77777777" w:rsidR="00247C82" w:rsidRPr="00505285" w:rsidRDefault="00247C82">
                  <w:pPr>
                    <w:spacing w:after="0"/>
                    <w:jc w:val="center"/>
                    <w:rPr>
                      <w:rFonts w:eastAsia="Times New Roman" w:cs="Arial"/>
                      <w:b/>
                      <w:bCs/>
                      <w:color w:val="FFFFFF"/>
                      <w:szCs w:val="20"/>
                    </w:rPr>
                  </w:pPr>
                </w:p>
              </w:tc>
              <w:tc>
                <w:tcPr>
                  <w:tcW w:w="1417" w:type="dxa"/>
                  <w:vMerge/>
                  <w:shd w:val="clear" w:color="auto" w:fill="005F85"/>
                </w:tcPr>
                <w:p w14:paraId="60AC4BE0" w14:textId="77777777" w:rsidR="00247C82" w:rsidRPr="00505285" w:rsidRDefault="00247C82">
                  <w:pPr>
                    <w:spacing w:after="0"/>
                    <w:rPr>
                      <w:rFonts w:eastAsia="Times New Roman" w:cs="Arial"/>
                      <w:b/>
                      <w:bCs/>
                      <w:color w:val="FFFFFF"/>
                      <w:szCs w:val="20"/>
                    </w:rPr>
                  </w:pPr>
                </w:p>
              </w:tc>
              <w:tc>
                <w:tcPr>
                  <w:tcW w:w="1276" w:type="dxa"/>
                  <w:shd w:val="clear" w:color="auto" w:fill="005F85"/>
                  <w:vAlign w:val="bottom"/>
                </w:tcPr>
                <w:p w14:paraId="4CE7C962"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Male intake</w:t>
                  </w:r>
                </w:p>
                <w:p w14:paraId="73259BDA"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(µg/day)</w:t>
                  </w:r>
                </w:p>
              </w:tc>
              <w:tc>
                <w:tcPr>
                  <w:tcW w:w="1191" w:type="dxa"/>
                  <w:shd w:val="clear" w:color="auto" w:fill="005F85"/>
                  <w:vAlign w:val="bottom"/>
                </w:tcPr>
                <w:p w14:paraId="04D8DF94" w14:textId="77777777" w:rsidR="00247C82" w:rsidRPr="00505285" w:rsidRDefault="00247C82">
                  <w:pPr>
                    <w:spacing w:after="0"/>
                    <w:jc w:val="center"/>
                    <w:rPr>
                      <w:rFonts w:eastAsia="Times New Roman" w:cs="Arial"/>
                      <w:b/>
                      <w:bCs/>
                      <w:color w:val="FFFFFF"/>
                      <w:szCs w:val="20"/>
                    </w:rPr>
                  </w:pPr>
                  <w:r w:rsidRPr="00505285">
                    <w:rPr>
                      <w:rFonts w:eastAsia="Times New Roman" w:cs="Arial"/>
                      <w:b/>
                      <w:bCs/>
                      <w:color w:val="FFFFFF"/>
                      <w:szCs w:val="20"/>
                    </w:rPr>
                    <w:t>Female intake</w:t>
                  </w:r>
                </w:p>
                <w:p w14:paraId="0F05DB1A" w14:textId="77777777" w:rsidR="00247C82" w:rsidRPr="00505285" w:rsidRDefault="00247C82">
                  <w:pPr>
                    <w:spacing w:after="0"/>
                    <w:rPr>
                      <w:rFonts w:eastAsia="Times New Roman" w:cs="Arial"/>
                      <w:b/>
                      <w:bCs/>
                      <w:color w:val="FFFFFF"/>
                      <w:szCs w:val="20"/>
                    </w:rPr>
                  </w:pPr>
                  <w:r w:rsidRPr="00505285">
                    <w:rPr>
                      <w:rFonts w:eastAsia="Times New Roman" w:cs="Arial"/>
                      <w:b/>
                      <w:bCs/>
                      <w:color w:val="FFFFFF"/>
                      <w:szCs w:val="20"/>
                    </w:rPr>
                    <w:t>(µg/day)</w:t>
                  </w:r>
                </w:p>
              </w:tc>
              <w:tc>
                <w:tcPr>
                  <w:tcW w:w="1644" w:type="dxa"/>
                  <w:shd w:val="clear" w:color="auto" w:fill="005F85"/>
                </w:tcPr>
                <w:p w14:paraId="6EB33FF8"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Males</w:t>
                  </w:r>
                </w:p>
                <w:p w14:paraId="6DAA10E4"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 xml:space="preserve">Mean </w:t>
                  </w:r>
                </w:p>
                <w:p w14:paraId="3056E826"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(95% CI)</w:t>
                  </w:r>
                </w:p>
                <w:p w14:paraId="1114D43F"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intake</w:t>
                  </w:r>
                </w:p>
                <w:p w14:paraId="671F3194"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w:t>
                  </w:r>
                  <w:r w:rsidRPr="00505285">
                    <w:rPr>
                      <w:rFonts w:eastAsia="Times New Roman" w:cs="Calibri"/>
                      <w:b/>
                      <w:bCs/>
                      <w:color w:val="FFFFFF"/>
                      <w:szCs w:val="20"/>
                      <w:lang w:eastAsia="en-AU"/>
                    </w:rPr>
                    <w:t xml:space="preserve">µg/day) </w:t>
                  </w:r>
                </w:p>
              </w:tc>
              <w:tc>
                <w:tcPr>
                  <w:tcW w:w="1559" w:type="dxa"/>
                  <w:shd w:val="clear" w:color="auto" w:fill="005F85"/>
                </w:tcPr>
                <w:p w14:paraId="32BDD98D"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Females</w:t>
                  </w:r>
                </w:p>
                <w:p w14:paraId="384FC772"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 xml:space="preserve">Mean </w:t>
                  </w:r>
                </w:p>
                <w:p w14:paraId="67A3365B"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(95% CI)</w:t>
                  </w:r>
                </w:p>
                <w:p w14:paraId="7B692802"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intake</w:t>
                  </w:r>
                </w:p>
                <w:p w14:paraId="0C30C499" w14:textId="77777777" w:rsidR="00247C82" w:rsidRPr="00505285" w:rsidRDefault="00247C82">
                  <w:pPr>
                    <w:keepNext/>
                    <w:spacing w:after="0" w:line="240" w:lineRule="auto"/>
                    <w:jc w:val="center"/>
                    <w:rPr>
                      <w:rFonts w:eastAsia="Times New Roman" w:cs="Arial"/>
                      <w:b/>
                      <w:bCs/>
                      <w:color w:val="FFFFFF"/>
                      <w:szCs w:val="20"/>
                    </w:rPr>
                  </w:pPr>
                  <w:r w:rsidRPr="00505285">
                    <w:rPr>
                      <w:rFonts w:eastAsia="Times New Roman" w:cs="Arial"/>
                      <w:b/>
                      <w:bCs/>
                      <w:color w:val="FFFFFF"/>
                      <w:szCs w:val="20"/>
                    </w:rPr>
                    <w:t>(</w:t>
                  </w:r>
                  <w:r w:rsidRPr="00505285">
                    <w:rPr>
                      <w:rFonts w:eastAsia="Times New Roman" w:cs="Calibri"/>
                      <w:b/>
                      <w:bCs/>
                      <w:color w:val="FFFFFF"/>
                      <w:szCs w:val="20"/>
                      <w:lang w:eastAsia="en-AU"/>
                    </w:rPr>
                    <w:t>µg/day)</w:t>
                  </w:r>
                </w:p>
              </w:tc>
            </w:tr>
            <w:tr w:rsidR="00247C82" w:rsidRPr="00505285" w14:paraId="1EF48017" w14:textId="77777777">
              <w:tc>
                <w:tcPr>
                  <w:tcW w:w="1206" w:type="dxa"/>
                </w:tcPr>
                <w:p w14:paraId="10FE2573" w14:textId="77777777" w:rsidR="00247C82" w:rsidRPr="00505285" w:rsidRDefault="00247C82">
                  <w:pPr>
                    <w:spacing w:after="0"/>
                    <w:ind w:right="-1346"/>
                    <w:rPr>
                      <w:rFonts w:eastAsia="Times New Roman" w:cs="Arial"/>
                      <w:szCs w:val="20"/>
                    </w:rPr>
                  </w:pPr>
                  <w:r w:rsidRPr="00505285">
                    <w:rPr>
                      <w:rFonts w:eastAsia="Times New Roman" w:cs="Arial"/>
                      <w:szCs w:val="20"/>
                    </w:rPr>
                    <w:t>12 to &lt;24mo</w:t>
                  </w:r>
                </w:p>
              </w:tc>
              <w:tc>
                <w:tcPr>
                  <w:tcW w:w="1412" w:type="dxa"/>
                </w:tcPr>
                <w:p w14:paraId="00EF71F1" w14:textId="77777777" w:rsidR="00247C82" w:rsidRPr="00505285" w:rsidRDefault="00247C82">
                  <w:pPr>
                    <w:spacing w:after="0"/>
                    <w:ind w:right="38"/>
                    <w:jc w:val="center"/>
                    <w:rPr>
                      <w:rFonts w:eastAsia="Arial" w:cs="Arial"/>
                      <w:szCs w:val="20"/>
                    </w:rPr>
                  </w:pPr>
                  <w:r w:rsidRPr="00505285">
                    <w:rPr>
                      <w:rFonts w:eastAsia="Arial" w:cs="Arial"/>
                      <w:szCs w:val="20"/>
                    </w:rPr>
                    <w:t>90</w:t>
                  </w:r>
                </w:p>
              </w:tc>
              <w:tc>
                <w:tcPr>
                  <w:tcW w:w="1418" w:type="dxa"/>
                </w:tcPr>
                <w:p w14:paraId="7CF2D0C3" w14:textId="77777777" w:rsidR="00247C82" w:rsidRPr="00505285" w:rsidRDefault="00247C82">
                  <w:pPr>
                    <w:spacing w:after="0"/>
                    <w:ind w:right="38"/>
                    <w:jc w:val="center"/>
                    <w:rPr>
                      <w:rFonts w:eastAsia="Arial" w:cs="Arial"/>
                      <w:szCs w:val="20"/>
                    </w:rPr>
                  </w:pPr>
                  <w:r w:rsidRPr="00505285">
                    <w:rPr>
                      <w:rFonts w:eastAsia="Arial" w:cs="Arial"/>
                      <w:szCs w:val="20"/>
                    </w:rPr>
                    <w:t>90</w:t>
                  </w:r>
                </w:p>
              </w:tc>
              <w:tc>
                <w:tcPr>
                  <w:tcW w:w="1276" w:type="dxa"/>
                </w:tcPr>
                <w:p w14:paraId="0A3FBB1C" w14:textId="77777777" w:rsidR="00247C82" w:rsidRPr="00505285" w:rsidRDefault="00247C82">
                  <w:pPr>
                    <w:spacing w:after="0"/>
                    <w:ind w:right="38"/>
                    <w:jc w:val="center"/>
                    <w:rPr>
                      <w:rFonts w:eastAsia="Times New Roman" w:cs="Arial"/>
                      <w:szCs w:val="20"/>
                    </w:rPr>
                  </w:pPr>
                  <w:r w:rsidRPr="00505285">
                    <w:rPr>
                      <w:rFonts w:eastAsia="Arial" w:cs="Arial"/>
                      <w:szCs w:val="20"/>
                    </w:rPr>
                    <w:t>200</w:t>
                  </w:r>
                </w:p>
              </w:tc>
              <w:tc>
                <w:tcPr>
                  <w:tcW w:w="1417" w:type="dxa"/>
                </w:tcPr>
                <w:p w14:paraId="49F9E056"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200</w:t>
                  </w:r>
                </w:p>
              </w:tc>
              <w:tc>
                <w:tcPr>
                  <w:tcW w:w="1276" w:type="dxa"/>
                </w:tcPr>
                <w:p w14:paraId="122021CE"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95</w:t>
                  </w:r>
                </w:p>
              </w:tc>
              <w:tc>
                <w:tcPr>
                  <w:tcW w:w="1191" w:type="dxa"/>
                </w:tcPr>
                <w:p w14:paraId="75BD9826"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96</w:t>
                  </w:r>
                </w:p>
              </w:tc>
              <w:tc>
                <w:tcPr>
                  <w:tcW w:w="1644" w:type="dxa"/>
                </w:tcPr>
                <w:p w14:paraId="0582F27A" w14:textId="77777777" w:rsidR="00247C82" w:rsidRPr="00505285" w:rsidRDefault="00247C82">
                  <w:pPr>
                    <w:spacing w:after="0"/>
                    <w:ind w:right="-115"/>
                    <w:jc w:val="center"/>
                    <w:rPr>
                      <w:rFonts w:eastAsia="Times New Roman" w:cs="Arial"/>
                      <w:szCs w:val="20"/>
                    </w:rPr>
                  </w:pPr>
                </w:p>
              </w:tc>
              <w:tc>
                <w:tcPr>
                  <w:tcW w:w="1559" w:type="dxa"/>
                </w:tcPr>
                <w:p w14:paraId="0B9CF1CA" w14:textId="77777777" w:rsidR="00247C82" w:rsidRPr="00505285" w:rsidRDefault="00247C82">
                  <w:pPr>
                    <w:spacing w:after="0"/>
                    <w:ind w:right="-115"/>
                    <w:jc w:val="center"/>
                    <w:rPr>
                      <w:rFonts w:eastAsia="Times New Roman" w:cs="Arial"/>
                      <w:szCs w:val="20"/>
                    </w:rPr>
                  </w:pPr>
                </w:p>
              </w:tc>
            </w:tr>
            <w:tr w:rsidR="00247C82" w:rsidRPr="00505285" w14:paraId="1E320057" w14:textId="77777777">
              <w:tc>
                <w:tcPr>
                  <w:tcW w:w="1206" w:type="dxa"/>
                </w:tcPr>
                <w:p w14:paraId="24E2C48E" w14:textId="77777777" w:rsidR="00247C82" w:rsidRPr="00505285" w:rsidRDefault="00247C82">
                  <w:pPr>
                    <w:spacing w:after="0"/>
                    <w:ind w:right="-1346"/>
                    <w:rPr>
                      <w:rFonts w:eastAsia="Times New Roman" w:cs="Arial"/>
                      <w:szCs w:val="20"/>
                    </w:rPr>
                  </w:pPr>
                  <w:r w:rsidRPr="00505285">
                    <w:rPr>
                      <w:rFonts w:eastAsia="Times New Roman" w:cs="Arial"/>
                      <w:szCs w:val="20"/>
                    </w:rPr>
                    <w:t>2 to &lt;4yr</w:t>
                  </w:r>
                </w:p>
              </w:tc>
              <w:tc>
                <w:tcPr>
                  <w:tcW w:w="1412" w:type="dxa"/>
                </w:tcPr>
                <w:p w14:paraId="2A9B3907" w14:textId="77777777" w:rsidR="00247C82" w:rsidRPr="00505285" w:rsidRDefault="00247C82">
                  <w:pPr>
                    <w:spacing w:after="0"/>
                    <w:ind w:right="38"/>
                    <w:jc w:val="center"/>
                    <w:rPr>
                      <w:rFonts w:eastAsia="Arial" w:cs="Arial"/>
                      <w:szCs w:val="20"/>
                    </w:rPr>
                  </w:pPr>
                  <w:r w:rsidRPr="00505285">
                    <w:rPr>
                      <w:rFonts w:eastAsia="Arial" w:cs="Arial"/>
                      <w:szCs w:val="20"/>
                    </w:rPr>
                    <w:t>90</w:t>
                  </w:r>
                </w:p>
              </w:tc>
              <w:tc>
                <w:tcPr>
                  <w:tcW w:w="1418" w:type="dxa"/>
                </w:tcPr>
                <w:p w14:paraId="1FE79949" w14:textId="77777777" w:rsidR="00247C82" w:rsidRPr="00505285" w:rsidRDefault="00247C82">
                  <w:pPr>
                    <w:spacing w:after="0"/>
                    <w:ind w:right="38"/>
                    <w:jc w:val="center"/>
                    <w:rPr>
                      <w:rFonts w:eastAsia="Arial" w:cs="Arial"/>
                      <w:szCs w:val="20"/>
                    </w:rPr>
                  </w:pPr>
                  <w:r w:rsidRPr="00505285">
                    <w:rPr>
                      <w:rFonts w:eastAsia="Arial" w:cs="Arial"/>
                      <w:szCs w:val="20"/>
                    </w:rPr>
                    <w:t>90</w:t>
                  </w:r>
                </w:p>
              </w:tc>
              <w:tc>
                <w:tcPr>
                  <w:tcW w:w="1276" w:type="dxa"/>
                </w:tcPr>
                <w:p w14:paraId="12F053E6" w14:textId="77777777" w:rsidR="00247C82" w:rsidRPr="00505285" w:rsidRDefault="00247C82">
                  <w:pPr>
                    <w:spacing w:after="0"/>
                    <w:ind w:right="38"/>
                    <w:jc w:val="center"/>
                    <w:rPr>
                      <w:rFonts w:eastAsia="Times New Roman" w:cs="Arial"/>
                      <w:szCs w:val="20"/>
                    </w:rPr>
                  </w:pPr>
                  <w:r w:rsidRPr="00505285">
                    <w:rPr>
                      <w:rFonts w:eastAsia="Arial" w:cs="Arial"/>
                      <w:szCs w:val="20"/>
                    </w:rPr>
                    <w:t>250</w:t>
                  </w:r>
                </w:p>
              </w:tc>
              <w:tc>
                <w:tcPr>
                  <w:tcW w:w="1417" w:type="dxa"/>
                </w:tcPr>
                <w:p w14:paraId="28CF51E2"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200</w:t>
                  </w:r>
                </w:p>
              </w:tc>
              <w:tc>
                <w:tcPr>
                  <w:tcW w:w="1276" w:type="dxa"/>
                </w:tcPr>
                <w:p w14:paraId="34850ED6"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117</w:t>
                  </w:r>
                </w:p>
              </w:tc>
              <w:tc>
                <w:tcPr>
                  <w:tcW w:w="1191" w:type="dxa"/>
                </w:tcPr>
                <w:p w14:paraId="6F97095F"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119</w:t>
                  </w:r>
                </w:p>
              </w:tc>
              <w:tc>
                <w:tcPr>
                  <w:tcW w:w="1644" w:type="dxa"/>
                </w:tcPr>
                <w:p w14:paraId="104F755B" w14:textId="77777777" w:rsidR="00247C82" w:rsidRPr="00505285" w:rsidRDefault="00247C82">
                  <w:pPr>
                    <w:spacing w:after="0"/>
                    <w:ind w:right="-115"/>
                    <w:jc w:val="center"/>
                    <w:rPr>
                      <w:rFonts w:eastAsia="Times New Roman" w:cs="Arial"/>
                      <w:szCs w:val="20"/>
                    </w:rPr>
                  </w:pPr>
                  <w:r w:rsidRPr="00505285">
                    <w:rPr>
                      <w:rFonts w:eastAsia="Times New Roman" w:cs="Calibri"/>
                      <w:szCs w:val="20"/>
                      <w:lang w:eastAsia="en-AU"/>
                    </w:rPr>
                    <w:t>157 (100-222)</w:t>
                  </w:r>
                </w:p>
              </w:tc>
              <w:tc>
                <w:tcPr>
                  <w:tcW w:w="1559" w:type="dxa"/>
                </w:tcPr>
                <w:p w14:paraId="5355D0A4" w14:textId="77777777" w:rsidR="00247C82" w:rsidRPr="00505285" w:rsidRDefault="00247C82">
                  <w:pPr>
                    <w:spacing w:after="0"/>
                    <w:ind w:right="-115"/>
                    <w:jc w:val="center"/>
                    <w:rPr>
                      <w:rFonts w:eastAsia="Times New Roman" w:cs="Arial"/>
                      <w:szCs w:val="20"/>
                    </w:rPr>
                  </w:pPr>
                  <w:r w:rsidRPr="00505285">
                    <w:rPr>
                      <w:rFonts w:eastAsia="Times New Roman" w:cs="Calibri"/>
                      <w:szCs w:val="20"/>
                      <w:lang w:eastAsia="en-AU"/>
                    </w:rPr>
                    <w:t>141 (88-202)</w:t>
                  </w:r>
                </w:p>
              </w:tc>
            </w:tr>
            <w:tr w:rsidR="00247C82" w:rsidRPr="00505285" w14:paraId="200B5BF7" w14:textId="77777777">
              <w:tc>
                <w:tcPr>
                  <w:tcW w:w="1206" w:type="dxa"/>
                </w:tcPr>
                <w:p w14:paraId="7F43DE7F" w14:textId="77777777" w:rsidR="00247C82" w:rsidRPr="00505285" w:rsidRDefault="00247C82">
                  <w:pPr>
                    <w:spacing w:after="0"/>
                    <w:ind w:right="-1346"/>
                    <w:rPr>
                      <w:rFonts w:eastAsia="Times New Roman" w:cs="Arial"/>
                      <w:szCs w:val="20"/>
                    </w:rPr>
                  </w:pPr>
                  <w:r w:rsidRPr="00505285">
                    <w:rPr>
                      <w:rFonts w:eastAsia="Times New Roman" w:cs="Arial"/>
                      <w:szCs w:val="20"/>
                    </w:rPr>
                    <w:t>4 to &lt;9yr</w:t>
                  </w:r>
                </w:p>
              </w:tc>
              <w:tc>
                <w:tcPr>
                  <w:tcW w:w="1412" w:type="dxa"/>
                </w:tcPr>
                <w:p w14:paraId="69BBA69F" w14:textId="77777777" w:rsidR="00247C82" w:rsidRPr="00505285" w:rsidRDefault="00247C82">
                  <w:pPr>
                    <w:spacing w:after="0"/>
                    <w:ind w:right="38"/>
                    <w:jc w:val="center"/>
                    <w:rPr>
                      <w:rFonts w:eastAsia="Arial" w:cs="Arial"/>
                      <w:szCs w:val="20"/>
                    </w:rPr>
                  </w:pPr>
                  <w:r w:rsidRPr="00505285">
                    <w:rPr>
                      <w:rFonts w:eastAsia="Arial" w:cs="Arial"/>
                      <w:szCs w:val="20"/>
                    </w:rPr>
                    <w:t>110</w:t>
                  </w:r>
                  <w:r w:rsidRPr="00505285">
                    <w:rPr>
                      <w:rFonts w:eastAsia="Arial" w:cs="Arial"/>
                      <w:szCs w:val="20"/>
                      <w:vertAlign w:val="superscript"/>
                    </w:rPr>
                    <w:t>#</w:t>
                  </w:r>
                </w:p>
              </w:tc>
              <w:tc>
                <w:tcPr>
                  <w:tcW w:w="1418" w:type="dxa"/>
                </w:tcPr>
                <w:p w14:paraId="5EF3FE99" w14:textId="77777777" w:rsidR="00247C82" w:rsidRPr="00505285" w:rsidRDefault="00247C82">
                  <w:pPr>
                    <w:spacing w:after="0"/>
                    <w:ind w:right="38"/>
                    <w:jc w:val="center"/>
                    <w:rPr>
                      <w:rFonts w:eastAsia="Arial" w:cs="Arial"/>
                      <w:szCs w:val="20"/>
                    </w:rPr>
                  </w:pPr>
                  <w:r w:rsidRPr="00505285">
                    <w:rPr>
                      <w:rFonts w:eastAsia="Arial" w:cs="Arial"/>
                      <w:szCs w:val="20"/>
                    </w:rPr>
                    <w:t>120</w:t>
                  </w:r>
                </w:p>
              </w:tc>
              <w:tc>
                <w:tcPr>
                  <w:tcW w:w="1276" w:type="dxa"/>
                </w:tcPr>
                <w:p w14:paraId="517B0F72" w14:textId="77777777" w:rsidR="00247C82" w:rsidRPr="00505285" w:rsidRDefault="00247C82">
                  <w:pPr>
                    <w:spacing w:after="0"/>
                    <w:ind w:right="38"/>
                    <w:jc w:val="center"/>
                    <w:rPr>
                      <w:rFonts w:eastAsia="Times New Roman" w:cs="Arial"/>
                      <w:szCs w:val="20"/>
                    </w:rPr>
                  </w:pPr>
                  <w:r w:rsidRPr="00505285">
                    <w:rPr>
                      <w:rFonts w:eastAsia="Arial" w:cs="Arial"/>
                      <w:szCs w:val="20"/>
                    </w:rPr>
                    <w:t>350</w:t>
                  </w:r>
                  <w:r w:rsidRPr="00505285">
                    <w:rPr>
                      <w:rFonts w:eastAsia="Arial" w:cs="Arial"/>
                      <w:szCs w:val="20"/>
                      <w:vertAlign w:val="superscript"/>
                    </w:rPr>
                    <w:t>#</w:t>
                  </w:r>
                </w:p>
              </w:tc>
              <w:tc>
                <w:tcPr>
                  <w:tcW w:w="1417" w:type="dxa"/>
                </w:tcPr>
                <w:p w14:paraId="790C5669"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300</w:t>
                  </w:r>
                </w:p>
              </w:tc>
              <w:tc>
                <w:tcPr>
                  <w:tcW w:w="1276" w:type="dxa"/>
                </w:tcPr>
                <w:p w14:paraId="695BFDB7"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143</w:t>
                  </w:r>
                </w:p>
              </w:tc>
              <w:tc>
                <w:tcPr>
                  <w:tcW w:w="1191" w:type="dxa"/>
                </w:tcPr>
                <w:p w14:paraId="09215430"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133</w:t>
                  </w:r>
                </w:p>
              </w:tc>
              <w:tc>
                <w:tcPr>
                  <w:tcW w:w="1644" w:type="dxa"/>
                </w:tcPr>
                <w:p w14:paraId="5EA76ED5" w14:textId="77777777" w:rsidR="00247C82" w:rsidRPr="00505285" w:rsidRDefault="00247C82">
                  <w:pPr>
                    <w:spacing w:after="0"/>
                    <w:ind w:right="-115"/>
                    <w:jc w:val="center"/>
                    <w:rPr>
                      <w:rFonts w:eastAsia="Times New Roman" w:cs="Arial"/>
                      <w:szCs w:val="20"/>
                    </w:rPr>
                  </w:pPr>
                  <w:r w:rsidRPr="00505285">
                    <w:rPr>
                      <w:rFonts w:eastAsia="Times New Roman" w:cs="Calibri"/>
                      <w:szCs w:val="20"/>
                      <w:lang w:eastAsia="en-AU"/>
                    </w:rPr>
                    <w:t>164 (106-231)</w:t>
                  </w:r>
                </w:p>
              </w:tc>
              <w:tc>
                <w:tcPr>
                  <w:tcW w:w="1559" w:type="dxa"/>
                </w:tcPr>
                <w:p w14:paraId="5853C076" w14:textId="77777777" w:rsidR="00247C82" w:rsidRPr="00505285" w:rsidRDefault="00247C82">
                  <w:pPr>
                    <w:spacing w:after="0"/>
                    <w:ind w:right="-115"/>
                    <w:jc w:val="center"/>
                    <w:rPr>
                      <w:rFonts w:eastAsia="Times New Roman" w:cs="Arial"/>
                      <w:szCs w:val="20"/>
                    </w:rPr>
                  </w:pPr>
                  <w:r w:rsidRPr="00505285">
                    <w:rPr>
                      <w:rFonts w:eastAsia="Times New Roman" w:cs="Calibri"/>
                      <w:szCs w:val="20"/>
                      <w:lang w:eastAsia="en-AU"/>
                    </w:rPr>
                    <w:t>148 (93-210)</w:t>
                  </w:r>
                </w:p>
              </w:tc>
            </w:tr>
            <w:tr w:rsidR="00247C82" w:rsidRPr="00505285" w14:paraId="47382650" w14:textId="77777777">
              <w:tc>
                <w:tcPr>
                  <w:tcW w:w="1206" w:type="dxa"/>
                </w:tcPr>
                <w:p w14:paraId="6ED3D830" w14:textId="77777777" w:rsidR="00247C82" w:rsidRPr="00505285" w:rsidRDefault="00247C82">
                  <w:pPr>
                    <w:spacing w:after="0"/>
                    <w:ind w:right="-1346"/>
                    <w:rPr>
                      <w:rFonts w:eastAsia="Times New Roman" w:cs="Arial"/>
                      <w:szCs w:val="20"/>
                    </w:rPr>
                  </w:pPr>
                  <w:r w:rsidRPr="00505285">
                    <w:rPr>
                      <w:rFonts w:eastAsia="Times New Roman" w:cs="Arial"/>
                      <w:szCs w:val="20"/>
                    </w:rPr>
                    <w:t>9 to &lt;11yr</w:t>
                  </w:r>
                </w:p>
              </w:tc>
              <w:tc>
                <w:tcPr>
                  <w:tcW w:w="1412" w:type="dxa"/>
                </w:tcPr>
                <w:p w14:paraId="501991E3" w14:textId="77777777" w:rsidR="00247C82" w:rsidRPr="00505285" w:rsidRDefault="00247C82">
                  <w:pPr>
                    <w:spacing w:after="0"/>
                    <w:ind w:right="38"/>
                    <w:jc w:val="center"/>
                    <w:rPr>
                      <w:rFonts w:eastAsia="Arial" w:cs="Arial"/>
                      <w:szCs w:val="20"/>
                    </w:rPr>
                  </w:pPr>
                  <w:r w:rsidRPr="00505285">
                    <w:rPr>
                      <w:rFonts w:eastAsia="Arial" w:cs="Arial"/>
                      <w:szCs w:val="20"/>
                    </w:rPr>
                    <w:t>110</w:t>
                  </w:r>
                </w:p>
              </w:tc>
              <w:tc>
                <w:tcPr>
                  <w:tcW w:w="1418" w:type="dxa"/>
                </w:tcPr>
                <w:p w14:paraId="7FFE9364" w14:textId="77777777" w:rsidR="00247C82" w:rsidRPr="00505285" w:rsidRDefault="00247C82">
                  <w:pPr>
                    <w:spacing w:after="0"/>
                    <w:ind w:right="38"/>
                    <w:jc w:val="center"/>
                    <w:rPr>
                      <w:rFonts w:eastAsia="Arial" w:cs="Arial"/>
                      <w:szCs w:val="20"/>
                    </w:rPr>
                  </w:pPr>
                  <w:r w:rsidRPr="00505285">
                    <w:rPr>
                      <w:rFonts w:eastAsia="Arial" w:cs="Arial"/>
                      <w:szCs w:val="20"/>
                    </w:rPr>
                    <w:t>120</w:t>
                  </w:r>
                </w:p>
              </w:tc>
              <w:tc>
                <w:tcPr>
                  <w:tcW w:w="1276" w:type="dxa"/>
                </w:tcPr>
                <w:p w14:paraId="6469730A" w14:textId="77777777" w:rsidR="00247C82" w:rsidRPr="00505285" w:rsidRDefault="00247C82">
                  <w:pPr>
                    <w:spacing w:after="0"/>
                    <w:ind w:right="38"/>
                    <w:jc w:val="center"/>
                    <w:rPr>
                      <w:rFonts w:eastAsia="Times New Roman" w:cs="Arial"/>
                      <w:szCs w:val="20"/>
                    </w:rPr>
                  </w:pPr>
                  <w:r w:rsidRPr="00505285">
                    <w:rPr>
                      <w:rFonts w:eastAsia="Arial" w:cs="Arial"/>
                      <w:szCs w:val="20"/>
                    </w:rPr>
                    <w:t>350</w:t>
                  </w:r>
                </w:p>
              </w:tc>
              <w:tc>
                <w:tcPr>
                  <w:tcW w:w="1417" w:type="dxa"/>
                </w:tcPr>
                <w:p w14:paraId="3C6F2F75"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450</w:t>
                  </w:r>
                </w:p>
              </w:tc>
              <w:tc>
                <w:tcPr>
                  <w:tcW w:w="1276" w:type="dxa"/>
                </w:tcPr>
                <w:p w14:paraId="107C79C4"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173</w:t>
                  </w:r>
                </w:p>
              </w:tc>
              <w:tc>
                <w:tcPr>
                  <w:tcW w:w="1191" w:type="dxa"/>
                </w:tcPr>
                <w:p w14:paraId="12581B03"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189</w:t>
                  </w:r>
                </w:p>
              </w:tc>
              <w:tc>
                <w:tcPr>
                  <w:tcW w:w="1644" w:type="dxa"/>
                  <w:vMerge w:val="restart"/>
                  <w:vAlign w:val="center"/>
                </w:tcPr>
                <w:p w14:paraId="59110E84" w14:textId="77777777" w:rsidR="00247C82" w:rsidRPr="00505285" w:rsidRDefault="00247C82">
                  <w:pPr>
                    <w:spacing w:after="0"/>
                    <w:ind w:right="-113"/>
                    <w:jc w:val="center"/>
                    <w:rPr>
                      <w:rFonts w:eastAsia="Times New Roman" w:cs="Arial"/>
                      <w:szCs w:val="20"/>
                    </w:rPr>
                  </w:pPr>
                  <w:r w:rsidRPr="00505285">
                    <w:rPr>
                      <w:rFonts w:eastAsia="Times New Roman" w:cs="Calibri"/>
                      <w:szCs w:val="20"/>
                      <w:lang w:eastAsia="en-AU"/>
                    </w:rPr>
                    <w:t>190 (111-285)</w:t>
                  </w:r>
                </w:p>
              </w:tc>
              <w:tc>
                <w:tcPr>
                  <w:tcW w:w="1559" w:type="dxa"/>
                  <w:vMerge w:val="restart"/>
                  <w:vAlign w:val="center"/>
                </w:tcPr>
                <w:p w14:paraId="7E66C247" w14:textId="77777777" w:rsidR="00247C82" w:rsidRPr="00505285" w:rsidRDefault="00247C82">
                  <w:pPr>
                    <w:spacing w:after="0"/>
                    <w:ind w:right="-113"/>
                    <w:jc w:val="center"/>
                    <w:rPr>
                      <w:rFonts w:eastAsia="Times New Roman" w:cs="Arial"/>
                      <w:szCs w:val="20"/>
                    </w:rPr>
                  </w:pPr>
                  <w:r w:rsidRPr="00505285">
                    <w:rPr>
                      <w:rFonts w:eastAsia="Times New Roman" w:cs="Calibri"/>
                      <w:szCs w:val="20"/>
                      <w:lang w:eastAsia="en-AU"/>
                    </w:rPr>
                    <w:t>169 (102-247)</w:t>
                  </w:r>
                </w:p>
              </w:tc>
            </w:tr>
            <w:tr w:rsidR="00247C82" w:rsidRPr="00505285" w14:paraId="24CA3FF4" w14:textId="77777777">
              <w:tc>
                <w:tcPr>
                  <w:tcW w:w="1206" w:type="dxa"/>
                </w:tcPr>
                <w:p w14:paraId="5022A31A" w14:textId="77777777" w:rsidR="00247C82" w:rsidRPr="00505285" w:rsidRDefault="00247C82">
                  <w:pPr>
                    <w:spacing w:after="0"/>
                    <w:ind w:right="-1346"/>
                    <w:rPr>
                      <w:rFonts w:eastAsia="Times New Roman" w:cs="Arial"/>
                      <w:szCs w:val="20"/>
                    </w:rPr>
                  </w:pPr>
                  <w:r w:rsidRPr="00505285">
                    <w:rPr>
                      <w:rFonts w:eastAsia="Times New Roman" w:cs="Arial"/>
                      <w:szCs w:val="20"/>
                    </w:rPr>
                    <w:t>12 to &lt;13yr</w:t>
                  </w:r>
                </w:p>
              </w:tc>
              <w:tc>
                <w:tcPr>
                  <w:tcW w:w="1412" w:type="dxa"/>
                </w:tcPr>
                <w:p w14:paraId="5BD806B1" w14:textId="77777777" w:rsidR="00247C82" w:rsidRPr="00505285" w:rsidRDefault="00247C82">
                  <w:pPr>
                    <w:spacing w:after="0"/>
                    <w:ind w:right="38"/>
                    <w:jc w:val="center"/>
                    <w:rPr>
                      <w:rFonts w:eastAsia="Times New Roman" w:cs="Arial"/>
                      <w:szCs w:val="20"/>
                    </w:rPr>
                  </w:pPr>
                  <w:r w:rsidRPr="00505285">
                    <w:rPr>
                      <w:rFonts w:eastAsia="Times New Roman" w:cs="Arial"/>
                      <w:szCs w:val="20"/>
                    </w:rPr>
                    <w:t>140</w:t>
                  </w:r>
                </w:p>
              </w:tc>
              <w:tc>
                <w:tcPr>
                  <w:tcW w:w="1418" w:type="dxa"/>
                </w:tcPr>
                <w:p w14:paraId="0985A3DF" w14:textId="77777777" w:rsidR="00247C82" w:rsidRPr="00505285" w:rsidRDefault="00247C82">
                  <w:pPr>
                    <w:spacing w:after="0"/>
                    <w:ind w:right="38"/>
                    <w:jc w:val="center"/>
                    <w:rPr>
                      <w:rFonts w:eastAsia="Times New Roman" w:cs="Arial"/>
                      <w:szCs w:val="20"/>
                    </w:rPr>
                  </w:pPr>
                  <w:r w:rsidRPr="00505285">
                    <w:rPr>
                      <w:rFonts w:eastAsia="Times New Roman" w:cs="Arial"/>
                      <w:szCs w:val="20"/>
                    </w:rPr>
                    <w:t>150</w:t>
                  </w:r>
                </w:p>
              </w:tc>
              <w:tc>
                <w:tcPr>
                  <w:tcW w:w="1276" w:type="dxa"/>
                </w:tcPr>
                <w:p w14:paraId="66EC673E" w14:textId="77777777" w:rsidR="00247C82" w:rsidRPr="00505285" w:rsidRDefault="00247C82">
                  <w:pPr>
                    <w:spacing w:after="0"/>
                    <w:ind w:right="38"/>
                    <w:jc w:val="center"/>
                    <w:rPr>
                      <w:rFonts w:eastAsia="Times New Roman" w:cs="Arial"/>
                      <w:szCs w:val="20"/>
                    </w:rPr>
                  </w:pPr>
                  <w:r w:rsidRPr="00505285">
                    <w:rPr>
                      <w:rFonts w:eastAsia="Times New Roman" w:cs="Arial"/>
                      <w:szCs w:val="20"/>
                    </w:rPr>
                    <w:t>500</w:t>
                  </w:r>
                </w:p>
              </w:tc>
              <w:tc>
                <w:tcPr>
                  <w:tcW w:w="1417" w:type="dxa"/>
                </w:tcPr>
                <w:p w14:paraId="1641AF6F"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450</w:t>
                  </w:r>
                </w:p>
              </w:tc>
              <w:tc>
                <w:tcPr>
                  <w:tcW w:w="1276" w:type="dxa"/>
                </w:tcPr>
                <w:p w14:paraId="70F3FD1A"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235</w:t>
                  </w:r>
                </w:p>
              </w:tc>
              <w:tc>
                <w:tcPr>
                  <w:tcW w:w="1191" w:type="dxa"/>
                </w:tcPr>
                <w:p w14:paraId="5B41CF19"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221</w:t>
                  </w:r>
                </w:p>
              </w:tc>
              <w:tc>
                <w:tcPr>
                  <w:tcW w:w="1644" w:type="dxa"/>
                  <w:vMerge/>
                </w:tcPr>
                <w:p w14:paraId="06B2C748" w14:textId="77777777" w:rsidR="00247C82" w:rsidRPr="00505285" w:rsidRDefault="00247C82">
                  <w:pPr>
                    <w:spacing w:after="0"/>
                    <w:ind w:right="-115"/>
                    <w:jc w:val="center"/>
                    <w:rPr>
                      <w:rFonts w:eastAsia="Times New Roman" w:cs="Arial"/>
                      <w:szCs w:val="20"/>
                    </w:rPr>
                  </w:pPr>
                </w:p>
              </w:tc>
              <w:tc>
                <w:tcPr>
                  <w:tcW w:w="1559" w:type="dxa"/>
                  <w:vMerge/>
                </w:tcPr>
                <w:p w14:paraId="1393B66D" w14:textId="77777777" w:rsidR="00247C82" w:rsidRPr="00505285" w:rsidRDefault="00247C82">
                  <w:pPr>
                    <w:spacing w:after="0"/>
                    <w:ind w:right="-115"/>
                    <w:jc w:val="center"/>
                    <w:rPr>
                      <w:rFonts w:eastAsia="Times New Roman" w:cs="Arial"/>
                      <w:szCs w:val="20"/>
                    </w:rPr>
                  </w:pPr>
                </w:p>
              </w:tc>
            </w:tr>
            <w:tr w:rsidR="00247C82" w:rsidRPr="00505285" w14:paraId="05B17248" w14:textId="77777777">
              <w:tc>
                <w:tcPr>
                  <w:tcW w:w="1206" w:type="dxa"/>
                </w:tcPr>
                <w:p w14:paraId="7E042AA2" w14:textId="77777777" w:rsidR="00247C82" w:rsidRPr="00505285" w:rsidRDefault="00247C82">
                  <w:pPr>
                    <w:spacing w:after="0"/>
                    <w:ind w:right="-1346"/>
                    <w:rPr>
                      <w:rFonts w:eastAsia="Times New Roman" w:cs="Arial"/>
                      <w:szCs w:val="20"/>
                    </w:rPr>
                  </w:pPr>
                  <w:r w:rsidRPr="00505285">
                    <w:rPr>
                      <w:rFonts w:eastAsia="Times New Roman" w:cs="Arial"/>
                      <w:szCs w:val="20"/>
                    </w:rPr>
                    <w:t>14 to &lt;18yr</w:t>
                  </w:r>
                </w:p>
              </w:tc>
              <w:tc>
                <w:tcPr>
                  <w:tcW w:w="1412" w:type="dxa"/>
                </w:tcPr>
                <w:p w14:paraId="00E4957F" w14:textId="77777777" w:rsidR="00247C82" w:rsidRPr="00505285" w:rsidRDefault="00247C82">
                  <w:pPr>
                    <w:spacing w:after="0"/>
                    <w:ind w:right="38"/>
                    <w:jc w:val="center"/>
                    <w:rPr>
                      <w:rFonts w:eastAsia="Times New Roman" w:cs="Arial"/>
                      <w:szCs w:val="20"/>
                    </w:rPr>
                  </w:pPr>
                  <w:r w:rsidRPr="00505285">
                    <w:rPr>
                      <w:rFonts w:eastAsia="Times New Roman" w:cs="Arial"/>
                      <w:szCs w:val="20"/>
                    </w:rPr>
                    <w:t>140</w:t>
                  </w:r>
                </w:p>
              </w:tc>
              <w:tc>
                <w:tcPr>
                  <w:tcW w:w="1418" w:type="dxa"/>
                </w:tcPr>
                <w:p w14:paraId="5C47DA5D" w14:textId="77777777" w:rsidR="00247C82" w:rsidRPr="00505285" w:rsidRDefault="00247C82">
                  <w:pPr>
                    <w:spacing w:after="0"/>
                    <w:ind w:right="38"/>
                    <w:jc w:val="center"/>
                    <w:rPr>
                      <w:rFonts w:eastAsia="Times New Roman" w:cs="Arial"/>
                      <w:szCs w:val="20"/>
                    </w:rPr>
                  </w:pPr>
                  <w:r w:rsidRPr="00505285">
                    <w:rPr>
                      <w:rFonts w:eastAsia="Times New Roman" w:cs="Arial"/>
                      <w:szCs w:val="20"/>
                    </w:rPr>
                    <w:t>150</w:t>
                  </w:r>
                </w:p>
              </w:tc>
              <w:tc>
                <w:tcPr>
                  <w:tcW w:w="1276" w:type="dxa"/>
                </w:tcPr>
                <w:p w14:paraId="4B910896" w14:textId="77777777" w:rsidR="00247C82" w:rsidRPr="00505285" w:rsidRDefault="00247C82">
                  <w:pPr>
                    <w:spacing w:after="0"/>
                    <w:ind w:right="38"/>
                    <w:jc w:val="center"/>
                    <w:rPr>
                      <w:rFonts w:eastAsia="Times New Roman" w:cs="Arial"/>
                      <w:szCs w:val="20"/>
                    </w:rPr>
                  </w:pPr>
                  <w:r w:rsidRPr="00505285">
                    <w:rPr>
                      <w:rFonts w:eastAsia="Times New Roman" w:cs="Arial"/>
                      <w:szCs w:val="20"/>
                    </w:rPr>
                    <w:t>500</w:t>
                  </w:r>
                </w:p>
              </w:tc>
              <w:tc>
                <w:tcPr>
                  <w:tcW w:w="1417" w:type="dxa"/>
                </w:tcPr>
                <w:p w14:paraId="16034FE4"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600</w:t>
                  </w:r>
                </w:p>
              </w:tc>
              <w:tc>
                <w:tcPr>
                  <w:tcW w:w="1276" w:type="dxa"/>
                </w:tcPr>
                <w:p w14:paraId="181C98CD"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209</w:t>
                  </w:r>
                </w:p>
              </w:tc>
              <w:tc>
                <w:tcPr>
                  <w:tcW w:w="1191" w:type="dxa"/>
                </w:tcPr>
                <w:p w14:paraId="1C1EA214" w14:textId="77777777" w:rsidR="00247C82" w:rsidRPr="00505285" w:rsidRDefault="00247C82">
                  <w:pPr>
                    <w:spacing w:after="0"/>
                    <w:ind w:right="-115"/>
                    <w:jc w:val="center"/>
                    <w:rPr>
                      <w:rFonts w:eastAsia="Times New Roman" w:cs="Arial"/>
                      <w:szCs w:val="20"/>
                    </w:rPr>
                  </w:pPr>
                  <w:r w:rsidRPr="00505285">
                    <w:rPr>
                      <w:rFonts w:eastAsia="Times New Roman" w:cs="Arial"/>
                      <w:szCs w:val="20"/>
                    </w:rPr>
                    <w:t>212</w:t>
                  </w:r>
                </w:p>
              </w:tc>
              <w:tc>
                <w:tcPr>
                  <w:tcW w:w="1644" w:type="dxa"/>
                </w:tcPr>
                <w:p w14:paraId="5E3C962E" w14:textId="77777777" w:rsidR="00247C82" w:rsidRPr="00505285" w:rsidRDefault="00247C82">
                  <w:pPr>
                    <w:spacing w:after="0"/>
                    <w:ind w:right="-115"/>
                    <w:jc w:val="center"/>
                    <w:rPr>
                      <w:rFonts w:eastAsia="Times New Roman" w:cs="Arial"/>
                      <w:szCs w:val="20"/>
                    </w:rPr>
                  </w:pPr>
                  <w:r w:rsidRPr="00505285">
                    <w:rPr>
                      <w:rFonts w:eastAsia="Times New Roman" w:cs="Calibri"/>
                      <w:szCs w:val="20"/>
                      <w:lang w:eastAsia="en-AU"/>
                    </w:rPr>
                    <w:t>205 (123-303)</w:t>
                  </w:r>
                </w:p>
              </w:tc>
              <w:tc>
                <w:tcPr>
                  <w:tcW w:w="1559" w:type="dxa"/>
                </w:tcPr>
                <w:p w14:paraId="555A5666" w14:textId="77777777" w:rsidR="00247C82" w:rsidRPr="00505285" w:rsidRDefault="00247C82">
                  <w:pPr>
                    <w:spacing w:after="0"/>
                    <w:ind w:right="-115"/>
                    <w:jc w:val="center"/>
                    <w:rPr>
                      <w:rFonts w:eastAsia="Times New Roman" w:cs="Arial"/>
                      <w:szCs w:val="20"/>
                    </w:rPr>
                  </w:pPr>
                  <w:r w:rsidRPr="00505285">
                    <w:rPr>
                      <w:rFonts w:eastAsia="Times New Roman" w:cs="Calibri"/>
                      <w:szCs w:val="20"/>
                      <w:lang w:eastAsia="en-AU"/>
                    </w:rPr>
                    <w:t>153 (91-229)</w:t>
                  </w:r>
                </w:p>
              </w:tc>
            </w:tr>
          </w:tbl>
          <w:p w14:paraId="0379E4DD" w14:textId="77777777" w:rsidR="00247C82" w:rsidRPr="00505285" w:rsidRDefault="00247C82">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vertAlign w:val="superscript"/>
              </w:rPr>
              <w:t>#</w:t>
            </w:r>
            <w:r w:rsidRPr="00505285">
              <w:rPr>
                <w:rFonts w:eastAsia="Times New Roman" w:cs="Arial"/>
                <w:szCs w:val="20"/>
              </w:rPr>
              <w:t xml:space="preserve">Age groupings for UL do not fully align with food modelling ages. For </w:t>
            </w:r>
            <w:proofErr w:type="gramStart"/>
            <w:r w:rsidRPr="00505285">
              <w:rPr>
                <w:rFonts w:eastAsia="Times New Roman" w:cs="Arial"/>
                <w:szCs w:val="20"/>
              </w:rPr>
              <w:t>4 year olds</w:t>
            </w:r>
            <w:proofErr w:type="gramEnd"/>
            <w:r w:rsidRPr="00505285">
              <w:rPr>
                <w:rFonts w:eastAsia="Times New Roman" w:cs="Arial"/>
                <w:szCs w:val="20"/>
              </w:rPr>
              <w:t xml:space="preserve"> the proposed RDI is 90 µg/</w:t>
            </w:r>
            <w:proofErr w:type="gramStart"/>
            <w:r w:rsidRPr="00505285">
              <w:rPr>
                <w:rFonts w:eastAsia="Times New Roman" w:cs="Arial"/>
                <w:szCs w:val="20"/>
              </w:rPr>
              <w:t>day</w:t>
            </w:r>
            <w:proofErr w:type="gramEnd"/>
            <w:r w:rsidRPr="00505285">
              <w:rPr>
                <w:rFonts w:eastAsia="Times New Roman" w:cs="Arial"/>
                <w:szCs w:val="20"/>
              </w:rPr>
              <w:t xml:space="preserve"> and UL is 250</w:t>
            </w:r>
            <w:r w:rsidRPr="00505285">
              <w:rPr>
                <w:rFonts w:eastAsia="Arial" w:cs="Arial"/>
                <w:szCs w:val="20"/>
              </w:rPr>
              <w:t xml:space="preserve"> </w:t>
            </w:r>
            <w:r w:rsidRPr="00505285">
              <w:rPr>
                <w:rFonts w:eastAsia="Times New Roman" w:cs="Arial"/>
                <w:szCs w:val="20"/>
              </w:rPr>
              <w:t>µg/day.</w:t>
            </w:r>
          </w:p>
        </w:tc>
      </w:tr>
      <w:tr w:rsidR="00247C82" w:rsidRPr="00505285" w14:paraId="3418815B" w14:textId="77777777" w:rsidTr="00247C82">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tcPr>
          <w:p w14:paraId="1C3EB71E" w14:textId="77777777" w:rsidR="00247C82" w:rsidRPr="00505285" w:rsidRDefault="00247C82">
            <w:pPr>
              <w:rPr>
                <w:rFonts w:eastAsia="Arial" w:cs="Arial"/>
                <w:szCs w:val="20"/>
              </w:rPr>
            </w:pPr>
            <w:r w:rsidRPr="00505285">
              <w:rPr>
                <w:rFonts w:eastAsia="Arial" w:cs="Arial"/>
                <w:szCs w:val="20"/>
              </w:rPr>
              <w:lastRenderedPageBreak/>
              <w:t xml:space="preserve">Resource impacts </w:t>
            </w:r>
          </w:p>
        </w:tc>
        <w:tc>
          <w:tcPr>
            <w:tcW w:w="4997" w:type="dxa"/>
            <w:tcBorders>
              <w:left w:val="single" w:sz="4" w:space="0" w:color="77BCD9"/>
            </w:tcBorders>
          </w:tcPr>
          <w:p w14:paraId="2D03BA43" w14:textId="77777777" w:rsidR="00247C82" w:rsidRPr="00505285" w:rsidRDefault="00247C82">
            <w:pPr>
              <w:spacing w:before="120" w:after="0"/>
              <w:ind w:right="-114"/>
              <w:cnfStyle w:val="000000000000" w:firstRow="0" w:lastRow="0" w:firstColumn="0" w:lastColumn="0" w:oddVBand="0" w:evenVBand="0" w:oddHBand="0" w:evenHBand="0" w:firstRowFirstColumn="0" w:firstRowLastColumn="0" w:lastRowFirstColumn="0" w:lastRowLastColumn="0"/>
              <w:rPr>
                <w:rFonts w:eastAsia="Times New Roman" w:cs="Arial"/>
                <w:i/>
                <w:szCs w:val="20"/>
                <w:highlight w:val="lightGray"/>
              </w:rPr>
            </w:pPr>
            <w:r w:rsidRPr="00505285">
              <w:rPr>
                <w:rFonts w:eastAsia="Times New Roman" w:cs="Arial"/>
                <w:szCs w:val="20"/>
              </w:rPr>
              <w:t xml:space="preserve">Retaining the current values for children and adolescents is expected to have no regulatory implications or resource impacts. </w:t>
            </w:r>
          </w:p>
        </w:tc>
        <w:tc>
          <w:tcPr>
            <w:tcW w:w="6981" w:type="dxa"/>
          </w:tcPr>
          <w:p w14:paraId="030D774F" w14:textId="77777777" w:rsidR="00247C82" w:rsidRPr="00505285" w:rsidRDefault="00247C82">
            <w:pPr>
              <w:spacing w:before="120" w:after="0"/>
              <w:ind w:right="31"/>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505285">
              <w:rPr>
                <w:rFonts w:eastAsia="Times New Roman" w:cs="Arial"/>
                <w:szCs w:val="20"/>
              </w:rPr>
              <w:t xml:space="preserve">The proposed change to the UL is significant, and may have implications for regulators, including FSANZ (food and food products) and TGA (supplements). Views will be sought during targeted/stakeholder consultation and considered when developing final NRVs.  </w:t>
            </w:r>
          </w:p>
          <w:p w14:paraId="36A6B272" w14:textId="77777777" w:rsidR="00247C82" w:rsidRPr="00505285" w:rsidRDefault="00247C82">
            <w:pPr>
              <w:spacing w:before="120" w:after="0"/>
              <w:ind w:right="31"/>
              <w:cnfStyle w:val="000000000000" w:firstRow="0" w:lastRow="0" w:firstColumn="0" w:lastColumn="0" w:oddVBand="0" w:evenVBand="0" w:oddHBand="0" w:evenHBand="0" w:firstRowFirstColumn="0" w:firstRowLastColumn="0" w:lastRowFirstColumn="0" w:lastRowLastColumn="0"/>
              <w:rPr>
                <w:rFonts w:eastAsia="Times New Roman" w:cs="Arial"/>
                <w:i/>
                <w:iCs/>
                <w:szCs w:val="20"/>
              </w:rPr>
            </w:pPr>
            <w:r w:rsidRPr="00505285">
              <w:rPr>
                <w:rFonts w:eastAsia="Times New Roman" w:cs="Arial"/>
                <w:szCs w:val="20"/>
              </w:rPr>
              <w:t>Formulated supplementary foods for young children must contain iodine up to a maximum of 70</w:t>
            </w:r>
            <w:r w:rsidRPr="00505285">
              <w:rPr>
                <w:rFonts w:eastAsia="Times New Roman" w:cs="Times New Roman"/>
                <w:szCs w:val="20"/>
              </w:rPr>
              <w:t>µg/serve.</w:t>
            </w:r>
          </w:p>
        </w:tc>
      </w:tr>
      <w:tr w:rsidR="00247C82" w:rsidRPr="00505285" w14:paraId="20CA634E" w14:textId="77777777" w:rsidTr="00247C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tcPr>
          <w:p w14:paraId="2B27448B" w14:textId="77777777" w:rsidR="00247C82" w:rsidRPr="00505285" w:rsidRDefault="00247C82">
            <w:pPr>
              <w:rPr>
                <w:rFonts w:eastAsia="Arial" w:cs="Arial"/>
                <w:szCs w:val="20"/>
              </w:rPr>
            </w:pPr>
            <w:r w:rsidRPr="00505285">
              <w:rPr>
                <w:rFonts w:eastAsia="Arial" w:cs="Arial"/>
                <w:szCs w:val="20"/>
              </w:rPr>
              <w:t>Other factors (health equity impacts, sustainability)</w:t>
            </w:r>
          </w:p>
        </w:tc>
        <w:tc>
          <w:tcPr>
            <w:tcW w:w="4997" w:type="dxa"/>
            <w:tcBorders>
              <w:left w:val="single" w:sz="4" w:space="0" w:color="77BCD9"/>
            </w:tcBorders>
          </w:tcPr>
          <w:p w14:paraId="1C7D6316" w14:textId="77777777" w:rsidR="00247C82" w:rsidRPr="00505285" w:rsidRDefault="00247C82">
            <w:pPr>
              <w:spacing w:before="120" w:after="0"/>
              <w:ind w:right="-114"/>
              <w:cnfStyle w:val="000000100000" w:firstRow="0" w:lastRow="0" w:firstColumn="0" w:lastColumn="0" w:oddVBand="0" w:evenVBand="0" w:oddHBand="1" w:evenHBand="0" w:firstRowFirstColumn="0" w:firstRowLastColumn="0" w:lastRowFirstColumn="0" w:lastRowLastColumn="0"/>
              <w:rPr>
                <w:rFonts w:eastAsia="Times New Roman" w:cs="Arial"/>
                <w:iCs/>
                <w:szCs w:val="20"/>
                <w:highlight w:val="lightGray"/>
              </w:rPr>
            </w:pPr>
            <w:r w:rsidRPr="00505285">
              <w:rPr>
                <w:rFonts w:eastAsia="Times New Roman" w:cs="Arial"/>
                <w:szCs w:val="20"/>
              </w:rPr>
              <w:t>No specific factors in addition to those outlined for adults and pregnancy/lactation above.</w:t>
            </w:r>
          </w:p>
        </w:tc>
        <w:tc>
          <w:tcPr>
            <w:tcW w:w="6981" w:type="dxa"/>
          </w:tcPr>
          <w:p w14:paraId="114F0DA0" w14:textId="77777777" w:rsidR="00247C82" w:rsidRPr="00505285" w:rsidRDefault="00247C82">
            <w:pPr>
              <w:spacing w:before="120" w:after="0"/>
              <w:ind w:right="314"/>
              <w:cnfStyle w:val="000000100000" w:firstRow="0" w:lastRow="0" w:firstColumn="0" w:lastColumn="0" w:oddVBand="0" w:evenVBand="0" w:oddHBand="1" w:evenHBand="0" w:firstRowFirstColumn="0" w:firstRowLastColumn="0" w:lastRowFirstColumn="0" w:lastRowLastColumn="0"/>
              <w:rPr>
                <w:rFonts w:eastAsia="Times New Roman" w:cs="Arial"/>
                <w:szCs w:val="20"/>
              </w:rPr>
            </w:pPr>
            <w:r w:rsidRPr="00505285">
              <w:rPr>
                <w:rFonts w:eastAsia="Times New Roman" w:cs="Arial"/>
                <w:szCs w:val="20"/>
              </w:rPr>
              <w:t>No specific factors in addition to those outlined for adults and pregnancy/lactation above.</w:t>
            </w:r>
          </w:p>
        </w:tc>
      </w:tr>
      <w:tr w:rsidR="00247C82" w:rsidRPr="00505285" w14:paraId="41750430" w14:textId="77777777" w:rsidTr="00247C82">
        <w:tc>
          <w:tcPr>
            <w:cnfStyle w:val="001000000000" w:firstRow="0" w:lastRow="0" w:firstColumn="1" w:lastColumn="0" w:oddVBand="0" w:evenVBand="0" w:oddHBand="0" w:evenHBand="0" w:firstRowFirstColumn="0" w:firstRowLastColumn="0" w:lastRowFirstColumn="0" w:lastRowLastColumn="0"/>
            <w:tcW w:w="2375" w:type="dxa"/>
            <w:tcBorders>
              <w:top w:val="single" w:sz="4" w:space="0" w:color="77BCD9"/>
              <w:left w:val="single" w:sz="4" w:space="0" w:color="77BCD9"/>
              <w:bottom w:val="single" w:sz="4" w:space="0" w:color="77BCD9"/>
              <w:right w:val="single" w:sz="4" w:space="0" w:color="77BCD9"/>
            </w:tcBorders>
          </w:tcPr>
          <w:p w14:paraId="0F507950" w14:textId="77777777" w:rsidR="00247C82" w:rsidRPr="00505285" w:rsidRDefault="00247C82">
            <w:pPr>
              <w:rPr>
                <w:rFonts w:eastAsia="Arial" w:cs="Arial"/>
                <w:szCs w:val="20"/>
              </w:rPr>
            </w:pPr>
            <w:r w:rsidRPr="00505285">
              <w:rPr>
                <w:rFonts w:eastAsia="Arial" w:cs="Arial"/>
                <w:szCs w:val="20"/>
              </w:rPr>
              <w:lastRenderedPageBreak/>
              <w:t>Decision</w:t>
            </w:r>
          </w:p>
        </w:tc>
        <w:tc>
          <w:tcPr>
            <w:tcW w:w="11978" w:type="dxa"/>
            <w:gridSpan w:val="2"/>
            <w:tcBorders>
              <w:left w:val="single" w:sz="4" w:space="0" w:color="77BCD9"/>
            </w:tcBorders>
          </w:tcPr>
          <w:p w14:paraId="1D4A9A9A" w14:textId="77777777" w:rsidR="00247C82" w:rsidRPr="00505285" w:rsidRDefault="00247C82">
            <w:pPr>
              <w:spacing w:before="120" w:after="0"/>
              <w:ind w:right="172"/>
              <w:cnfStyle w:val="000000000000" w:firstRow="0" w:lastRow="0" w:firstColumn="0" w:lastColumn="0" w:oddVBand="0" w:evenVBand="0" w:oddHBand="0" w:evenHBand="0" w:firstRowFirstColumn="0" w:firstRowLastColumn="0" w:lastRowFirstColumn="0" w:lastRowLastColumn="0"/>
              <w:rPr>
                <w:rFonts w:eastAsia="Times New Roman" w:cs="Arial"/>
                <w:b/>
                <w:bCs/>
                <w:szCs w:val="20"/>
              </w:rPr>
            </w:pPr>
            <w:r w:rsidRPr="00505285">
              <w:rPr>
                <w:rFonts w:eastAsia="Times New Roman" w:cs="Arial"/>
                <w:b/>
                <w:bCs/>
                <w:szCs w:val="20"/>
              </w:rPr>
              <w:t xml:space="preserve">Option 2 was selected as it provides protection for almost all individuals within the population, </w:t>
            </w:r>
            <w:r w:rsidRPr="00505285">
              <w:rPr>
                <w:rFonts w:eastAsia="Times New Roman" w:cs="Times New Roman"/>
                <w:b/>
                <w:bCs/>
                <w:szCs w:val="20"/>
              </w:rPr>
              <w:t>whilst allowing for a diverse range of intakes above the RDI within the Australian and New Zealand population</w:t>
            </w:r>
            <w:r w:rsidRPr="00505285">
              <w:rPr>
                <w:rFonts w:eastAsia="Times New Roman" w:cs="Arial"/>
                <w:b/>
                <w:bCs/>
                <w:szCs w:val="20"/>
              </w:rPr>
              <w:t xml:space="preserve">. </w:t>
            </w:r>
          </w:p>
          <w:p w14:paraId="5219C3AF" w14:textId="77777777" w:rsidR="00247C82" w:rsidRPr="00505285" w:rsidRDefault="00247C82">
            <w:pPr>
              <w:spacing w:before="120" w:after="0"/>
              <w:ind w:right="314"/>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0"/>
              </w:rPr>
            </w:pPr>
            <w:r w:rsidRPr="00505285">
              <w:rPr>
                <w:rFonts w:eastAsia="Times New Roman" w:cs="Arial"/>
                <w:b/>
                <w:bCs/>
                <w:szCs w:val="20"/>
              </w:rPr>
              <w:t xml:space="preserve">UL values for young children (&lt;8 years for NRVs age groupings; &lt;5 years for school age groupings) are unchanged from current recommendations. For remaining age groups, the proposed UL does narrow the window between the RDI and UL slightly, although based on available population data the majority (95%+) of the population are unlikely to have intakes approaching the revised UL. This reduces the </w:t>
            </w:r>
            <w:r w:rsidRPr="00505285">
              <w:rPr>
                <w:rFonts w:eastAsia="Times New Roman" w:cs="Times New Roman"/>
                <w:b/>
                <w:bCs/>
                <w:szCs w:val="20"/>
              </w:rPr>
              <w:t xml:space="preserve">risk that non-sensitive individuals with higher intakes may be classified as ‘exceeding the UL’ where there may be no significant risk of harm. </w:t>
            </w:r>
          </w:p>
        </w:tc>
      </w:tr>
    </w:tbl>
    <w:p w14:paraId="1065BBC8" w14:textId="77777777" w:rsidR="00247C82" w:rsidRDefault="00247C82" w:rsidP="001025A2"/>
    <w:p w14:paraId="01AF3AD4" w14:textId="3A708120" w:rsidR="00247C82" w:rsidRDefault="00247C82">
      <w:pPr>
        <w:spacing w:line="240" w:lineRule="atLeast"/>
      </w:pPr>
      <w:r>
        <w:br w:type="page"/>
      </w:r>
    </w:p>
    <w:p w14:paraId="0D957984" w14:textId="77777777" w:rsidR="00247C82" w:rsidRPr="00C93859" w:rsidRDefault="00247C82" w:rsidP="00247C82">
      <w:pPr>
        <w:pStyle w:val="Heading4"/>
      </w:pPr>
      <w:bookmarkStart w:id="210" w:name="_Toc212567928"/>
      <w:r w:rsidRPr="00C93859">
        <w:lastRenderedPageBreak/>
        <w:t>References</w:t>
      </w:r>
      <w:bookmarkEnd w:id="210"/>
    </w:p>
    <w:p w14:paraId="3A6367AA" w14:textId="77777777" w:rsidR="00247C82" w:rsidRPr="00C93859" w:rsidRDefault="00247C82" w:rsidP="00247C82">
      <w:pPr>
        <w:rPr>
          <w:rFonts w:eastAsia="Arial" w:cs="Arial"/>
        </w:rPr>
      </w:pPr>
      <w:proofErr w:type="spellStart"/>
      <w:r w:rsidRPr="00C93859">
        <w:rPr>
          <w:rFonts w:eastAsia="Arial" w:cs="Arial"/>
        </w:rPr>
        <w:t>Aquaron</w:t>
      </w:r>
      <w:proofErr w:type="spellEnd"/>
      <w:r w:rsidRPr="00C93859">
        <w:rPr>
          <w:rFonts w:eastAsia="Arial" w:cs="Arial"/>
        </w:rPr>
        <w:t xml:space="preserve"> R, Delange F, Marchal P, </w:t>
      </w:r>
      <w:proofErr w:type="spellStart"/>
      <w:r w:rsidRPr="00C93859">
        <w:rPr>
          <w:rFonts w:eastAsia="Arial" w:cs="Arial"/>
        </w:rPr>
        <w:t>Lognone</w:t>
      </w:r>
      <w:proofErr w:type="spellEnd"/>
      <w:r w:rsidRPr="00C93859">
        <w:rPr>
          <w:rFonts w:eastAsia="Arial" w:cs="Arial"/>
        </w:rPr>
        <w:t xml:space="preserve"> V and </w:t>
      </w:r>
      <w:proofErr w:type="spellStart"/>
      <w:r w:rsidRPr="00C93859">
        <w:rPr>
          <w:rFonts w:eastAsia="Arial" w:cs="Arial"/>
        </w:rPr>
        <w:t>Ninane</w:t>
      </w:r>
      <w:proofErr w:type="spellEnd"/>
      <w:r w:rsidRPr="00C93859">
        <w:rPr>
          <w:rFonts w:eastAsia="Arial" w:cs="Arial"/>
        </w:rPr>
        <w:t xml:space="preserve"> L, 2002. Bioavailability of seaweed iodine in human beings. Cellular and Molecular Biology, 48, 563-569.</w:t>
      </w:r>
    </w:p>
    <w:p w14:paraId="128CACC4" w14:textId="77777777" w:rsidR="00247C82" w:rsidRPr="00C93859" w:rsidRDefault="00247C82" w:rsidP="00247C82">
      <w:pPr>
        <w:rPr>
          <w:rFonts w:eastAsia="Arial" w:cs="Open Sans"/>
          <w:color w:val="000000"/>
          <w:shd w:val="clear" w:color="auto" w:fill="FFFFFF"/>
        </w:rPr>
      </w:pPr>
      <w:r w:rsidRPr="00C93859">
        <w:rPr>
          <w:rFonts w:eastAsia="Arial" w:cs="Open Sans"/>
          <w:color w:val="000000"/>
          <w:shd w:val="clear" w:color="auto" w:fill="FFFFFF"/>
        </w:rPr>
        <w:t>Australian Bureau of Statistics (ABS) 2013. </w:t>
      </w:r>
      <w:r w:rsidRPr="00C93859">
        <w:rPr>
          <w:rFonts w:eastAsia="Arial" w:cs="Open Sans"/>
          <w:i/>
          <w:iCs/>
          <w:color w:val="000000"/>
          <w:shd w:val="clear" w:color="auto" w:fill="FFFFFF"/>
        </w:rPr>
        <w:t>Iodine</w:t>
      </w:r>
      <w:r w:rsidRPr="00C93859">
        <w:rPr>
          <w:rFonts w:eastAsia="Arial" w:cs="Open Sans"/>
          <w:color w:val="000000"/>
          <w:shd w:val="clear" w:color="auto" w:fill="FFFFFF"/>
        </w:rPr>
        <w:t xml:space="preserve"> [Internet]. Data source: 2011-12 National Health Measures Survey. Canberra: December 11 [accessed 22 July 2024]. Available from: </w:t>
      </w:r>
      <w:hyperlink r:id="rId118" w:history="1">
        <w:r w:rsidRPr="00C93859">
          <w:rPr>
            <w:rFonts w:eastAsia="Arial" w:cs="Open Sans"/>
            <w:color w:val="0070C0"/>
            <w:u w:val="single"/>
            <w:shd w:val="clear" w:color="auto" w:fill="FFFFFF"/>
          </w:rPr>
          <w:t>https://www.abs.gov.au/articles/iodine</w:t>
        </w:r>
      </w:hyperlink>
      <w:r w:rsidRPr="00C93859">
        <w:rPr>
          <w:rFonts w:eastAsia="Arial" w:cs="Open Sans"/>
          <w:color w:val="000000"/>
          <w:shd w:val="clear" w:color="auto" w:fill="FFFFFF"/>
        </w:rPr>
        <w:t>.</w:t>
      </w:r>
    </w:p>
    <w:p w14:paraId="39CCA409" w14:textId="77777777" w:rsidR="00247C82" w:rsidRPr="00C93859" w:rsidRDefault="00247C82" w:rsidP="00247C82">
      <w:pPr>
        <w:rPr>
          <w:rFonts w:eastAsia="Arial" w:cs="Arial"/>
        </w:rPr>
      </w:pPr>
      <w:r w:rsidRPr="00C93859">
        <w:rPr>
          <w:rFonts w:eastAsia="Arial" w:cs="Arial"/>
        </w:rPr>
        <w:t xml:space="preserve">Australian Bureau of Statistics (ABS). 2015. 2011-13 Australian Health Survey: Usual Nutrient Intakes. Released 06/03/2015. Available from: </w:t>
      </w:r>
      <w:hyperlink r:id="rId119" w:history="1">
        <w:r w:rsidRPr="00C93859">
          <w:rPr>
            <w:rFonts w:eastAsia="Arial" w:cs="Arial"/>
            <w:color w:val="0070C0"/>
            <w:u w:val="single"/>
          </w:rPr>
          <w:t>https://www.abs.gov.au/statistics/health/health-conditions-and-risks/usual-nutrient-intakes/latest-release</w:t>
        </w:r>
      </w:hyperlink>
      <w:r w:rsidRPr="00C93859">
        <w:rPr>
          <w:rFonts w:eastAsia="Arial" w:cs="Arial"/>
        </w:rPr>
        <w:t xml:space="preserve"> [Accessed 2 June 2025]</w:t>
      </w:r>
    </w:p>
    <w:p w14:paraId="7ABDB606" w14:textId="77777777" w:rsidR="00247C82" w:rsidRPr="00C93859" w:rsidRDefault="00247C82" w:rsidP="00247C82">
      <w:pPr>
        <w:rPr>
          <w:rFonts w:eastAsia="Arial" w:cs="Arial"/>
        </w:rPr>
      </w:pPr>
      <w:r w:rsidRPr="00C93859">
        <w:rPr>
          <w:rFonts w:eastAsia="Arial" w:cs="Arial"/>
        </w:rPr>
        <w:t xml:space="preserve">Australian Bureau of Statistics (ABS). 2025a. 2022-24 National Health Measures Survey: Nutrient biomarkers. Released 31/03/2025. Available from </w:t>
      </w:r>
      <w:hyperlink r:id="rId120" w:anchor="nutrient-biomarkers" w:history="1">
        <w:r w:rsidRPr="00C93859">
          <w:rPr>
            <w:rFonts w:eastAsia="Arial" w:cs="Arial"/>
            <w:color w:val="0070C0"/>
            <w:u w:val="single"/>
          </w:rPr>
          <w:t>https://www.abs.gov.au/statistics/health/health-conditions-and-risks/national-health-measures-survey/latest-release#nutrient-biomarkers</w:t>
        </w:r>
      </w:hyperlink>
      <w:r w:rsidRPr="00C93859">
        <w:rPr>
          <w:rFonts w:eastAsia="Arial" w:cs="Arial"/>
        </w:rPr>
        <w:t xml:space="preserve"> </w:t>
      </w:r>
    </w:p>
    <w:p w14:paraId="5AFCEC54" w14:textId="77777777" w:rsidR="00247C82" w:rsidRPr="00C93859" w:rsidRDefault="00247C82" w:rsidP="00247C82">
      <w:pPr>
        <w:rPr>
          <w:rFonts w:eastAsia="Arial" w:cs="Arial"/>
        </w:rPr>
      </w:pPr>
      <w:r w:rsidRPr="00C93859">
        <w:rPr>
          <w:rFonts w:eastAsia="Arial" w:cs="Arial"/>
        </w:rPr>
        <w:t xml:space="preserve">Australian Bureau of Statistics (ABS). 2025b. 2023 National Nutrition and Physical Activity Survey (NNPAS). Released 05/09/2025. Available from: </w:t>
      </w:r>
      <w:hyperlink r:id="rId121" w:anchor="selected-micronutrients-and-caffeine" w:history="1">
        <w:r w:rsidRPr="00C93859">
          <w:rPr>
            <w:rFonts w:eastAsia="Arial" w:cs="Arial"/>
            <w:color w:val="0070C0"/>
            <w:u w:val="single"/>
          </w:rPr>
          <w:t>https://www.abs.gov.au/statistics/health/food-and-nutrition/food-and-nutrients/2023#selected-micronutrients-and-caffeine</w:t>
        </w:r>
      </w:hyperlink>
      <w:r w:rsidRPr="00C93859">
        <w:rPr>
          <w:rFonts w:eastAsia="Arial" w:cs="Arial"/>
        </w:rPr>
        <w:t xml:space="preserve"> [Accessed 15 September 2025]</w:t>
      </w:r>
    </w:p>
    <w:p w14:paraId="34033EF0" w14:textId="77777777" w:rsidR="00247C82" w:rsidRPr="00C93859" w:rsidRDefault="00247C82" w:rsidP="00247C82">
      <w:pPr>
        <w:rPr>
          <w:rFonts w:eastAsia="Arial" w:cs="Arial"/>
        </w:rPr>
      </w:pPr>
      <w:proofErr w:type="spellStart"/>
      <w:r w:rsidRPr="00C93859">
        <w:rPr>
          <w:rFonts w:eastAsia="Arial" w:cs="Arial"/>
        </w:rPr>
        <w:t>Blomhoff</w:t>
      </w:r>
      <w:proofErr w:type="spellEnd"/>
      <w:r w:rsidRPr="00C93859">
        <w:rPr>
          <w:rFonts w:eastAsia="Arial" w:cs="Arial"/>
        </w:rPr>
        <w:t xml:space="preserve"> R, Andersen R, Arnesen, E et al. 2023. Nordic Nutrition Recommendations 2023. Nordic Council of Ministers, Copenhagen. Available from </w:t>
      </w:r>
      <w:hyperlink r:id="rId122" w:history="1">
        <w:r w:rsidRPr="00C93859">
          <w:rPr>
            <w:rFonts w:eastAsia="Arial" w:cs="Arial"/>
            <w:color w:val="0070C0"/>
            <w:u w:val="single"/>
          </w:rPr>
          <w:t>https://pub.norden.org/nord2023-003/nord2023-003.pdf</w:t>
        </w:r>
      </w:hyperlink>
      <w:r w:rsidRPr="00C93859">
        <w:rPr>
          <w:rFonts w:eastAsia="Arial" w:cs="Arial"/>
        </w:rPr>
        <w:t>. [Accessed 5 December 2024]</w:t>
      </w:r>
    </w:p>
    <w:p w14:paraId="7B9250A8" w14:textId="77777777" w:rsidR="00247C82" w:rsidRPr="00C93859" w:rsidRDefault="00247C82" w:rsidP="00247C82">
      <w:pPr>
        <w:rPr>
          <w:rFonts w:eastAsia="Times New Roman" w:cs="Arial"/>
        </w:rPr>
      </w:pPr>
      <w:r w:rsidRPr="00C93859">
        <w:rPr>
          <w:rFonts w:eastAsia="Times New Roman" w:cs="Arial"/>
        </w:rPr>
        <w:t xml:space="preserve">Braverman KD and Pearce EN. 2025. Iodine and Hyperthyroidism: A Double-Edged Sword, </w:t>
      </w:r>
      <w:r w:rsidRPr="00C93859">
        <w:rPr>
          <w:rFonts w:eastAsia="Times New Roman" w:cs="Arial"/>
          <w:i/>
          <w:iCs/>
        </w:rPr>
        <w:t xml:space="preserve">Endocrine Practice, </w:t>
      </w:r>
      <w:r w:rsidRPr="00C93859">
        <w:rPr>
          <w:rFonts w:eastAsia="Times New Roman" w:cs="Arial"/>
        </w:rPr>
        <w:t>31 (3): 390-395</w:t>
      </w:r>
    </w:p>
    <w:p w14:paraId="372D2435" w14:textId="77777777" w:rsidR="00247C82" w:rsidRPr="00C93859" w:rsidRDefault="00247C82" w:rsidP="00247C82">
      <w:pPr>
        <w:rPr>
          <w:rFonts w:eastAsia="Times New Roman" w:cs="Arial"/>
        </w:rPr>
      </w:pPr>
      <w:r w:rsidRPr="00C93859">
        <w:rPr>
          <w:rFonts w:eastAsia="Times New Roman" w:cs="Arial"/>
        </w:rPr>
        <w:t xml:space="preserve">D-A-CH (2015). German Nutrition Society, Austrian Nutrition Society, Swiss Nutrition Society (eds.). Dietary Reference Values. 2nd version of the 1st edition 2015, Neuer </w:t>
      </w:r>
      <w:proofErr w:type="spellStart"/>
      <w:r w:rsidRPr="00C93859">
        <w:rPr>
          <w:rFonts w:eastAsia="Times New Roman" w:cs="Arial"/>
        </w:rPr>
        <w:t>Umschau</w:t>
      </w:r>
      <w:proofErr w:type="spellEnd"/>
      <w:r w:rsidRPr="00C93859">
        <w:rPr>
          <w:rFonts w:eastAsia="Times New Roman" w:cs="Arial"/>
        </w:rPr>
        <w:t xml:space="preserve"> </w:t>
      </w:r>
      <w:proofErr w:type="spellStart"/>
      <w:r w:rsidRPr="00C93859">
        <w:rPr>
          <w:rFonts w:eastAsia="Times New Roman" w:cs="Arial"/>
        </w:rPr>
        <w:t>Buchverlag</w:t>
      </w:r>
      <w:proofErr w:type="spellEnd"/>
      <w:r w:rsidRPr="00C93859">
        <w:rPr>
          <w:rFonts w:eastAsia="Times New Roman" w:cs="Arial"/>
        </w:rPr>
        <w:t xml:space="preserve">. </w:t>
      </w:r>
    </w:p>
    <w:p w14:paraId="59D2E3BD" w14:textId="77777777" w:rsidR="00247C82" w:rsidRPr="00C93859" w:rsidRDefault="00247C82" w:rsidP="00247C82">
      <w:pPr>
        <w:rPr>
          <w:rFonts w:eastAsia="Times New Roman" w:cs="Arial"/>
          <w:highlight w:val="yellow"/>
        </w:rPr>
      </w:pPr>
      <w:proofErr w:type="spellStart"/>
      <w:r w:rsidRPr="00C93859">
        <w:rPr>
          <w:rFonts w:eastAsia="Times New Roman" w:cs="Arial"/>
        </w:rPr>
        <w:t>Delitala</w:t>
      </w:r>
      <w:proofErr w:type="spellEnd"/>
      <w:r w:rsidRPr="00C93859">
        <w:rPr>
          <w:rFonts w:eastAsia="Times New Roman" w:cs="Arial"/>
        </w:rPr>
        <w:t xml:space="preserve"> AP, Fanciulli G, </w:t>
      </w:r>
      <w:proofErr w:type="spellStart"/>
      <w:r w:rsidRPr="00C93859">
        <w:rPr>
          <w:rFonts w:eastAsia="Times New Roman" w:cs="Arial"/>
        </w:rPr>
        <w:t>Maioli</w:t>
      </w:r>
      <w:proofErr w:type="spellEnd"/>
      <w:r w:rsidRPr="00C93859">
        <w:rPr>
          <w:rFonts w:eastAsia="Times New Roman" w:cs="Arial"/>
        </w:rPr>
        <w:t xml:space="preserve"> M, </w:t>
      </w:r>
      <w:proofErr w:type="spellStart"/>
      <w:r w:rsidRPr="00C93859">
        <w:rPr>
          <w:rFonts w:eastAsia="Times New Roman" w:cs="Arial"/>
        </w:rPr>
        <w:t>Delitala</w:t>
      </w:r>
      <w:proofErr w:type="spellEnd"/>
      <w:r w:rsidRPr="00C93859">
        <w:rPr>
          <w:rFonts w:eastAsia="Times New Roman" w:cs="Arial"/>
        </w:rPr>
        <w:t xml:space="preserve"> G. 2017. Subclinical hypothyroidism, lipid metabolism and cardiovascular disease. </w:t>
      </w:r>
      <w:proofErr w:type="spellStart"/>
      <w:r w:rsidRPr="00C93859">
        <w:rPr>
          <w:rFonts w:eastAsia="Times New Roman" w:cs="Arial"/>
          <w:i/>
          <w:iCs/>
        </w:rPr>
        <w:t>Eur</w:t>
      </w:r>
      <w:proofErr w:type="spellEnd"/>
      <w:r w:rsidRPr="00C93859">
        <w:rPr>
          <w:rFonts w:eastAsia="Times New Roman" w:cs="Arial"/>
          <w:i/>
          <w:iCs/>
        </w:rPr>
        <w:t xml:space="preserve"> J Intern Med.</w:t>
      </w:r>
      <w:r w:rsidRPr="00C93859">
        <w:rPr>
          <w:rFonts w:eastAsia="Times New Roman" w:cs="Arial"/>
        </w:rPr>
        <w:t xml:space="preserve"> 38:17-24</w:t>
      </w:r>
    </w:p>
    <w:p w14:paraId="0A77A560" w14:textId="77777777" w:rsidR="00247C82" w:rsidRPr="00C93859" w:rsidRDefault="00247C82" w:rsidP="00247C82">
      <w:pPr>
        <w:rPr>
          <w:rFonts w:eastAsia="Arial" w:cs="Arial"/>
        </w:rPr>
      </w:pPr>
      <w:r w:rsidRPr="00C93859">
        <w:rPr>
          <w:rFonts w:eastAsia="Arial" w:cs="Arial"/>
        </w:rPr>
        <w:t xml:space="preserve">European Food Safety Authority (EFSA) Scientific Committee on Food, 2003. Opinion of the Scientific Committee on Food on the Tolerable Upper Intake Level of Iodine. In: Tolerable Upper Intake Levels for Vitamins and Mineral. 135-150 pp. Available online: </w:t>
      </w:r>
      <w:hyperlink r:id="rId123" w:history="1">
        <w:r w:rsidRPr="00C93859">
          <w:rPr>
            <w:rFonts w:eastAsia="Arial" w:cs="Arial"/>
            <w:color w:val="0070C0"/>
            <w:u w:val="single"/>
          </w:rPr>
          <w:t>https://www.efsa.europa.eu/sites/default/files/efsa_rep/blobserver_assets/ndatolerable uil.pdf</w:t>
        </w:r>
      </w:hyperlink>
      <w:r w:rsidRPr="00C93859">
        <w:rPr>
          <w:rFonts w:eastAsia="Arial" w:cs="Arial"/>
        </w:rPr>
        <w:t xml:space="preserve"> Accessed 5 December 2024.</w:t>
      </w:r>
    </w:p>
    <w:p w14:paraId="2B1013F1" w14:textId="77777777" w:rsidR="00247C82" w:rsidRPr="00C93859" w:rsidRDefault="00247C82" w:rsidP="00247C82">
      <w:pPr>
        <w:rPr>
          <w:rFonts w:eastAsia="Arial" w:cs="Arial"/>
        </w:rPr>
      </w:pPr>
      <w:r w:rsidRPr="00C93859">
        <w:rPr>
          <w:rFonts w:eastAsia="Arial" w:cs="Arial"/>
        </w:rPr>
        <w:t>European Food Safety Authority (EFSA), Dujardin B, Ferreira de Sousa, R, Gómez Ruiz JA, 2023. Scientific Report on the dietary exposure to heavy metals and iodine intake via consumption of seaweeds and halophytes in the European population. </w:t>
      </w:r>
      <w:r w:rsidRPr="00C93859">
        <w:rPr>
          <w:rFonts w:eastAsia="Arial" w:cs="Arial"/>
          <w:i/>
          <w:iCs/>
        </w:rPr>
        <w:t>EFSA Journal</w:t>
      </w:r>
      <w:r w:rsidRPr="00C93859">
        <w:rPr>
          <w:rFonts w:eastAsia="Arial" w:cs="Arial"/>
        </w:rPr>
        <w:t> 2023; 21(1):7798, 47 pp. </w:t>
      </w:r>
      <w:hyperlink r:id="rId124" w:history="1">
        <w:r w:rsidRPr="00C93859">
          <w:rPr>
            <w:rFonts w:eastAsia="Arial" w:cs="Arial"/>
            <w:b/>
            <w:bCs/>
            <w:color w:val="0070C0"/>
            <w:u w:val="single"/>
          </w:rPr>
          <w:t>https://doi.org/10.2903/j.efsa.2023.7798</w:t>
        </w:r>
      </w:hyperlink>
    </w:p>
    <w:p w14:paraId="22D9C3A4" w14:textId="77777777" w:rsidR="00247C82" w:rsidRPr="00C93859" w:rsidRDefault="00247C82" w:rsidP="00247C82">
      <w:pPr>
        <w:rPr>
          <w:rFonts w:eastAsia="Arial" w:cs="Arial"/>
          <w:noProof/>
        </w:rPr>
      </w:pPr>
      <w:r w:rsidRPr="00C93859">
        <w:rPr>
          <w:rFonts w:eastAsia="Arial" w:cs="Arial"/>
          <w:noProof/>
        </w:rPr>
        <w:t xml:space="preserve">Food Standards Australia New Zealand (FSANZ), 2016. Monitoring the Australian population’s intake of dietary iodine before and after mandatory fortification. Available from: </w:t>
      </w:r>
      <w:hyperlink r:id="rId125" w:history="1">
        <w:r w:rsidRPr="00C93859">
          <w:rPr>
            <w:rFonts w:eastAsia="Arial" w:cs="Arial"/>
            <w:noProof/>
            <w:color w:val="0070C0"/>
            <w:u w:val="single"/>
          </w:rPr>
          <w:t>https://www.foodstandards.gov.au/sites/default/files/publications/Documents/Iodine%20Fortification%20Monitoring%20Report.pdf</w:t>
        </w:r>
      </w:hyperlink>
      <w:r w:rsidRPr="00C93859">
        <w:rPr>
          <w:rFonts w:eastAsia="Arial" w:cs="Arial"/>
          <w:noProof/>
        </w:rPr>
        <w:t xml:space="preserve"> (accessed 30 July 2024)</w:t>
      </w:r>
    </w:p>
    <w:p w14:paraId="1733422C" w14:textId="77777777" w:rsidR="00247C82" w:rsidRPr="00C93859" w:rsidRDefault="00247C82" w:rsidP="00247C82">
      <w:pPr>
        <w:rPr>
          <w:rFonts w:eastAsia="Arial" w:cs="Arial"/>
        </w:rPr>
      </w:pPr>
      <w:r w:rsidRPr="00C93859">
        <w:rPr>
          <w:rFonts w:eastAsia="Arial" w:cs="Arial"/>
        </w:rPr>
        <w:t xml:space="preserve">Gardner DF, </w:t>
      </w:r>
      <w:proofErr w:type="spellStart"/>
      <w:r w:rsidRPr="00C93859">
        <w:rPr>
          <w:rFonts w:eastAsia="Arial" w:cs="Arial"/>
        </w:rPr>
        <w:t>Centor</w:t>
      </w:r>
      <w:proofErr w:type="spellEnd"/>
      <w:r w:rsidRPr="00C93859">
        <w:rPr>
          <w:rFonts w:eastAsia="Arial" w:cs="Arial"/>
        </w:rPr>
        <w:t xml:space="preserve"> RM, </w:t>
      </w:r>
      <w:proofErr w:type="spellStart"/>
      <w:r w:rsidRPr="00C93859">
        <w:rPr>
          <w:rFonts w:eastAsia="Arial" w:cs="Arial"/>
        </w:rPr>
        <w:t>Utiger</w:t>
      </w:r>
      <w:proofErr w:type="spellEnd"/>
      <w:r w:rsidRPr="00C93859">
        <w:rPr>
          <w:rFonts w:eastAsia="Arial" w:cs="Arial"/>
        </w:rPr>
        <w:t xml:space="preserve"> RD. 1988. Effects of low dose oral iodide supplementation on thyroid function in normal men. </w:t>
      </w:r>
      <w:r w:rsidRPr="00C93859">
        <w:rPr>
          <w:rFonts w:eastAsia="Arial" w:cs="Arial"/>
          <w:i/>
          <w:iCs/>
        </w:rPr>
        <w:t>Clin Endocrinol (</w:t>
      </w:r>
      <w:proofErr w:type="spellStart"/>
      <w:r w:rsidRPr="00C93859">
        <w:rPr>
          <w:rFonts w:eastAsia="Arial" w:cs="Arial"/>
          <w:i/>
          <w:iCs/>
        </w:rPr>
        <w:t>Oxf</w:t>
      </w:r>
      <w:proofErr w:type="spellEnd"/>
      <w:r w:rsidRPr="00C93859">
        <w:rPr>
          <w:rFonts w:eastAsia="Arial" w:cs="Arial"/>
          <w:i/>
          <w:iCs/>
        </w:rPr>
        <w:t>).</w:t>
      </w:r>
      <w:r w:rsidRPr="00C93859">
        <w:rPr>
          <w:rFonts w:eastAsia="Arial" w:cs="Arial"/>
        </w:rPr>
        <w:t xml:space="preserve"> 28(3):283-8. </w:t>
      </w:r>
    </w:p>
    <w:p w14:paraId="247E526D" w14:textId="77777777" w:rsidR="00247C82" w:rsidRPr="00C93859" w:rsidRDefault="00247C82" w:rsidP="00247C82">
      <w:pPr>
        <w:rPr>
          <w:rFonts w:eastAsia="Arial" w:cs="Arial"/>
        </w:rPr>
      </w:pPr>
      <w:r w:rsidRPr="00C93859">
        <w:rPr>
          <w:rFonts w:eastAsia="Arial" w:cs="Arial"/>
        </w:rPr>
        <w:t xml:space="preserve">Guo W, Chen W, Zhang W. 2025. Global Perspectives on China’s Iodine Dietary Reference Intakes: Revisions, Public Health Implications and Future Strategies. </w:t>
      </w:r>
      <w:r w:rsidRPr="00C93859">
        <w:rPr>
          <w:rFonts w:eastAsia="Arial" w:cs="Arial"/>
          <w:i/>
          <w:iCs/>
        </w:rPr>
        <w:t>The Journal of Nutrition</w:t>
      </w:r>
      <w:r w:rsidRPr="00C93859">
        <w:rPr>
          <w:rFonts w:eastAsia="Arial" w:cs="Arial"/>
        </w:rPr>
        <w:t>, Pre-print.</w:t>
      </w:r>
    </w:p>
    <w:p w14:paraId="1D2CDB2B" w14:textId="77777777" w:rsidR="00247C82" w:rsidRPr="00C93859" w:rsidRDefault="00247C82" w:rsidP="00247C82">
      <w:pPr>
        <w:rPr>
          <w:rFonts w:eastAsia="Arial" w:cs="Arial"/>
        </w:rPr>
      </w:pPr>
      <w:r w:rsidRPr="00C93859">
        <w:rPr>
          <w:rFonts w:eastAsia="Arial" w:cs="Arial"/>
        </w:rPr>
        <w:t xml:space="preserve">Inoue K, Ritz B, Brent GA, Ebrahimi R, Rhee CM, Leung AM. 2020. Association of Subclinical Hypothyroidism and Cardiovascular Disease </w:t>
      </w:r>
      <w:proofErr w:type="gramStart"/>
      <w:r w:rsidRPr="00C93859">
        <w:rPr>
          <w:rFonts w:eastAsia="Arial" w:cs="Arial"/>
        </w:rPr>
        <w:t>With</w:t>
      </w:r>
      <w:proofErr w:type="gramEnd"/>
      <w:r w:rsidRPr="00C93859">
        <w:rPr>
          <w:rFonts w:eastAsia="Arial" w:cs="Arial"/>
        </w:rPr>
        <w:t xml:space="preserve"> Mortality. </w:t>
      </w:r>
      <w:r w:rsidRPr="00C93859">
        <w:rPr>
          <w:rFonts w:eastAsia="Arial" w:cs="Arial"/>
          <w:i/>
          <w:iCs/>
        </w:rPr>
        <w:t xml:space="preserve">JAMA </w:t>
      </w:r>
      <w:proofErr w:type="spellStart"/>
      <w:r w:rsidRPr="00C93859">
        <w:rPr>
          <w:rFonts w:eastAsia="Arial" w:cs="Arial"/>
          <w:i/>
          <w:iCs/>
        </w:rPr>
        <w:t>Netw</w:t>
      </w:r>
      <w:proofErr w:type="spellEnd"/>
      <w:r w:rsidRPr="00C93859">
        <w:rPr>
          <w:rFonts w:eastAsia="Arial" w:cs="Arial"/>
          <w:i/>
          <w:iCs/>
        </w:rPr>
        <w:t xml:space="preserve"> Open</w:t>
      </w:r>
      <w:r w:rsidRPr="00C93859">
        <w:rPr>
          <w:rFonts w:eastAsia="Arial" w:cs="Arial"/>
        </w:rPr>
        <w:t>. 3(2</w:t>
      </w:r>
      <w:proofErr w:type="gramStart"/>
      <w:r w:rsidRPr="00C93859">
        <w:rPr>
          <w:rFonts w:eastAsia="Arial" w:cs="Arial"/>
        </w:rPr>
        <w:t>):e</w:t>
      </w:r>
      <w:proofErr w:type="gramEnd"/>
      <w:r w:rsidRPr="00C93859">
        <w:rPr>
          <w:rFonts w:eastAsia="Arial" w:cs="Arial"/>
        </w:rPr>
        <w:t>1920745</w:t>
      </w:r>
    </w:p>
    <w:p w14:paraId="5CE0C39B" w14:textId="77777777" w:rsidR="00247C82" w:rsidRPr="00C93859" w:rsidRDefault="00247C82" w:rsidP="00247C82">
      <w:pPr>
        <w:rPr>
          <w:rFonts w:eastAsia="Arial" w:cs="Arial"/>
        </w:rPr>
      </w:pPr>
      <w:r w:rsidRPr="00C93859">
        <w:rPr>
          <w:rFonts w:eastAsia="Arial" w:cs="Arial"/>
        </w:rPr>
        <w:t xml:space="preserve">Jahreis G, Hausmann W, Kiessling G, Franke K and </w:t>
      </w:r>
      <w:proofErr w:type="spellStart"/>
      <w:r w:rsidRPr="00C93859">
        <w:rPr>
          <w:rFonts w:eastAsia="Arial" w:cs="Arial"/>
        </w:rPr>
        <w:t>Leiterer</w:t>
      </w:r>
      <w:proofErr w:type="spellEnd"/>
      <w:r w:rsidRPr="00C93859">
        <w:rPr>
          <w:rFonts w:eastAsia="Arial" w:cs="Arial"/>
        </w:rPr>
        <w:t xml:space="preserve"> M, 2001. Bioavailability of iodine from normal diets rich in dairy products--results of balance studies in women. Experimental and Clinical Endocrinology and Diabetes, 109, 163-167.</w:t>
      </w:r>
    </w:p>
    <w:p w14:paraId="35BCF9FC" w14:textId="77777777" w:rsidR="00247C82" w:rsidRPr="00C93859" w:rsidRDefault="00247C82" w:rsidP="00247C82">
      <w:pPr>
        <w:rPr>
          <w:rFonts w:eastAsia="Arial" w:cs="Arial"/>
        </w:rPr>
      </w:pPr>
      <w:r w:rsidRPr="00C93859">
        <w:rPr>
          <w:rFonts w:eastAsia="Arial" w:cs="Arial"/>
        </w:rPr>
        <w:t>Kantar (2022) Better Futures 2022; available at </w:t>
      </w:r>
      <w:hyperlink r:id="rId126" w:tgtFrame="_blank" w:history="1">
        <w:r w:rsidRPr="00C93859">
          <w:rPr>
            <w:rFonts w:eastAsia="Arial" w:cs="Arial"/>
            <w:color w:val="0070C0"/>
            <w:u w:val="single"/>
          </w:rPr>
          <w:t>https://www.sbc.org.nz/wp-content/uploads/2022/07/2022-Better-Futures-Report-Version-23-March-FINAL.pdf</w:t>
        </w:r>
      </w:hyperlink>
      <w:r w:rsidRPr="00C93859">
        <w:rPr>
          <w:rFonts w:eastAsia="Arial" w:cs="Arial"/>
        </w:rPr>
        <w:t> (accessed 1 July 2025).</w:t>
      </w:r>
    </w:p>
    <w:p w14:paraId="2DCF08DF" w14:textId="77777777" w:rsidR="00247C82" w:rsidRPr="00C93859" w:rsidRDefault="00247C82" w:rsidP="00247C82">
      <w:pPr>
        <w:rPr>
          <w:rFonts w:eastAsia="Arial" w:cs="Arial"/>
        </w:rPr>
      </w:pPr>
      <w:r w:rsidRPr="00C93859">
        <w:rPr>
          <w:rFonts w:eastAsia="Arial" w:cs="Arial"/>
        </w:rPr>
        <w:t xml:space="preserve">Katagiri R, Yuan X, Kobayashi S, Sasaki S. Effect of excess iodine intake on thyroid diseases in different populations: A systematic review and meta-analyses including observational studies. </w:t>
      </w:r>
      <w:proofErr w:type="spellStart"/>
      <w:r w:rsidRPr="00C93859">
        <w:rPr>
          <w:rFonts w:eastAsia="Arial" w:cs="Arial"/>
        </w:rPr>
        <w:t>PLoS</w:t>
      </w:r>
      <w:proofErr w:type="spellEnd"/>
      <w:r w:rsidRPr="00C93859">
        <w:rPr>
          <w:rFonts w:eastAsia="Arial" w:cs="Arial"/>
        </w:rPr>
        <w:t xml:space="preserve"> One. 2017 Mar 10;12(3</w:t>
      </w:r>
      <w:proofErr w:type="gramStart"/>
      <w:r w:rsidRPr="00C93859">
        <w:rPr>
          <w:rFonts w:eastAsia="Arial" w:cs="Arial"/>
        </w:rPr>
        <w:t>):e</w:t>
      </w:r>
      <w:proofErr w:type="gramEnd"/>
      <w:r w:rsidRPr="00C93859">
        <w:rPr>
          <w:rFonts w:eastAsia="Arial" w:cs="Arial"/>
        </w:rPr>
        <w:t>0173722</w:t>
      </w:r>
    </w:p>
    <w:p w14:paraId="7A94220F" w14:textId="77777777" w:rsidR="00247C82" w:rsidRPr="00C93859" w:rsidRDefault="00247C82" w:rsidP="00247C82">
      <w:pPr>
        <w:rPr>
          <w:rFonts w:eastAsia="Arial" w:cs="Arial"/>
        </w:rPr>
      </w:pPr>
      <w:r w:rsidRPr="00C93859">
        <w:rPr>
          <w:rFonts w:eastAsia="Arial" w:cs="Arial"/>
        </w:rPr>
        <w:t xml:space="preserve">Mammen JSR and Cappola AR. 2021 Autoimmune Thyroid Disease in Women. </w:t>
      </w:r>
      <w:r w:rsidRPr="00C93859">
        <w:rPr>
          <w:rFonts w:eastAsia="Arial" w:cs="Arial"/>
          <w:i/>
          <w:iCs/>
        </w:rPr>
        <w:t>JAMA</w:t>
      </w:r>
      <w:r w:rsidRPr="00C93859">
        <w:rPr>
          <w:rFonts w:eastAsia="Arial" w:cs="Arial"/>
        </w:rPr>
        <w:t xml:space="preserve">. 325(23):2392-2393. </w:t>
      </w:r>
      <w:proofErr w:type="spellStart"/>
      <w:r w:rsidRPr="00C93859">
        <w:rPr>
          <w:rFonts w:eastAsia="Arial" w:cs="Arial"/>
        </w:rPr>
        <w:t>doi</w:t>
      </w:r>
      <w:proofErr w:type="spellEnd"/>
      <w:r w:rsidRPr="00C93859">
        <w:rPr>
          <w:rFonts w:eastAsia="Arial" w:cs="Arial"/>
        </w:rPr>
        <w:t>: 10.1001/jama.2020.22196. PMID: 33938930; PMCID: PMC10071442</w:t>
      </w:r>
    </w:p>
    <w:p w14:paraId="1FEB8B7E" w14:textId="77777777" w:rsidR="00247C82" w:rsidRPr="00C93859" w:rsidRDefault="00247C82" w:rsidP="00247C82">
      <w:pPr>
        <w:rPr>
          <w:rFonts w:eastAsia="Arial" w:cs="Arial"/>
        </w:rPr>
      </w:pPr>
      <w:r w:rsidRPr="00C93859">
        <w:rPr>
          <w:rFonts w:eastAsia="Arial" w:cs="Arial"/>
        </w:rPr>
        <w:t xml:space="preserve">Magri F, Zerbini F, Gaiti M, Capelli V, Croce L, Bini S, Rigamonti AE, Fiorini G, Cella SG, </w:t>
      </w:r>
      <w:proofErr w:type="spellStart"/>
      <w:r w:rsidRPr="00C93859">
        <w:rPr>
          <w:rFonts w:eastAsia="Arial" w:cs="Arial"/>
        </w:rPr>
        <w:t>Chiovato</w:t>
      </w:r>
      <w:proofErr w:type="spellEnd"/>
      <w:r w:rsidRPr="00C93859">
        <w:rPr>
          <w:rFonts w:eastAsia="Arial" w:cs="Arial"/>
        </w:rPr>
        <w:t xml:space="preserve"> L. Poverty and immigration as a barrier to iodine intake and maternal adherence to iodine supplementation. J Endocrinol Invest. 2019 Apr;42(4):435-442</w:t>
      </w:r>
    </w:p>
    <w:p w14:paraId="2A5325EF" w14:textId="77777777" w:rsidR="00247C82" w:rsidRPr="00C93859" w:rsidRDefault="00247C82" w:rsidP="00247C82">
      <w:pPr>
        <w:rPr>
          <w:rFonts w:eastAsia="Arial" w:cs="Arial"/>
        </w:rPr>
      </w:pPr>
      <w:r w:rsidRPr="00C93859">
        <w:rPr>
          <w:rFonts w:eastAsia="Arial" w:cs="Arial"/>
        </w:rPr>
        <w:t xml:space="preserve">Miller, J. C., </w:t>
      </w:r>
      <w:proofErr w:type="spellStart"/>
      <w:r w:rsidRPr="00C93859">
        <w:rPr>
          <w:rFonts w:eastAsia="Arial" w:cs="Arial"/>
        </w:rPr>
        <w:t>MacDonell</w:t>
      </w:r>
      <w:proofErr w:type="spellEnd"/>
      <w:r w:rsidRPr="00C93859">
        <w:rPr>
          <w:rFonts w:eastAsia="Arial" w:cs="Arial"/>
        </w:rPr>
        <w:t>, S. O., Gray, A. R., Reid, M. R., Barr, D. J., Thomson, C. D., &amp; Houghton, L. A. (2016). Iodine Status of New Zealand Elderly Residents in Long-Term Residential Care. </w:t>
      </w:r>
      <w:r w:rsidRPr="00C93859">
        <w:rPr>
          <w:rFonts w:eastAsia="Arial" w:cs="Arial"/>
          <w:i/>
          <w:iCs/>
        </w:rPr>
        <w:t>Nutrients</w:t>
      </w:r>
      <w:r w:rsidRPr="00C93859">
        <w:rPr>
          <w:rFonts w:eastAsia="Arial" w:cs="Arial"/>
        </w:rPr>
        <w:t>, </w:t>
      </w:r>
      <w:r w:rsidRPr="00C93859">
        <w:rPr>
          <w:rFonts w:eastAsia="Arial" w:cs="Arial"/>
          <w:i/>
          <w:iCs/>
        </w:rPr>
        <w:t>8</w:t>
      </w:r>
      <w:r w:rsidRPr="00C93859">
        <w:rPr>
          <w:rFonts w:eastAsia="Arial" w:cs="Arial"/>
        </w:rPr>
        <w:t xml:space="preserve">(8), 445. https://doi.org/10.3390/nu8080445 </w:t>
      </w:r>
    </w:p>
    <w:p w14:paraId="52E30E66" w14:textId="77777777" w:rsidR="00247C82" w:rsidRPr="00C93859" w:rsidRDefault="00247C82" w:rsidP="00247C82">
      <w:pPr>
        <w:rPr>
          <w:rFonts w:eastAsia="Arial" w:cs="Arial"/>
        </w:rPr>
      </w:pPr>
      <w:r w:rsidRPr="00C93859">
        <w:rPr>
          <w:rFonts w:eastAsia="Arial" w:cs="Arial"/>
        </w:rPr>
        <w:t xml:space="preserve">National Health and Medical Research Council. 2006. Nutrient Reference Values for Australia and New Zealand. Available from: </w:t>
      </w:r>
      <w:hyperlink r:id="rId127" w:history="1">
        <w:r w:rsidRPr="00C93859">
          <w:rPr>
            <w:rFonts w:eastAsia="Arial" w:cs="Arial"/>
            <w:color w:val="0070C0"/>
            <w:u w:val="single"/>
          </w:rPr>
          <w:t>https://www.nhmrc.gov.au/about-us/publications/nutrient-reference-values-australia-and-new-zealand-including-recommended-dietary-intakes</w:t>
        </w:r>
      </w:hyperlink>
      <w:r w:rsidRPr="00C93859">
        <w:rPr>
          <w:rFonts w:eastAsia="Arial" w:cs="Arial"/>
        </w:rPr>
        <w:t xml:space="preserve"> </w:t>
      </w:r>
    </w:p>
    <w:p w14:paraId="6BAC5151" w14:textId="77777777" w:rsidR="00247C82" w:rsidRPr="00C93859" w:rsidRDefault="00247C82" w:rsidP="00247C82">
      <w:pPr>
        <w:rPr>
          <w:rFonts w:eastAsia="Arial" w:cs="Arial"/>
        </w:rPr>
      </w:pPr>
      <w:r w:rsidRPr="00C93859">
        <w:rPr>
          <w:rFonts w:eastAsia="Arial" w:cs="Arial"/>
        </w:rPr>
        <w:t xml:space="preserve">National Health and Medical Research Council (NHMRC), 2010. Public Statement: Iodine supplementation for Pregnant and Breastfeeding Women, available from: </w:t>
      </w:r>
      <w:hyperlink r:id="rId128" w:history="1">
        <w:r w:rsidRPr="00C93859">
          <w:rPr>
            <w:rFonts w:eastAsia="Arial" w:cs="Arial"/>
            <w:color w:val="0070C0"/>
            <w:u w:val="single"/>
          </w:rPr>
          <w:t>https://www.nhmrc.gov.au/about-us/publications/iodine-supplementation-pregnant-and-breastfeeding-women</w:t>
        </w:r>
      </w:hyperlink>
      <w:r w:rsidRPr="00C93859">
        <w:rPr>
          <w:rFonts w:eastAsia="Arial" w:cs="Arial"/>
        </w:rPr>
        <w:t xml:space="preserve"> [Accessed: 30 July 2024]</w:t>
      </w:r>
    </w:p>
    <w:p w14:paraId="4CB890B4" w14:textId="77777777" w:rsidR="00247C82" w:rsidRPr="00C93859" w:rsidRDefault="00247C82" w:rsidP="00247C82">
      <w:pPr>
        <w:rPr>
          <w:rFonts w:eastAsia="Arial" w:cs="Arial"/>
        </w:rPr>
      </w:pPr>
      <w:r w:rsidRPr="00C93859">
        <w:rPr>
          <w:rFonts w:eastAsia="Arial" w:cs="Arial"/>
        </w:rPr>
        <w:t xml:space="preserve">National Health and Medical Research Council. 2011 [Report prepared by Byron A, </w:t>
      </w:r>
      <w:proofErr w:type="spellStart"/>
      <w:r w:rsidRPr="00C93859">
        <w:rPr>
          <w:rFonts w:eastAsia="Arial" w:cs="Arial"/>
        </w:rPr>
        <w:t>Baghurst</w:t>
      </w:r>
      <w:proofErr w:type="spellEnd"/>
      <w:r w:rsidRPr="00C93859">
        <w:rPr>
          <w:rFonts w:eastAsia="Arial" w:cs="Arial"/>
        </w:rPr>
        <w:t xml:space="preserve"> K, </w:t>
      </w:r>
      <w:proofErr w:type="spellStart"/>
      <w:r w:rsidRPr="00C93859">
        <w:rPr>
          <w:rFonts w:eastAsia="Arial" w:cs="Arial"/>
        </w:rPr>
        <w:t>Cobiac</w:t>
      </w:r>
      <w:proofErr w:type="spellEnd"/>
      <w:r w:rsidRPr="00C93859">
        <w:rPr>
          <w:rFonts w:eastAsia="Arial" w:cs="Arial"/>
        </w:rPr>
        <w:t xml:space="preserve"> L, </w:t>
      </w:r>
      <w:proofErr w:type="spellStart"/>
      <w:r w:rsidRPr="00C93859">
        <w:rPr>
          <w:rFonts w:eastAsia="Arial" w:cs="Arial"/>
        </w:rPr>
        <w:t>Baghurst</w:t>
      </w:r>
      <w:proofErr w:type="spellEnd"/>
      <w:r w:rsidRPr="00C93859">
        <w:rPr>
          <w:rFonts w:eastAsia="Arial" w:cs="Arial"/>
        </w:rPr>
        <w:t xml:space="preserve"> P, Magarey A on behalf of Dietitians Association of Australia]. 2008. A modelling system to inform the revision of the Australian Guide to Healthy Eating. Available from: </w:t>
      </w:r>
      <w:hyperlink r:id="rId129" w:history="1">
        <w:r w:rsidRPr="00C93859">
          <w:rPr>
            <w:rFonts w:eastAsia="Arial" w:cs="Arial"/>
            <w:color w:val="0070C0"/>
            <w:u w:val="single"/>
          </w:rPr>
          <w:t>https://www.eatforhealth.gov.au/sites/default/files/files/the_guidelines/n55c_dietary_guidelines_food_modelling.pdf</w:t>
        </w:r>
      </w:hyperlink>
      <w:r w:rsidRPr="00C93859">
        <w:rPr>
          <w:rFonts w:eastAsia="Arial" w:cs="Arial"/>
        </w:rPr>
        <w:t xml:space="preserve"> [Accessed 2 June 2025]</w:t>
      </w:r>
    </w:p>
    <w:p w14:paraId="5F942207" w14:textId="77777777" w:rsidR="00247C82" w:rsidRPr="00C93859" w:rsidRDefault="00247C82" w:rsidP="00247C82">
      <w:pPr>
        <w:rPr>
          <w:rFonts w:eastAsia="Arial" w:cs="Arial"/>
        </w:rPr>
      </w:pPr>
      <w:r w:rsidRPr="00C93859">
        <w:rPr>
          <w:rFonts w:eastAsia="Arial" w:cs="Arial"/>
        </w:rPr>
        <w:t xml:space="preserve">New Zealand Ministry of Health (NZ MoH), 2020. Biomedical Data Explorer 2014/15: New Zealand Health Survey - Iodine data files, available from: </w:t>
      </w:r>
      <w:hyperlink r:id="rId130" w:history="1">
        <w:r w:rsidRPr="00C93859">
          <w:rPr>
            <w:rFonts w:eastAsia="Arial" w:cs="Arial"/>
            <w:color w:val="0070C0"/>
            <w:u w:val="single"/>
          </w:rPr>
          <w:t>minhealthnz.shinyapps.io/nz-health-survey-2014-15-biomedical/</w:t>
        </w:r>
      </w:hyperlink>
      <w:r w:rsidRPr="00C93859">
        <w:rPr>
          <w:rFonts w:eastAsia="Arial" w:cs="Arial"/>
        </w:rPr>
        <w:t xml:space="preserve"> (accessed 30 July 2024)</w:t>
      </w:r>
    </w:p>
    <w:p w14:paraId="50EA622D" w14:textId="77777777" w:rsidR="00247C82" w:rsidRPr="00C93859" w:rsidRDefault="00247C82" w:rsidP="00247C82">
      <w:pPr>
        <w:rPr>
          <w:rFonts w:eastAsia="Arial" w:cs="Arial"/>
        </w:rPr>
      </w:pPr>
      <w:r w:rsidRPr="00C93859">
        <w:rPr>
          <w:rFonts w:eastAsia="Arial" w:cs="Arial"/>
        </w:rPr>
        <w:t xml:space="preserve">Paul T, Meyers B, </w:t>
      </w:r>
      <w:proofErr w:type="spellStart"/>
      <w:r w:rsidRPr="00C93859">
        <w:rPr>
          <w:rFonts w:eastAsia="Arial" w:cs="Arial"/>
        </w:rPr>
        <w:t>Witorsch</w:t>
      </w:r>
      <w:proofErr w:type="spellEnd"/>
      <w:r w:rsidRPr="00C93859">
        <w:rPr>
          <w:rFonts w:eastAsia="Arial" w:cs="Arial"/>
        </w:rPr>
        <w:t xml:space="preserve"> RJ, Pino S, Chipkin S, </w:t>
      </w:r>
      <w:proofErr w:type="spellStart"/>
      <w:r w:rsidRPr="00C93859">
        <w:rPr>
          <w:rFonts w:eastAsia="Arial" w:cs="Arial"/>
        </w:rPr>
        <w:t>Ingbar</w:t>
      </w:r>
      <w:proofErr w:type="spellEnd"/>
      <w:r w:rsidRPr="00C93859">
        <w:rPr>
          <w:rFonts w:eastAsia="Arial" w:cs="Arial"/>
        </w:rPr>
        <w:t xml:space="preserve"> SH, Braverman LE. 1988. The effect of small increases in dietary iodine on thyroid function in euthyroid subjects. </w:t>
      </w:r>
      <w:r w:rsidRPr="00C93859">
        <w:rPr>
          <w:rFonts w:eastAsia="Arial" w:cs="Arial"/>
          <w:i/>
          <w:iCs/>
        </w:rPr>
        <w:t>Metabolism</w:t>
      </w:r>
      <w:r w:rsidRPr="00C93859">
        <w:rPr>
          <w:rFonts w:eastAsia="Arial" w:cs="Arial"/>
        </w:rPr>
        <w:t>. 37(2):121-4</w:t>
      </w:r>
    </w:p>
    <w:p w14:paraId="4AC526F2" w14:textId="77777777" w:rsidR="00247C82" w:rsidRPr="00C93859" w:rsidRDefault="00247C82" w:rsidP="00247C82">
      <w:pPr>
        <w:rPr>
          <w:rFonts w:eastAsia="Arial" w:cs="Arial"/>
        </w:rPr>
      </w:pPr>
      <w:proofErr w:type="spellStart"/>
      <w:r w:rsidRPr="00C93859">
        <w:rPr>
          <w:rFonts w:eastAsia="Arial" w:cs="Arial"/>
        </w:rPr>
        <w:t>Peniamina</w:t>
      </w:r>
      <w:proofErr w:type="spellEnd"/>
      <w:r w:rsidRPr="00C93859">
        <w:rPr>
          <w:rFonts w:eastAsia="Arial" w:cs="Arial"/>
        </w:rPr>
        <w:t xml:space="preserve"> R, </w:t>
      </w:r>
      <w:proofErr w:type="spellStart"/>
      <w:r w:rsidRPr="00C93859">
        <w:rPr>
          <w:rFonts w:eastAsia="Arial" w:cs="Arial"/>
        </w:rPr>
        <w:t>Skeaff</w:t>
      </w:r>
      <w:proofErr w:type="spellEnd"/>
      <w:r w:rsidRPr="00C93859">
        <w:rPr>
          <w:rFonts w:eastAsia="Arial" w:cs="Arial"/>
        </w:rPr>
        <w:t xml:space="preserve"> S, Haszard JJ, McLean R. Comparison of 24-h Diet Records, 24-h Urine, and Duplicate Diets for Estimating Dietary Intakes of Potassium, Sodium, and Iodine in Children. </w:t>
      </w:r>
      <w:r w:rsidRPr="00C93859">
        <w:rPr>
          <w:rFonts w:eastAsia="Arial" w:cs="Arial"/>
          <w:i/>
          <w:iCs/>
        </w:rPr>
        <w:t>Nutrients</w:t>
      </w:r>
      <w:r w:rsidRPr="00C93859">
        <w:rPr>
          <w:rFonts w:eastAsia="Arial" w:cs="Arial"/>
        </w:rPr>
        <w:t xml:space="preserve">. 2019; 11(12):2927. </w:t>
      </w:r>
      <w:proofErr w:type="gramStart"/>
      <w:r w:rsidRPr="00C93859">
        <w:rPr>
          <w:rFonts w:eastAsia="Arial" w:cs="Arial"/>
        </w:rPr>
        <w:t>https://doi.org/10.3390/nu11122927 .</w:t>
      </w:r>
      <w:proofErr w:type="gramEnd"/>
    </w:p>
    <w:p w14:paraId="08740083" w14:textId="77777777" w:rsidR="00247C82" w:rsidRPr="00C93859" w:rsidRDefault="00247C82" w:rsidP="00247C82">
      <w:pPr>
        <w:rPr>
          <w:rFonts w:eastAsia="Arial" w:cs="Arial"/>
        </w:rPr>
      </w:pPr>
      <w:r w:rsidRPr="00C93859">
        <w:rPr>
          <w:rFonts w:eastAsia="Arial" w:cs="Arial"/>
        </w:rPr>
        <w:t xml:space="preserve">Razvi S, Weaver JU, Vanderpump MP, Pearce SH. 2010. The incidence of ischemic heart disease and mortality in people with subclinical hypothyroidism: reanalysis of the Whickham Survey cohort. </w:t>
      </w:r>
      <w:r w:rsidRPr="00C93859">
        <w:rPr>
          <w:rFonts w:eastAsia="Arial" w:cs="Arial"/>
          <w:i/>
          <w:iCs/>
        </w:rPr>
        <w:t xml:space="preserve">J Clin Endocrinol </w:t>
      </w:r>
      <w:proofErr w:type="spellStart"/>
      <w:r w:rsidRPr="00C93859">
        <w:rPr>
          <w:rFonts w:eastAsia="Arial" w:cs="Arial"/>
          <w:i/>
          <w:iCs/>
        </w:rPr>
        <w:t>Metab</w:t>
      </w:r>
      <w:proofErr w:type="spellEnd"/>
      <w:r w:rsidRPr="00C93859">
        <w:rPr>
          <w:rFonts w:eastAsia="Arial" w:cs="Arial"/>
          <w:i/>
          <w:iCs/>
        </w:rPr>
        <w:t>,</w:t>
      </w:r>
      <w:r w:rsidRPr="00C93859">
        <w:rPr>
          <w:rFonts w:eastAsia="Arial" w:cs="Arial"/>
        </w:rPr>
        <w:t xml:space="preserve"> 95(4):1734-40</w:t>
      </w:r>
    </w:p>
    <w:p w14:paraId="654458F6" w14:textId="77777777" w:rsidR="00247C82" w:rsidRPr="00C93859" w:rsidRDefault="00247C82" w:rsidP="00247C82">
      <w:pPr>
        <w:rPr>
          <w:rFonts w:eastAsia="Arial" w:cs="Arial"/>
        </w:rPr>
      </w:pPr>
      <w:r w:rsidRPr="00C93859">
        <w:rPr>
          <w:rFonts w:eastAsia="Arial" w:cs="Arial"/>
        </w:rPr>
        <w:t xml:space="preserve">Riverola C, Harrington S, Ruby M, </w:t>
      </w:r>
      <w:proofErr w:type="spellStart"/>
      <w:r w:rsidRPr="00C93859">
        <w:rPr>
          <w:rFonts w:eastAsia="Arial" w:cs="Arial"/>
        </w:rPr>
        <w:t>Dedehayir</w:t>
      </w:r>
      <w:proofErr w:type="spellEnd"/>
      <w:r w:rsidRPr="00C93859">
        <w:rPr>
          <w:rFonts w:eastAsia="Arial" w:cs="Arial"/>
        </w:rPr>
        <w:t xml:space="preserve"> O, Morris R, Laurence C. 2023. Consumer views on plant-based </w:t>
      </w:r>
      <w:proofErr w:type="gramStart"/>
      <w:r w:rsidRPr="00C93859">
        <w:rPr>
          <w:rFonts w:eastAsia="Arial" w:cs="Arial"/>
        </w:rPr>
        <w:t>foods :</w:t>
      </w:r>
      <w:proofErr w:type="gramEnd"/>
      <w:r w:rsidRPr="00C93859">
        <w:rPr>
          <w:rFonts w:eastAsia="Arial" w:cs="Arial"/>
        </w:rPr>
        <w:t xml:space="preserve"> Australian sample. Griffith Research Repository, available from: </w:t>
      </w:r>
      <w:hyperlink r:id="rId131" w:history="1">
        <w:r w:rsidRPr="00C93859">
          <w:rPr>
            <w:rFonts w:eastAsia="Arial" w:cs="Arial"/>
            <w:color w:val="0070C0"/>
            <w:u w:val="single"/>
          </w:rPr>
          <w:t>https://research-repository.griffith.edu.au/server/api/core/bitstreams/f238a2f5-7201-4af0-8159-09eb991fa604/content</w:t>
        </w:r>
      </w:hyperlink>
      <w:r w:rsidRPr="00C93859">
        <w:rPr>
          <w:rFonts w:eastAsia="Arial" w:cs="Arial"/>
        </w:rPr>
        <w:t xml:space="preserve"> (accessed 1 July 2025) </w:t>
      </w:r>
    </w:p>
    <w:p w14:paraId="0A15B820" w14:textId="77777777" w:rsidR="00247C82" w:rsidRPr="00C93859" w:rsidRDefault="00247C82" w:rsidP="00247C82">
      <w:pPr>
        <w:rPr>
          <w:rFonts w:eastAsia="Arial" w:cs="Arial"/>
        </w:rPr>
      </w:pPr>
      <w:r w:rsidRPr="00C93859">
        <w:rPr>
          <w:rFonts w:eastAsia="Arial" w:cs="Arial"/>
        </w:rPr>
        <w:t>Roy Morgan Research (2016) Vegetarianism on the Rise in New Zealand [press release]; available at </w:t>
      </w:r>
      <w:hyperlink r:id="rId132" w:tgtFrame="_blank" w:history="1">
        <w:r w:rsidRPr="00C93859">
          <w:rPr>
            <w:rFonts w:eastAsia="Arial" w:cs="Arial"/>
            <w:color w:val="0070C0"/>
            <w:u w:val="single"/>
          </w:rPr>
          <w:t>https://www.roymorgan.com/findings/vegetarianism-on-the-rise-in-new-zealand</w:t>
        </w:r>
      </w:hyperlink>
      <w:r w:rsidRPr="00C93859">
        <w:rPr>
          <w:rFonts w:eastAsia="Arial" w:cs="Arial"/>
        </w:rPr>
        <w:t> (accessed 1 July 2025).</w:t>
      </w:r>
    </w:p>
    <w:p w14:paraId="7E456688" w14:textId="77777777" w:rsidR="00247C82" w:rsidRPr="00C93859" w:rsidRDefault="00247C82" w:rsidP="00247C82">
      <w:pPr>
        <w:rPr>
          <w:rFonts w:eastAsia="Arial" w:cs="Arial"/>
        </w:rPr>
      </w:pPr>
      <w:r w:rsidRPr="00C93859">
        <w:rPr>
          <w:rFonts w:eastAsia="Arial" w:cs="Arial"/>
        </w:rPr>
        <w:t>Sang Z, Wang PP, Yao Z, Shen J, Halfyard B, Tan L, Zhao N, Wu Y, Gao S, Tan J, Liu J, Chen Z, Zhang W. 2012. Exploration of the safe upper level of iodine intake in euthyroid Chinese adults: a randomized double-blind trial. Am J Clin Nutr. 95(2):367-73.</w:t>
      </w:r>
    </w:p>
    <w:p w14:paraId="477B777A" w14:textId="77777777" w:rsidR="00247C82" w:rsidRPr="00C93859" w:rsidRDefault="00247C82" w:rsidP="00247C82">
      <w:pPr>
        <w:rPr>
          <w:rFonts w:eastAsia="Arial" w:cs="Arial"/>
          <w:highlight w:val="yellow"/>
        </w:rPr>
      </w:pPr>
      <w:r w:rsidRPr="00C93859">
        <w:rPr>
          <w:rFonts w:eastAsia="Arial" w:cs="Arial"/>
        </w:rPr>
        <w:t xml:space="preserve">Shi X, Han C, Li C, Mao J, Wang W, Xie X, Li C, Xu B, Meng T, Du J, Zhang S, et. al. 2015. Optimal and Safe Upper Limits of Iodine Intake for Early Pregnancy in Iodine-Sufficient Regions: A Cross-Sectional Study of 7190 Pregnant Women in China, </w:t>
      </w:r>
      <w:r w:rsidRPr="00C93859">
        <w:rPr>
          <w:rFonts w:eastAsia="Arial" w:cs="Arial"/>
          <w:i/>
          <w:iCs/>
        </w:rPr>
        <w:t>The Journal of Clinical Endocrinology &amp; Metabolism</w:t>
      </w:r>
      <w:r w:rsidRPr="00C93859">
        <w:rPr>
          <w:rFonts w:eastAsia="Arial" w:cs="Arial"/>
        </w:rPr>
        <w:t>, 100 (4): 1630</w:t>
      </w:r>
      <w:r>
        <w:rPr>
          <w:rFonts w:eastAsia="Arial" w:cs="Arial"/>
        </w:rPr>
        <w:t>-</w:t>
      </w:r>
      <w:r w:rsidRPr="00C93859">
        <w:rPr>
          <w:rFonts w:eastAsia="Arial" w:cs="Arial"/>
        </w:rPr>
        <w:t>1638.</w:t>
      </w:r>
    </w:p>
    <w:p w14:paraId="66A357C3" w14:textId="77777777" w:rsidR="00247C82" w:rsidRPr="00C93859" w:rsidRDefault="00247C82" w:rsidP="00247C82">
      <w:pPr>
        <w:rPr>
          <w:rFonts w:eastAsia="Arial" w:cs="Arial"/>
        </w:rPr>
      </w:pPr>
      <w:proofErr w:type="spellStart"/>
      <w:r w:rsidRPr="00C93859">
        <w:rPr>
          <w:rFonts w:eastAsia="Arial" w:cs="Arial"/>
        </w:rPr>
        <w:t>Skeaff</w:t>
      </w:r>
      <w:proofErr w:type="spellEnd"/>
      <w:r w:rsidRPr="00C93859">
        <w:rPr>
          <w:rFonts w:eastAsia="Arial" w:cs="Arial"/>
        </w:rPr>
        <w:t xml:space="preserve"> SA, Lonsdale-Cooper E. Mandatory fortification of bread with iodised salt modestly improves iodine status in schoolchildren. Br J Nutr. 2013 Mar 28;109(6):1109-13. </w:t>
      </w:r>
      <w:proofErr w:type="spellStart"/>
      <w:r w:rsidRPr="00C93859">
        <w:rPr>
          <w:rFonts w:eastAsia="Arial" w:cs="Arial"/>
        </w:rPr>
        <w:t>doi</w:t>
      </w:r>
      <w:proofErr w:type="spellEnd"/>
      <w:r w:rsidRPr="00C93859">
        <w:rPr>
          <w:rFonts w:eastAsia="Arial" w:cs="Arial"/>
        </w:rPr>
        <w:t xml:space="preserve">: 10.1017/S0007114512003236. </w:t>
      </w:r>
      <w:proofErr w:type="spellStart"/>
      <w:r w:rsidRPr="00C93859">
        <w:rPr>
          <w:rFonts w:eastAsia="Arial" w:cs="Arial"/>
        </w:rPr>
        <w:t>Epub</w:t>
      </w:r>
      <w:proofErr w:type="spellEnd"/>
      <w:r w:rsidRPr="00C93859">
        <w:rPr>
          <w:rFonts w:eastAsia="Arial" w:cs="Arial"/>
        </w:rPr>
        <w:t xml:space="preserve"> 2012 Jul 31. PMID: 22849786</w:t>
      </w:r>
    </w:p>
    <w:p w14:paraId="236AC8E1" w14:textId="77777777" w:rsidR="00247C82" w:rsidRPr="00C93859" w:rsidRDefault="00247C82" w:rsidP="00247C82">
      <w:pPr>
        <w:rPr>
          <w:rFonts w:eastAsia="Arial" w:cs="Arial"/>
        </w:rPr>
      </w:pPr>
      <w:r w:rsidRPr="00C93859">
        <w:rPr>
          <w:rFonts w:eastAsia="Arial" w:cs="Arial"/>
        </w:rPr>
        <w:t xml:space="preserve">Thomson CD, Smith TE, Butler KA, Packer MA. An evaluation of urinary measures of iodine and selenium status. J Trace Elem Med Biol. 1996 Dec;10(4):214-22. </w:t>
      </w:r>
      <w:proofErr w:type="spellStart"/>
      <w:r w:rsidRPr="00C93859">
        <w:rPr>
          <w:rFonts w:eastAsia="Arial" w:cs="Arial"/>
        </w:rPr>
        <w:t>doi</w:t>
      </w:r>
      <w:proofErr w:type="spellEnd"/>
      <w:r w:rsidRPr="00C93859">
        <w:rPr>
          <w:rFonts w:eastAsia="Arial" w:cs="Arial"/>
        </w:rPr>
        <w:t>: 10.1016/S0946-672</w:t>
      </w:r>
      <w:proofErr w:type="gramStart"/>
      <w:r w:rsidRPr="00C93859">
        <w:rPr>
          <w:rFonts w:eastAsia="Arial" w:cs="Arial"/>
        </w:rPr>
        <w:t>X(</w:t>
      </w:r>
      <w:proofErr w:type="gramEnd"/>
      <w:r w:rsidRPr="00C93859">
        <w:rPr>
          <w:rFonts w:eastAsia="Arial" w:cs="Arial"/>
        </w:rPr>
        <w:t>96)80038-1. PMID: 9021672.)</w:t>
      </w:r>
    </w:p>
    <w:p w14:paraId="52A92EF0" w14:textId="77777777" w:rsidR="00247C82" w:rsidRPr="00C93859" w:rsidRDefault="00247C82" w:rsidP="00247C82">
      <w:pPr>
        <w:rPr>
          <w:rFonts w:eastAsia="Arial" w:cs="Arial"/>
        </w:rPr>
      </w:pPr>
      <w:r w:rsidRPr="00C93859">
        <w:rPr>
          <w:rFonts w:eastAsia="Arial" w:cs="Arial"/>
        </w:rPr>
        <w:t xml:space="preserve">United Kingdom Food Standards Agency Committee on Toxicity (UK FSA COT). 2022. Statement on the potential effects that excess iodine intake may have during preconception, pregnancy and lactation. Available online:  </w:t>
      </w:r>
      <w:hyperlink r:id="rId133" w:history="1">
        <w:r w:rsidRPr="00C93859">
          <w:rPr>
            <w:rFonts w:eastAsia="Arial" w:cs="Arial"/>
            <w:color w:val="0070C0"/>
            <w:u w:val="single"/>
          </w:rPr>
          <w:t>https://cot.food.gov.uk/Statement%20on%20the%20potential%20effects%20that%20excess%20iodine%20intake%20may%20have%20during%20preconception,%20pregnancy%20and%20lactation</w:t>
        </w:r>
      </w:hyperlink>
      <w:r w:rsidRPr="00C93859">
        <w:rPr>
          <w:rFonts w:eastAsia="Arial" w:cs="Arial"/>
        </w:rPr>
        <w:t xml:space="preserve"> [Accessed 8 July 2025].</w:t>
      </w:r>
    </w:p>
    <w:p w14:paraId="3F7A86CD" w14:textId="77777777" w:rsidR="00247C82" w:rsidRPr="00C93859" w:rsidRDefault="00247C82" w:rsidP="00247C82">
      <w:pPr>
        <w:rPr>
          <w:rFonts w:eastAsia="Arial" w:cs="Arial"/>
        </w:rPr>
      </w:pPr>
      <w:r w:rsidRPr="00C93859">
        <w:rPr>
          <w:rFonts w:eastAsia="Arial" w:cs="Arial"/>
        </w:rPr>
        <w:lastRenderedPageBreak/>
        <w:t xml:space="preserve">United Kingdom Scientific Advisory Committee on Nutrition (UK SACN), 2014. SACN Statement on Iodine and Health. </w:t>
      </w:r>
      <w:hyperlink r:id="rId134" w:history="1">
        <w:r w:rsidRPr="00C93859">
          <w:rPr>
            <w:rFonts w:eastAsia="Arial" w:cs="Arial"/>
            <w:color w:val="0070C0"/>
            <w:u w:val="single"/>
          </w:rPr>
          <w:t>https://assets.publishing.service.gov.uk/media/5a7e469ced915d74e62253f3/SACN_Iodine_and_Health_2014.pdf</w:t>
        </w:r>
      </w:hyperlink>
      <w:r w:rsidRPr="00C93859">
        <w:rPr>
          <w:rFonts w:eastAsia="Arial" w:cs="Arial"/>
        </w:rPr>
        <w:t xml:space="preserve"> [Accessed 22 July 2024].</w:t>
      </w:r>
    </w:p>
    <w:p w14:paraId="5A92499A" w14:textId="77777777" w:rsidR="00247C82" w:rsidRPr="00C93859" w:rsidRDefault="00247C82" w:rsidP="00247C82">
      <w:pPr>
        <w:rPr>
          <w:rFonts w:eastAsia="Arial" w:cs="Arial"/>
        </w:rPr>
      </w:pPr>
      <w:r w:rsidRPr="00C93859">
        <w:rPr>
          <w:rFonts w:eastAsia="Arial" w:cs="Arial"/>
        </w:rPr>
        <w:t>US IOM (Institute of Medicine), 2001. Dietary Reference Intakes for vitamin A, vitamin K, arsenic, boron, chromium, copper, iodine, iron, manganese, molybdenum, nickel, silicon, vanadium, and zinc. National Academies Press, Washington DC, USA, 797 pp.</w:t>
      </w:r>
    </w:p>
    <w:p w14:paraId="391E7EB3" w14:textId="77777777" w:rsidR="00247C82" w:rsidRPr="00C93859" w:rsidRDefault="00247C82" w:rsidP="00247C82">
      <w:pPr>
        <w:rPr>
          <w:rFonts w:eastAsia="Arial" w:cs="Arial"/>
        </w:rPr>
      </w:pPr>
      <w:r w:rsidRPr="00C93859">
        <w:rPr>
          <w:rFonts w:eastAsia="Arial" w:cs="Arial"/>
          <w:noProof/>
        </w:rPr>
        <w:t>World Health Organization (WHO) and Food and Agriculture Organization (FAO) of the United Nations (UN), 2004. Vitamin and mineral requirements in human nutrition. Second edition. Joint FAO/WHO Expert Consultation Report. Geneva: World Health Organisation.</w:t>
      </w:r>
    </w:p>
    <w:p w14:paraId="61EF6620" w14:textId="77777777" w:rsidR="00247C82" w:rsidRPr="00C93859" w:rsidRDefault="00247C82" w:rsidP="00247C82">
      <w:pPr>
        <w:rPr>
          <w:rFonts w:eastAsia="Arial" w:cs="Arial"/>
          <w:highlight w:val="yellow"/>
        </w:rPr>
      </w:pPr>
      <w:r w:rsidRPr="00C93859">
        <w:rPr>
          <w:rFonts w:eastAsia="Arial" w:cs="Arial"/>
        </w:rPr>
        <w:t xml:space="preserve">World Health Organization (WHO). </w:t>
      </w:r>
      <w:r w:rsidRPr="00C93859">
        <w:rPr>
          <w:rFonts w:eastAsia="Arial" w:cs="Courier New"/>
        </w:rPr>
        <w:t>‎</w:t>
      </w:r>
      <w:r w:rsidRPr="00C93859">
        <w:rPr>
          <w:rFonts w:eastAsia="Arial" w:cs="Arial"/>
        </w:rPr>
        <w:t>2007</w:t>
      </w:r>
      <w:r w:rsidRPr="00C93859">
        <w:rPr>
          <w:rFonts w:eastAsia="Arial" w:cs="Courier New"/>
        </w:rPr>
        <w:t>‎</w:t>
      </w:r>
      <w:r w:rsidRPr="00C93859">
        <w:rPr>
          <w:rFonts w:eastAsia="Arial" w:cs="Arial"/>
        </w:rPr>
        <w:t>.</w:t>
      </w:r>
      <w:r w:rsidRPr="00C93859">
        <w:rPr>
          <w:rFonts w:eastAsia="Arial" w:cs="Gotham Book"/>
        </w:rPr>
        <w:t> </w:t>
      </w:r>
      <w:r w:rsidRPr="00C93859">
        <w:rPr>
          <w:rFonts w:eastAsia="Arial" w:cs="Arial"/>
        </w:rPr>
        <w:t xml:space="preserve">Assessment of iodine deficiency disorders and monitoring their </w:t>
      </w:r>
      <w:proofErr w:type="gramStart"/>
      <w:r w:rsidRPr="00C93859">
        <w:rPr>
          <w:rFonts w:eastAsia="Arial" w:cs="Arial"/>
        </w:rPr>
        <w:t>elimination :</w:t>
      </w:r>
      <w:proofErr w:type="gramEnd"/>
      <w:r w:rsidRPr="00C93859">
        <w:rPr>
          <w:rFonts w:eastAsia="Arial" w:cs="Arial"/>
        </w:rPr>
        <w:t xml:space="preserve"> a guide for programme managers, 3rd ed.</w:t>
      </w:r>
      <w:r w:rsidRPr="00C93859">
        <w:rPr>
          <w:rFonts w:eastAsia="Arial" w:cs="Gotham Book"/>
        </w:rPr>
        <w:t> </w:t>
      </w:r>
      <w:r w:rsidRPr="00C93859">
        <w:rPr>
          <w:rFonts w:eastAsia="Arial" w:cs="Arial"/>
        </w:rPr>
        <w:t>World Health Organization.</w:t>
      </w:r>
      <w:r w:rsidRPr="00C93859">
        <w:rPr>
          <w:rFonts w:eastAsia="Arial" w:cs="Gotham Book"/>
        </w:rPr>
        <w:t> </w:t>
      </w:r>
      <w:hyperlink r:id="rId135" w:history="1">
        <w:r w:rsidRPr="00C93859">
          <w:rPr>
            <w:rFonts w:eastAsia="Arial" w:cs="Arial"/>
            <w:color w:val="0070C0"/>
            <w:u w:val="single"/>
          </w:rPr>
          <w:t>https://iris.who.int/handle/10665/43781</w:t>
        </w:r>
      </w:hyperlink>
      <w:r w:rsidRPr="00C93859">
        <w:rPr>
          <w:rFonts w:eastAsia="Arial" w:cs="Arial"/>
        </w:rPr>
        <w:t xml:space="preserve"> (Accessed 30 July 2024)</w:t>
      </w:r>
    </w:p>
    <w:p w14:paraId="382DD64E" w14:textId="77777777" w:rsidR="00247C82" w:rsidRPr="00C93859" w:rsidRDefault="00247C82" w:rsidP="00247C82">
      <w:pPr>
        <w:rPr>
          <w:rFonts w:eastAsia="Arial" w:cs="Arial"/>
        </w:rPr>
      </w:pPr>
      <w:r w:rsidRPr="00C93859">
        <w:rPr>
          <w:rFonts w:eastAsia="Arial" w:cs="Arial"/>
        </w:rPr>
        <w:t xml:space="preserve">World Health Organization (WHO). 2013. Urinary iodine concentrations for determining iodine status in populations, Vitamin and Mineral Nutrition Information System. Geneva: </w:t>
      </w:r>
      <w:r w:rsidRPr="00C93859">
        <w:rPr>
          <w:rFonts w:eastAsia="Arial" w:cs="Arial"/>
          <w:i/>
          <w:iCs/>
        </w:rPr>
        <w:t>World Health Organization</w:t>
      </w:r>
      <w:r w:rsidRPr="00C93859">
        <w:rPr>
          <w:rFonts w:eastAsia="Arial" w:cs="Arial"/>
        </w:rPr>
        <w:t xml:space="preserve"> </w:t>
      </w:r>
      <w:hyperlink r:id="rId136" w:history="1">
        <w:r w:rsidRPr="00C93859">
          <w:rPr>
            <w:rFonts w:eastAsia="Arial" w:cs="Arial"/>
            <w:color w:val="0070C0"/>
            <w:u w:val="single"/>
          </w:rPr>
          <w:t>https://www.who.int/publications/i/item/WHO-NMH-NHD-EPG-13.1</w:t>
        </w:r>
      </w:hyperlink>
      <w:r w:rsidRPr="00C93859">
        <w:rPr>
          <w:rFonts w:eastAsia="Arial" w:cs="Arial"/>
        </w:rPr>
        <w:t xml:space="preserve"> (Accessed 31 July 2024)</w:t>
      </w:r>
    </w:p>
    <w:p w14:paraId="518351C4" w14:textId="77777777" w:rsidR="00247C82" w:rsidRPr="00C93859" w:rsidRDefault="00247C82" w:rsidP="00247C82">
      <w:pPr>
        <w:rPr>
          <w:rFonts w:eastAsia="Arial" w:cs="Arial"/>
        </w:rPr>
      </w:pPr>
      <w:r w:rsidRPr="00C93859">
        <w:rPr>
          <w:rFonts w:eastAsia="Arial" w:cs="Arial"/>
        </w:rPr>
        <w:t>Wu W, Guo W, Zhang N, Gao M, Zhang K, Pearce EN, Li S, Ren Z, Yang Y, Wang C, et al. 2023. Adverse Effects on the Thyroid of Chinese Pregnant Women Exposed to Long-Term Iodine Excess: Optimal and Safe Tolerable Upper Intake Levels of Iodine. </w:t>
      </w:r>
      <w:r w:rsidRPr="00C93859">
        <w:rPr>
          <w:rFonts w:eastAsia="Arial" w:cs="Arial"/>
          <w:i/>
          <w:iCs/>
        </w:rPr>
        <w:t>Nutrients</w:t>
      </w:r>
      <w:r w:rsidRPr="00C93859">
        <w:rPr>
          <w:rFonts w:eastAsia="Arial" w:cs="Arial"/>
        </w:rPr>
        <w:t xml:space="preserve">. 15(7):1635. </w:t>
      </w:r>
    </w:p>
    <w:p w14:paraId="35E4A777" w14:textId="77777777" w:rsidR="00247C82" w:rsidRPr="00FD49EA" w:rsidRDefault="00247C82" w:rsidP="00247C82"/>
    <w:p w14:paraId="0916859E" w14:textId="77777777" w:rsidR="00247C82" w:rsidRPr="001025A2" w:rsidRDefault="00247C82" w:rsidP="001025A2"/>
    <w:sectPr w:rsidR="00247C82" w:rsidRPr="001025A2" w:rsidSect="00D75D51">
      <w:headerReference w:type="even" r:id="rId137"/>
      <w:headerReference w:type="default" r:id="rId138"/>
      <w:footerReference w:type="default" r:id="rId139"/>
      <w:headerReference w:type="first" r:id="rId140"/>
      <w:footerReference w:type="first" r:id="rId141"/>
      <w:pgSz w:w="16838" w:h="11906" w:orient="landscape" w:code="9"/>
      <w:pgMar w:top="907" w:right="1814" w:bottom="1134" w:left="1565" w:header="51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5FB23" w14:textId="77777777" w:rsidR="00027DF4" w:rsidRDefault="00027DF4">
      <w:pPr>
        <w:spacing w:before="0" w:after="0" w:line="240" w:lineRule="auto"/>
      </w:pPr>
      <w:r>
        <w:separator/>
      </w:r>
    </w:p>
  </w:endnote>
  <w:endnote w:type="continuationSeparator" w:id="0">
    <w:p w14:paraId="0C0B4294" w14:textId="77777777" w:rsidR="00027DF4" w:rsidRDefault="00027D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tham Book">
    <w:panose1 w:val="00000000000000000000"/>
    <w:charset w:val="00"/>
    <w:family w:val="modern"/>
    <w:notTrueType/>
    <w:pitch w:val="variable"/>
    <w:sig w:usb0="A00002FF" w:usb1="40000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otham Medium">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panose1 w:val="00000000000000000000"/>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dvP7DA6">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Helvetica">
    <w:panose1 w:val="020B05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55AE" w14:textId="77777777" w:rsidR="00BE4282" w:rsidRDefault="00BE42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510FCB" w:rsidRPr="00FF1AAF" w14:paraId="0F9BDC8B" w14:textId="77777777">
      <w:tc>
        <w:tcPr>
          <w:tcW w:w="1736" w:type="dxa"/>
          <w:tcBorders>
            <w:top w:val="nil"/>
            <w:bottom w:val="single" w:sz="8" w:space="0" w:color="4BACC6"/>
          </w:tcBorders>
        </w:tcPr>
        <w:p w14:paraId="600B6F0F" w14:textId="77777777" w:rsidR="00510FCB" w:rsidRPr="00FF1AAF" w:rsidRDefault="00510FCB" w:rsidP="00E315C1">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31B06C97" w14:textId="77777777" w:rsidR="00510FCB" w:rsidRPr="00FF1AAF" w:rsidRDefault="00510FCB" w:rsidP="00E315C1">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5842A409" w14:textId="77777777" w:rsidR="00510FCB" w:rsidRPr="00FF1AAF" w:rsidRDefault="00510FCB" w:rsidP="00E315C1">
          <w:pPr>
            <w:pStyle w:val="Footer"/>
            <w:tabs>
              <w:tab w:val="clear" w:pos="4513"/>
              <w:tab w:val="clear" w:pos="9026"/>
              <w:tab w:val="center" w:pos="7230"/>
              <w:tab w:val="right" w:pos="10206"/>
            </w:tabs>
            <w:rPr>
              <w:rFonts w:ascii="Gotham Book" w:hAnsi="Gotham Book" w:cs="Arial"/>
              <w:sz w:val="18"/>
            </w:rPr>
          </w:pPr>
        </w:p>
      </w:tc>
    </w:tr>
    <w:tr w:rsidR="00510FCB" w:rsidRPr="00FF1AAF" w14:paraId="04CEBC18" w14:textId="77777777">
      <w:tc>
        <w:tcPr>
          <w:tcW w:w="1736" w:type="dxa"/>
          <w:tcBorders>
            <w:top w:val="single" w:sz="8" w:space="0" w:color="4BACC6"/>
          </w:tcBorders>
        </w:tcPr>
        <w:p w14:paraId="696869DB" w14:textId="77777777" w:rsidR="00510FCB" w:rsidRPr="00FF1AAF" w:rsidRDefault="00510FCB" w:rsidP="00E315C1">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198" w:type="dxa"/>
          <w:tcBorders>
            <w:top w:val="single" w:sz="8" w:space="0" w:color="4BACC6"/>
          </w:tcBorders>
        </w:tcPr>
        <w:p w14:paraId="65B1DA96" w14:textId="77777777" w:rsidR="00510FCB" w:rsidRPr="00006531" w:rsidRDefault="00510FCB" w:rsidP="00E315C1">
          <w:pPr>
            <w:pStyle w:val="SecurityDLM"/>
            <w:spacing w:after="0" w:line="240" w:lineRule="auto"/>
            <w:ind w:left="0"/>
            <w:jc w:val="right"/>
            <w:rPr>
              <w:rFonts w:cs="Arial"/>
              <w:color w:val="595959" w:themeColor="text1" w:themeTint="A6"/>
              <w:sz w:val="18"/>
            </w:rPr>
          </w:pPr>
          <w:r w:rsidRPr="00006531">
            <w:rPr>
              <w:color w:val="595959" w:themeColor="text1" w:themeTint="A6"/>
            </w:rPr>
            <w:t>OFFICIAL</w:t>
          </w:r>
        </w:p>
      </w:tc>
      <w:tc>
        <w:tcPr>
          <w:tcW w:w="1276" w:type="dxa"/>
          <w:tcBorders>
            <w:top w:val="single" w:sz="8" w:space="0" w:color="4BACC6"/>
          </w:tcBorders>
        </w:tcPr>
        <w:p w14:paraId="731B9923" w14:textId="77777777" w:rsidR="00510FCB" w:rsidRPr="00FF1AAF" w:rsidRDefault="00510FCB" w:rsidP="00E315C1">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68DC607" wp14:editId="07F2C09B">
                <wp:extent cx="617855" cy="380365"/>
                <wp:effectExtent l="0" t="0" r="0" b="635"/>
                <wp:docPr id="520181541" name="Picture 520181541"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0A12993F" w14:textId="77777777" w:rsidR="00510FCB" w:rsidRPr="007F186F" w:rsidRDefault="00510FCB"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736"/>
      <w:gridCol w:w="7422"/>
      <w:gridCol w:w="1366"/>
    </w:tblGrid>
    <w:tr w:rsidR="002308EE" w:rsidRPr="00FF1AAF" w14:paraId="11ABD7F8" w14:textId="77777777" w:rsidTr="00006531">
      <w:tc>
        <w:tcPr>
          <w:tcW w:w="1736" w:type="dxa"/>
          <w:tcBorders>
            <w:top w:val="nil"/>
            <w:bottom w:val="single" w:sz="8" w:space="0" w:color="4BACC6"/>
          </w:tcBorders>
        </w:tcPr>
        <w:p w14:paraId="23B50194"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720A5132"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10D9E17B"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09BE3AC0" w14:textId="77777777" w:rsidTr="00006531">
      <w:tc>
        <w:tcPr>
          <w:tcW w:w="1736" w:type="dxa"/>
          <w:tcBorders>
            <w:top w:val="single" w:sz="8" w:space="0" w:color="4BACC6"/>
          </w:tcBorders>
        </w:tcPr>
        <w:p w14:paraId="088905FC"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0BB75391" w14:textId="662D1B3F" w:rsidR="002308EE" w:rsidRPr="00006531" w:rsidRDefault="00FD4979" w:rsidP="002308EE">
          <w:pPr>
            <w:pStyle w:val="SecurityDLM"/>
            <w:spacing w:after="0" w:line="240" w:lineRule="auto"/>
            <w:ind w:left="0"/>
            <w:jc w:val="right"/>
            <w:rPr>
              <w:rFonts w:cs="Arial"/>
              <w:color w:val="595959" w:themeColor="text1" w:themeTint="A6"/>
              <w:sz w:val="18"/>
            </w:rPr>
          </w:pPr>
          <w:r w:rsidRPr="00006531">
            <w:rPr>
              <w:color w:val="595959" w:themeColor="text1" w:themeTint="A6"/>
            </w:rPr>
            <w:t>OFFICIAL</w:t>
          </w:r>
        </w:p>
      </w:tc>
      <w:tc>
        <w:tcPr>
          <w:tcW w:w="1366" w:type="dxa"/>
          <w:tcBorders>
            <w:top w:val="single" w:sz="8" w:space="0" w:color="4BACC6"/>
          </w:tcBorders>
        </w:tcPr>
        <w:p w14:paraId="130D8BF0"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7E4F2EFA" wp14:editId="3ECA29F3">
                <wp:extent cx="617855" cy="380365"/>
                <wp:effectExtent l="0" t="0" r="0" b="635"/>
                <wp:docPr id="134050572" name="Picture 134050572"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61E092F1"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2308EE" w:rsidRPr="00FF1AAF" w14:paraId="236D5FA7" w14:textId="77777777" w:rsidTr="00006531">
      <w:tc>
        <w:tcPr>
          <w:tcW w:w="1452" w:type="dxa"/>
          <w:tcBorders>
            <w:top w:val="nil"/>
            <w:bottom w:val="single" w:sz="8" w:space="0" w:color="4BACC6"/>
          </w:tcBorders>
        </w:tcPr>
        <w:p w14:paraId="0E27C873"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2741A3C5"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1C3474B1"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776DF762" w14:textId="77777777" w:rsidTr="00006531">
      <w:tc>
        <w:tcPr>
          <w:tcW w:w="1452" w:type="dxa"/>
          <w:tcBorders>
            <w:top w:val="single" w:sz="8" w:space="0" w:color="4BACC6"/>
          </w:tcBorders>
        </w:tcPr>
        <w:p w14:paraId="35FB49BC"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04487064" w14:textId="022363B2" w:rsidR="002308EE" w:rsidRPr="00006531" w:rsidRDefault="00FD4979" w:rsidP="002308EE">
          <w:pPr>
            <w:pStyle w:val="SecurityDLM"/>
            <w:spacing w:after="0" w:line="240" w:lineRule="auto"/>
            <w:ind w:left="0"/>
            <w:jc w:val="right"/>
            <w:rPr>
              <w:rFonts w:cs="Arial"/>
              <w:color w:val="595959" w:themeColor="text1" w:themeTint="A6"/>
              <w:sz w:val="18"/>
            </w:rPr>
          </w:pPr>
          <w:r w:rsidRPr="00006531">
            <w:rPr>
              <w:color w:val="595959" w:themeColor="text1" w:themeTint="A6"/>
            </w:rPr>
            <w:t>OFFICIAL</w:t>
          </w:r>
        </w:p>
      </w:tc>
      <w:tc>
        <w:tcPr>
          <w:tcW w:w="1366" w:type="dxa"/>
          <w:tcBorders>
            <w:top w:val="single" w:sz="8" w:space="0" w:color="4BACC6"/>
          </w:tcBorders>
        </w:tcPr>
        <w:p w14:paraId="6A0C5D8E"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691CB6C8" wp14:editId="0D9D179C">
                <wp:extent cx="617855" cy="380365"/>
                <wp:effectExtent l="0" t="0" r="0" b="635"/>
                <wp:docPr id="355043288" name="Picture 355043288"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0B872E5"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006531" w:rsidRPr="00FF1AAF" w14:paraId="2D19E552" w14:textId="77777777" w:rsidTr="003C7A6E">
      <w:tc>
        <w:tcPr>
          <w:tcW w:w="1736" w:type="dxa"/>
          <w:tcBorders>
            <w:top w:val="nil"/>
            <w:bottom w:val="single" w:sz="8" w:space="0" w:color="4BACC6"/>
          </w:tcBorders>
        </w:tcPr>
        <w:p w14:paraId="7CF10BF1" w14:textId="77777777" w:rsidR="00006531" w:rsidRPr="00FF1AAF" w:rsidRDefault="00006531" w:rsidP="002308EE">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466415C9" w14:textId="77777777" w:rsidR="00006531" w:rsidRPr="00FF1AAF" w:rsidRDefault="00006531" w:rsidP="002308EE">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08A495F7" w14:textId="77777777" w:rsidR="00006531" w:rsidRPr="00FF1AAF" w:rsidRDefault="00006531" w:rsidP="002308EE">
          <w:pPr>
            <w:pStyle w:val="Footer"/>
            <w:tabs>
              <w:tab w:val="clear" w:pos="4513"/>
              <w:tab w:val="clear" w:pos="9026"/>
              <w:tab w:val="center" w:pos="7230"/>
              <w:tab w:val="right" w:pos="10206"/>
            </w:tabs>
            <w:rPr>
              <w:rFonts w:ascii="Gotham Book" w:hAnsi="Gotham Book" w:cs="Arial"/>
              <w:sz w:val="18"/>
            </w:rPr>
          </w:pPr>
        </w:p>
      </w:tc>
    </w:tr>
    <w:tr w:rsidR="00006531" w:rsidRPr="00FF1AAF" w14:paraId="797E5E8A" w14:textId="77777777" w:rsidTr="003C7A6E">
      <w:tc>
        <w:tcPr>
          <w:tcW w:w="1736" w:type="dxa"/>
          <w:tcBorders>
            <w:top w:val="single" w:sz="8" w:space="0" w:color="4BACC6"/>
          </w:tcBorders>
        </w:tcPr>
        <w:p w14:paraId="557F444B" w14:textId="77777777" w:rsidR="00006531" w:rsidRPr="00FF1AAF" w:rsidRDefault="00006531"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198" w:type="dxa"/>
          <w:tcBorders>
            <w:top w:val="single" w:sz="8" w:space="0" w:color="4BACC6"/>
          </w:tcBorders>
        </w:tcPr>
        <w:p w14:paraId="0E6BD25B" w14:textId="77777777" w:rsidR="00006531" w:rsidRPr="00006531" w:rsidRDefault="00006531" w:rsidP="002308EE">
          <w:pPr>
            <w:pStyle w:val="SecurityDLM"/>
            <w:spacing w:after="0" w:line="240" w:lineRule="auto"/>
            <w:ind w:left="0"/>
            <w:jc w:val="right"/>
            <w:rPr>
              <w:rFonts w:cs="Arial"/>
              <w:color w:val="595959" w:themeColor="text1" w:themeTint="A6"/>
              <w:sz w:val="18"/>
            </w:rPr>
          </w:pPr>
          <w:r w:rsidRPr="00006531">
            <w:rPr>
              <w:color w:val="595959" w:themeColor="text1" w:themeTint="A6"/>
            </w:rPr>
            <w:t>OFFICIAL</w:t>
          </w:r>
        </w:p>
      </w:tc>
      <w:tc>
        <w:tcPr>
          <w:tcW w:w="1276" w:type="dxa"/>
          <w:tcBorders>
            <w:top w:val="single" w:sz="8" w:space="0" w:color="4BACC6"/>
          </w:tcBorders>
        </w:tcPr>
        <w:p w14:paraId="5971B01E" w14:textId="77777777" w:rsidR="00006531" w:rsidRPr="00FF1AAF" w:rsidRDefault="00006531"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45BC9087" wp14:editId="6E015A3D">
                <wp:extent cx="617855" cy="380365"/>
                <wp:effectExtent l="0" t="0" r="0" b="635"/>
                <wp:docPr id="1680096906" name="Picture 1680096906"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7FFDC6B2" w14:textId="77777777" w:rsidR="00006531" w:rsidRPr="007F186F" w:rsidRDefault="00006531"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jc w:val="center"/>
      <w:tblInd w:w="0" w:type="dxa"/>
      <w:tblBorders>
        <w:top w:val="single" w:sz="8" w:space="0" w:color="4BACC6"/>
      </w:tblBorders>
      <w:tblLayout w:type="fixed"/>
      <w:tblLook w:val="0620" w:firstRow="1" w:lastRow="0" w:firstColumn="0" w:lastColumn="0" w:noHBand="1" w:noVBand="1"/>
    </w:tblPr>
    <w:tblGrid>
      <w:gridCol w:w="1736"/>
      <w:gridCol w:w="7422"/>
      <w:gridCol w:w="1366"/>
    </w:tblGrid>
    <w:tr w:rsidR="004F3F99" w:rsidRPr="00FF1AAF" w14:paraId="61949EFE" w14:textId="77777777" w:rsidTr="004F3F99">
      <w:trPr>
        <w:jc w:val="center"/>
      </w:trPr>
      <w:tc>
        <w:tcPr>
          <w:tcW w:w="1736" w:type="dxa"/>
          <w:tcBorders>
            <w:top w:val="nil"/>
            <w:bottom w:val="single" w:sz="8" w:space="0" w:color="4BACC6"/>
          </w:tcBorders>
        </w:tcPr>
        <w:p w14:paraId="26698C1D" w14:textId="77777777" w:rsidR="004F3F99" w:rsidRPr="00FF1AAF" w:rsidRDefault="004F3F99" w:rsidP="004F3F99">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3A310861" w14:textId="77777777" w:rsidR="004F3F99" w:rsidRPr="00FF1AAF" w:rsidRDefault="004F3F99" w:rsidP="004F3F99">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061B54E6" w14:textId="77777777" w:rsidR="004F3F99" w:rsidRPr="00FF1AAF" w:rsidRDefault="004F3F99" w:rsidP="004F3F99">
          <w:pPr>
            <w:pStyle w:val="Footer"/>
            <w:tabs>
              <w:tab w:val="clear" w:pos="4513"/>
              <w:tab w:val="clear" w:pos="9026"/>
              <w:tab w:val="center" w:pos="7230"/>
              <w:tab w:val="right" w:pos="10206"/>
            </w:tabs>
            <w:rPr>
              <w:rFonts w:ascii="Gotham Book" w:hAnsi="Gotham Book" w:cs="Arial"/>
              <w:sz w:val="18"/>
            </w:rPr>
          </w:pPr>
        </w:p>
      </w:tc>
    </w:tr>
    <w:tr w:rsidR="004F3F99" w:rsidRPr="00FF1AAF" w14:paraId="37AF6344" w14:textId="77777777" w:rsidTr="004F3F99">
      <w:trPr>
        <w:jc w:val="center"/>
      </w:trPr>
      <w:tc>
        <w:tcPr>
          <w:tcW w:w="1736" w:type="dxa"/>
          <w:tcBorders>
            <w:top w:val="single" w:sz="8" w:space="0" w:color="4BACC6"/>
          </w:tcBorders>
        </w:tcPr>
        <w:p w14:paraId="1DA47342" w14:textId="77777777" w:rsidR="004F3F99" w:rsidRPr="00FF1AAF" w:rsidRDefault="004F3F99" w:rsidP="004F3F9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48E65D8E" w14:textId="77777777" w:rsidR="004F3F99" w:rsidRPr="00006531" w:rsidRDefault="004F3F99" w:rsidP="004F3F99">
          <w:pPr>
            <w:pStyle w:val="SecurityDLM"/>
            <w:spacing w:after="0" w:line="240" w:lineRule="auto"/>
            <w:ind w:left="0"/>
            <w:jc w:val="right"/>
            <w:rPr>
              <w:rFonts w:cs="Arial"/>
              <w:color w:val="595959" w:themeColor="text1" w:themeTint="A6"/>
              <w:sz w:val="18"/>
            </w:rPr>
          </w:pPr>
          <w:r w:rsidRPr="00006531">
            <w:rPr>
              <w:color w:val="595959" w:themeColor="text1" w:themeTint="A6"/>
            </w:rPr>
            <w:t>OFFICIAL</w:t>
          </w:r>
        </w:p>
      </w:tc>
      <w:tc>
        <w:tcPr>
          <w:tcW w:w="1366" w:type="dxa"/>
          <w:tcBorders>
            <w:top w:val="single" w:sz="8" w:space="0" w:color="4BACC6"/>
          </w:tcBorders>
        </w:tcPr>
        <w:p w14:paraId="489FDB5D" w14:textId="77777777" w:rsidR="004F3F99" w:rsidRPr="00FF1AAF" w:rsidRDefault="004F3F99" w:rsidP="004F3F9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5E7FF16E" wp14:editId="6D5DFEF8">
                <wp:extent cx="617855" cy="380365"/>
                <wp:effectExtent l="0" t="0" r="0" b="635"/>
                <wp:docPr id="2017173319" name="Picture 201717331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FB5A4D5" w14:textId="77777777" w:rsidR="004F3F99" w:rsidRPr="004F3F99" w:rsidRDefault="004F3F99" w:rsidP="004F3F99">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E315C1" w:rsidRPr="00FF1AAF" w14:paraId="31288ED8" w14:textId="77777777">
      <w:tc>
        <w:tcPr>
          <w:tcW w:w="1736" w:type="dxa"/>
          <w:tcBorders>
            <w:top w:val="nil"/>
            <w:bottom w:val="single" w:sz="8" w:space="0" w:color="4BACC6"/>
          </w:tcBorders>
        </w:tcPr>
        <w:p w14:paraId="69F1B1F0" w14:textId="77777777" w:rsidR="00E315C1" w:rsidRPr="00FF1AAF" w:rsidRDefault="00E315C1" w:rsidP="00E315C1">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784423DE" w14:textId="77777777" w:rsidR="00E315C1" w:rsidRPr="00FF1AAF" w:rsidRDefault="00E315C1" w:rsidP="00E315C1">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6920FA20" w14:textId="77777777" w:rsidR="00E315C1" w:rsidRPr="00FF1AAF" w:rsidRDefault="00E315C1" w:rsidP="00E315C1">
          <w:pPr>
            <w:pStyle w:val="Footer"/>
            <w:tabs>
              <w:tab w:val="clear" w:pos="4513"/>
              <w:tab w:val="clear" w:pos="9026"/>
              <w:tab w:val="center" w:pos="7230"/>
              <w:tab w:val="right" w:pos="10206"/>
            </w:tabs>
            <w:rPr>
              <w:rFonts w:ascii="Gotham Book" w:hAnsi="Gotham Book" w:cs="Arial"/>
              <w:sz w:val="18"/>
            </w:rPr>
          </w:pPr>
        </w:p>
      </w:tc>
    </w:tr>
    <w:tr w:rsidR="00E315C1" w:rsidRPr="00FF1AAF" w14:paraId="70D812D8" w14:textId="77777777">
      <w:tc>
        <w:tcPr>
          <w:tcW w:w="1736" w:type="dxa"/>
          <w:tcBorders>
            <w:top w:val="single" w:sz="8" w:space="0" w:color="4BACC6"/>
          </w:tcBorders>
        </w:tcPr>
        <w:p w14:paraId="7BFCB98D" w14:textId="77777777" w:rsidR="00E315C1" w:rsidRPr="00FF1AAF" w:rsidRDefault="00E315C1" w:rsidP="00E315C1">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198" w:type="dxa"/>
          <w:tcBorders>
            <w:top w:val="single" w:sz="8" w:space="0" w:color="4BACC6"/>
          </w:tcBorders>
        </w:tcPr>
        <w:p w14:paraId="29674232" w14:textId="77777777" w:rsidR="00E315C1" w:rsidRPr="00006531" w:rsidRDefault="00E315C1" w:rsidP="00E315C1">
          <w:pPr>
            <w:pStyle w:val="SecurityDLM"/>
            <w:spacing w:after="0" w:line="240" w:lineRule="auto"/>
            <w:ind w:left="0"/>
            <w:jc w:val="right"/>
            <w:rPr>
              <w:rFonts w:cs="Arial"/>
              <w:color w:val="595959" w:themeColor="text1" w:themeTint="A6"/>
              <w:sz w:val="18"/>
            </w:rPr>
          </w:pPr>
          <w:r w:rsidRPr="00006531">
            <w:rPr>
              <w:color w:val="595959" w:themeColor="text1" w:themeTint="A6"/>
            </w:rPr>
            <w:t>OFFICIAL</w:t>
          </w:r>
        </w:p>
      </w:tc>
      <w:tc>
        <w:tcPr>
          <w:tcW w:w="1276" w:type="dxa"/>
          <w:tcBorders>
            <w:top w:val="single" w:sz="8" w:space="0" w:color="4BACC6"/>
          </w:tcBorders>
        </w:tcPr>
        <w:p w14:paraId="79634842" w14:textId="77777777" w:rsidR="00E315C1" w:rsidRPr="00FF1AAF" w:rsidRDefault="00E315C1" w:rsidP="00E315C1">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C57E6E0" wp14:editId="4340E356">
                <wp:extent cx="617855" cy="380365"/>
                <wp:effectExtent l="0" t="0" r="0" b="635"/>
                <wp:docPr id="942804881" name="Picture 942804881"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28DE0E62" w14:textId="77777777" w:rsidR="00E315C1" w:rsidRPr="004F3F99" w:rsidRDefault="00E315C1" w:rsidP="00E315C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E315C1" w:rsidRPr="00FF1AAF" w14:paraId="05EECA8F" w14:textId="77777777">
      <w:tc>
        <w:tcPr>
          <w:tcW w:w="1736" w:type="dxa"/>
          <w:tcBorders>
            <w:top w:val="nil"/>
            <w:bottom w:val="single" w:sz="8" w:space="0" w:color="4BACC6"/>
          </w:tcBorders>
        </w:tcPr>
        <w:p w14:paraId="63387507" w14:textId="77777777" w:rsidR="00E315C1" w:rsidRPr="00FF1AAF" w:rsidRDefault="00E315C1" w:rsidP="00E315C1">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07EE8B34" w14:textId="77777777" w:rsidR="00E315C1" w:rsidRPr="00FF1AAF" w:rsidRDefault="00E315C1" w:rsidP="00E315C1">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655EEE74" w14:textId="77777777" w:rsidR="00E315C1" w:rsidRPr="00FF1AAF" w:rsidRDefault="00E315C1" w:rsidP="00E315C1">
          <w:pPr>
            <w:pStyle w:val="Footer"/>
            <w:tabs>
              <w:tab w:val="clear" w:pos="4513"/>
              <w:tab w:val="clear" w:pos="9026"/>
              <w:tab w:val="center" w:pos="7230"/>
              <w:tab w:val="right" w:pos="10206"/>
            </w:tabs>
            <w:rPr>
              <w:rFonts w:ascii="Gotham Book" w:hAnsi="Gotham Book" w:cs="Arial"/>
              <w:sz w:val="18"/>
            </w:rPr>
          </w:pPr>
        </w:p>
      </w:tc>
    </w:tr>
    <w:tr w:rsidR="00E315C1" w:rsidRPr="00FF1AAF" w14:paraId="44C38AA5" w14:textId="77777777">
      <w:tc>
        <w:tcPr>
          <w:tcW w:w="1736" w:type="dxa"/>
          <w:tcBorders>
            <w:top w:val="single" w:sz="8" w:space="0" w:color="4BACC6"/>
          </w:tcBorders>
        </w:tcPr>
        <w:p w14:paraId="34DD9170" w14:textId="77777777" w:rsidR="00E315C1" w:rsidRPr="00FF1AAF" w:rsidRDefault="00E315C1" w:rsidP="00E315C1">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198" w:type="dxa"/>
          <w:tcBorders>
            <w:top w:val="single" w:sz="8" w:space="0" w:color="4BACC6"/>
          </w:tcBorders>
        </w:tcPr>
        <w:p w14:paraId="33214616" w14:textId="77777777" w:rsidR="00E315C1" w:rsidRPr="00006531" w:rsidRDefault="00E315C1" w:rsidP="00E315C1">
          <w:pPr>
            <w:pStyle w:val="SecurityDLM"/>
            <w:spacing w:after="0" w:line="240" w:lineRule="auto"/>
            <w:ind w:left="0"/>
            <w:jc w:val="right"/>
            <w:rPr>
              <w:rFonts w:cs="Arial"/>
              <w:color w:val="595959" w:themeColor="text1" w:themeTint="A6"/>
              <w:sz w:val="18"/>
            </w:rPr>
          </w:pPr>
          <w:r w:rsidRPr="00006531">
            <w:rPr>
              <w:color w:val="595959" w:themeColor="text1" w:themeTint="A6"/>
            </w:rPr>
            <w:t>OFFICIAL</w:t>
          </w:r>
        </w:p>
      </w:tc>
      <w:tc>
        <w:tcPr>
          <w:tcW w:w="1276" w:type="dxa"/>
          <w:tcBorders>
            <w:top w:val="single" w:sz="8" w:space="0" w:color="4BACC6"/>
          </w:tcBorders>
        </w:tcPr>
        <w:p w14:paraId="1E8A9003" w14:textId="77777777" w:rsidR="00E315C1" w:rsidRPr="00FF1AAF" w:rsidRDefault="00E315C1" w:rsidP="00E315C1">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1CAAC7B1" wp14:editId="5EBB8C6B">
                <wp:extent cx="617855" cy="380365"/>
                <wp:effectExtent l="0" t="0" r="0" b="635"/>
                <wp:docPr id="1217103163" name="Picture 1217103163"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8BCE338" w14:textId="77777777" w:rsidR="00E315C1" w:rsidRPr="007F186F" w:rsidRDefault="00E315C1"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jc w:val="center"/>
      <w:tblInd w:w="0" w:type="dxa"/>
      <w:tblBorders>
        <w:top w:val="single" w:sz="8" w:space="0" w:color="4BACC6"/>
      </w:tblBorders>
      <w:tblLayout w:type="fixed"/>
      <w:tblLook w:val="0620" w:firstRow="1" w:lastRow="0" w:firstColumn="0" w:lastColumn="0" w:noHBand="1" w:noVBand="1"/>
    </w:tblPr>
    <w:tblGrid>
      <w:gridCol w:w="1736"/>
      <w:gridCol w:w="7422"/>
      <w:gridCol w:w="1366"/>
    </w:tblGrid>
    <w:tr w:rsidR="00A17289" w:rsidRPr="00FF1AAF" w14:paraId="02069E81" w14:textId="77777777">
      <w:trPr>
        <w:jc w:val="center"/>
      </w:trPr>
      <w:tc>
        <w:tcPr>
          <w:tcW w:w="1736" w:type="dxa"/>
          <w:tcBorders>
            <w:top w:val="nil"/>
            <w:bottom w:val="single" w:sz="8" w:space="0" w:color="4BACC6"/>
          </w:tcBorders>
        </w:tcPr>
        <w:p w14:paraId="73BFE8D6" w14:textId="77777777" w:rsidR="00A17289" w:rsidRPr="00FF1AAF" w:rsidRDefault="00A17289" w:rsidP="00A17289">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245453F4" w14:textId="77777777" w:rsidR="00A17289" w:rsidRPr="00FF1AAF" w:rsidRDefault="00A17289" w:rsidP="00A17289">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52257502" w14:textId="77777777" w:rsidR="00A17289" w:rsidRPr="00FF1AAF" w:rsidRDefault="00A17289" w:rsidP="00A17289">
          <w:pPr>
            <w:pStyle w:val="Footer"/>
            <w:tabs>
              <w:tab w:val="clear" w:pos="4513"/>
              <w:tab w:val="clear" w:pos="9026"/>
              <w:tab w:val="center" w:pos="7230"/>
              <w:tab w:val="right" w:pos="10206"/>
            </w:tabs>
            <w:rPr>
              <w:rFonts w:ascii="Gotham Book" w:hAnsi="Gotham Book" w:cs="Arial"/>
              <w:sz w:val="18"/>
            </w:rPr>
          </w:pPr>
        </w:p>
      </w:tc>
    </w:tr>
    <w:tr w:rsidR="00A17289" w:rsidRPr="00FF1AAF" w14:paraId="293B1FBA" w14:textId="77777777">
      <w:trPr>
        <w:jc w:val="center"/>
      </w:trPr>
      <w:tc>
        <w:tcPr>
          <w:tcW w:w="1736" w:type="dxa"/>
          <w:tcBorders>
            <w:top w:val="single" w:sz="8" w:space="0" w:color="4BACC6"/>
          </w:tcBorders>
        </w:tcPr>
        <w:p w14:paraId="52FB66FF" w14:textId="77777777" w:rsidR="00A17289" w:rsidRPr="00FF1AAF" w:rsidRDefault="00A17289" w:rsidP="00A1728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11AB1DF5" w14:textId="77777777" w:rsidR="00A17289" w:rsidRPr="00006531" w:rsidRDefault="00A17289" w:rsidP="00A17289">
          <w:pPr>
            <w:pStyle w:val="SecurityDLM"/>
            <w:spacing w:after="0" w:line="240" w:lineRule="auto"/>
            <w:ind w:left="0"/>
            <w:jc w:val="right"/>
            <w:rPr>
              <w:rFonts w:cs="Arial"/>
              <w:color w:val="595959" w:themeColor="text1" w:themeTint="A6"/>
              <w:sz w:val="18"/>
            </w:rPr>
          </w:pPr>
          <w:r w:rsidRPr="00006531">
            <w:rPr>
              <w:color w:val="595959" w:themeColor="text1" w:themeTint="A6"/>
            </w:rPr>
            <w:t>OFFICIAL</w:t>
          </w:r>
        </w:p>
      </w:tc>
      <w:tc>
        <w:tcPr>
          <w:tcW w:w="1366" w:type="dxa"/>
          <w:tcBorders>
            <w:top w:val="single" w:sz="8" w:space="0" w:color="4BACC6"/>
          </w:tcBorders>
        </w:tcPr>
        <w:p w14:paraId="6CA8F7E6" w14:textId="77777777" w:rsidR="00A17289" w:rsidRPr="00FF1AAF" w:rsidRDefault="00A17289" w:rsidP="00A1728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5C3CEF12" wp14:editId="28AC70D7">
                <wp:extent cx="617855" cy="380365"/>
                <wp:effectExtent l="0" t="0" r="0" b="635"/>
                <wp:docPr id="28042977" name="Picture 28042977"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0E8E3128" w14:textId="77777777" w:rsidR="00A17289" w:rsidRPr="004F3F99" w:rsidRDefault="00A17289" w:rsidP="00E315C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10" w:type="dxa"/>
      <w:tblInd w:w="-176" w:type="dxa"/>
      <w:tblBorders>
        <w:top w:val="single" w:sz="8" w:space="0" w:color="4BACC6"/>
      </w:tblBorders>
      <w:tblLayout w:type="fixed"/>
      <w:tblLook w:val="0620" w:firstRow="1" w:lastRow="0" w:firstColumn="0" w:lastColumn="0" w:noHBand="1" w:noVBand="1"/>
    </w:tblPr>
    <w:tblGrid>
      <w:gridCol w:w="1736"/>
      <w:gridCol w:w="11198"/>
      <w:gridCol w:w="1276"/>
    </w:tblGrid>
    <w:tr w:rsidR="00B01069" w:rsidRPr="00FF1AAF" w14:paraId="5A84FB76" w14:textId="77777777">
      <w:tc>
        <w:tcPr>
          <w:tcW w:w="1736" w:type="dxa"/>
          <w:tcBorders>
            <w:top w:val="nil"/>
            <w:bottom w:val="single" w:sz="8" w:space="0" w:color="4BACC6"/>
          </w:tcBorders>
        </w:tcPr>
        <w:p w14:paraId="5AC3F1C8" w14:textId="77777777" w:rsidR="00B01069" w:rsidRPr="00FF1AAF" w:rsidRDefault="00B01069" w:rsidP="00B01069">
          <w:pPr>
            <w:pStyle w:val="Footer"/>
            <w:tabs>
              <w:tab w:val="clear" w:pos="4513"/>
              <w:tab w:val="clear" w:pos="9026"/>
              <w:tab w:val="center" w:pos="7230"/>
              <w:tab w:val="right" w:pos="10206"/>
            </w:tabs>
            <w:rPr>
              <w:rFonts w:ascii="Gotham Book" w:hAnsi="Gotham Book" w:cs="Arial"/>
              <w:sz w:val="18"/>
            </w:rPr>
          </w:pPr>
        </w:p>
      </w:tc>
      <w:tc>
        <w:tcPr>
          <w:tcW w:w="11198" w:type="dxa"/>
          <w:tcBorders>
            <w:top w:val="nil"/>
            <w:bottom w:val="single" w:sz="8" w:space="0" w:color="4BACC6"/>
          </w:tcBorders>
        </w:tcPr>
        <w:p w14:paraId="2A1F5EE6" w14:textId="77777777" w:rsidR="00B01069" w:rsidRPr="00FF1AAF" w:rsidRDefault="00B01069" w:rsidP="00B01069">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10885DD9" w14:textId="77777777" w:rsidR="00B01069" w:rsidRPr="00FF1AAF" w:rsidRDefault="00B01069" w:rsidP="00B01069">
          <w:pPr>
            <w:pStyle w:val="Footer"/>
            <w:tabs>
              <w:tab w:val="clear" w:pos="4513"/>
              <w:tab w:val="clear" w:pos="9026"/>
              <w:tab w:val="center" w:pos="7230"/>
              <w:tab w:val="right" w:pos="10206"/>
            </w:tabs>
            <w:rPr>
              <w:rFonts w:ascii="Gotham Book" w:hAnsi="Gotham Book" w:cs="Arial"/>
              <w:sz w:val="18"/>
            </w:rPr>
          </w:pPr>
        </w:p>
      </w:tc>
    </w:tr>
    <w:tr w:rsidR="00B01069" w:rsidRPr="00FF1AAF" w14:paraId="3ECF8A6A" w14:textId="77777777">
      <w:tc>
        <w:tcPr>
          <w:tcW w:w="1736" w:type="dxa"/>
          <w:tcBorders>
            <w:top w:val="single" w:sz="8" w:space="0" w:color="4BACC6"/>
          </w:tcBorders>
        </w:tcPr>
        <w:p w14:paraId="3AAFCF76" w14:textId="77777777" w:rsidR="00B01069" w:rsidRPr="00FF1AAF" w:rsidRDefault="00B01069" w:rsidP="00B01069">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198" w:type="dxa"/>
          <w:tcBorders>
            <w:top w:val="single" w:sz="8" w:space="0" w:color="4BACC6"/>
          </w:tcBorders>
        </w:tcPr>
        <w:p w14:paraId="05B6A36F" w14:textId="77777777" w:rsidR="00B01069" w:rsidRPr="00006531" w:rsidRDefault="00B01069" w:rsidP="00B01069">
          <w:pPr>
            <w:pStyle w:val="SecurityDLM"/>
            <w:spacing w:after="0" w:line="240" w:lineRule="auto"/>
            <w:ind w:left="0"/>
            <w:jc w:val="right"/>
            <w:rPr>
              <w:rFonts w:cs="Arial"/>
              <w:color w:val="595959" w:themeColor="text1" w:themeTint="A6"/>
              <w:sz w:val="18"/>
            </w:rPr>
          </w:pPr>
          <w:r w:rsidRPr="00006531">
            <w:rPr>
              <w:color w:val="595959" w:themeColor="text1" w:themeTint="A6"/>
            </w:rPr>
            <w:t>OFFICIAL</w:t>
          </w:r>
        </w:p>
      </w:tc>
      <w:tc>
        <w:tcPr>
          <w:tcW w:w="1276" w:type="dxa"/>
          <w:tcBorders>
            <w:top w:val="single" w:sz="8" w:space="0" w:color="4BACC6"/>
          </w:tcBorders>
        </w:tcPr>
        <w:p w14:paraId="4AA88A54" w14:textId="7CB8E121" w:rsidR="00B01069" w:rsidRPr="00FF1AAF" w:rsidRDefault="00B01069" w:rsidP="00B01069">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0ABA598D" w14:textId="77777777" w:rsidR="00B01069" w:rsidRPr="004F3F99" w:rsidRDefault="00B01069" w:rsidP="00E31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798F3" w14:textId="77777777" w:rsidR="00027DF4" w:rsidRDefault="00027DF4" w:rsidP="007A386A">
      <w:pPr>
        <w:spacing w:after="0" w:line="240" w:lineRule="auto"/>
      </w:pPr>
      <w:r>
        <w:separator/>
      </w:r>
    </w:p>
  </w:footnote>
  <w:footnote w:type="continuationSeparator" w:id="0">
    <w:p w14:paraId="6E9BC653" w14:textId="77777777" w:rsidR="00027DF4" w:rsidRDefault="00027DF4" w:rsidP="007A386A">
      <w:pPr>
        <w:spacing w:after="0" w:line="240" w:lineRule="auto"/>
      </w:pPr>
      <w:r>
        <w:continuationSeparator/>
      </w:r>
    </w:p>
  </w:footnote>
  <w:footnote w:id="1">
    <w:p w14:paraId="66A1A24A" w14:textId="77777777" w:rsidR="00FD4979" w:rsidRDefault="00FD4979" w:rsidP="00FD4979">
      <w:pPr>
        <w:pStyle w:val="FootnoteText"/>
      </w:pPr>
      <w:r w:rsidRPr="00006531">
        <w:rPr>
          <w:rStyle w:val="FootnoteReference"/>
          <w:color w:val="616065" w:themeColor="accent5" w:themeShade="BF"/>
        </w:rPr>
        <w:footnoteRef/>
      </w:r>
      <w:r w:rsidRPr="00006531">
        <w:rPr>
          <w:color w:val="616065" w:themeColor="accent5" w:themeShade="BF"/>
        </w:rPr>
        <w:t xml:space="preserve"> Australian food composition database Release 2.0, available from: </w:t>
      </w:r>
      <w:hyperlink r:id="rId1" w:history="1">
        <w:r w:rsidRPr="00006531">
          <w:rPr>
            <w:rStyle w:val="Hyperlink"/>
            <w:color w:val="616065" w:themeColor="accent5" w:themeShade="BF"/>
          </w:rPr>
          <w:t>https://afcd.foodstandards.gov.au/foodsbynutrientsearch.aspx?nutrientID=I</w:t>
        </w:r>
      </w:hyperlink>
    </w:p>
  </w:footnote>
  <w:footnote w:id="2">
    <w:p w14:paraId="61DBDF2D" w14:textId="77777777" w:rsidR="00FD4979" w:rsidRPr="00CA5E26" w:rsidRDefault="00FD4979" w:rsidP="00FD4979">
      <w:r>
        <w:rPr>
          <w:rStyle w:val="FootnoteReference"/>
        </w:rPr>
        <w:footnoteRef/>
      </w:r>
      <w:r>
        <w:t xml:space="preserve"> </w:t>
      </w:r>
      <w:r w:rsidRPr="006471B6">
        <w:rPr>
          <w:sz w:val="16"/>
          <w:szCs w:val="16"/>
        </w:rPr>
        <w:t xml:space="preserve">Recommendations and individual studies in this NRV report population groups by relevant age-range, and ‘male’ or ’female’. The distinction between male and female is based on sex not gender, as nutrient intake and metabolism are physiological processes impacted by hormones. The definitions of ‘sex’ and ‘gender’ used to make this distinction come from the </w:t>
      </w:r>
      <w:hyperlink r:id="rId2" w:history="1">
        <w:r w:rsidRPr="006471B6">
          <w:rPr>
            <w:rStyle w:val="Hyperlink"/>
            <w:sz w:val="16"/>
            <w:szCs w:val="16"/>
          </w:rPr>
          <w:t>NHMRC Statement on Sex, Gender, Variations of Sex Characteristics and Sexual Orientation in Health and Medical Research</w:t>
        </w:r>
      </w:hyperlink>
      <w:r w:rsidRPr="006471B6">
        <w:rPr>
          <w:sz w:val="16"/>
          <w:szCs w:val="16"/>
        </w:rPr>
        <w:t xml:space="preserve"> </w:t>
      </w:r>
      <w:r w:rsidRPr="006471B6">
        <w:rPr>
          <w:sz w:val="16"/>
          <w:szCs w:val="16"/>
        </w:rPr>
        <w:fldChar w:fldCharType="begin"/>
      </w:r>
      <w:r w:rsidRPr="006471B6">
        <w:rPr>
          <w:sz w:val="16"/>
          <w:szCs w:val="16"/>
        </w:rPr>
        <w:instrText xml:space="preserve"> ADDIN EN.CITE &lt;EndNote&gt;&lt;Cite ExcludeAuth="1"&gt;&lt;Author&gt;NHMRC&lt;/Author&gt;&lt;Year&gt;2024&lt;/Year&gt;&lt;RecNum&gt;95&lt;/RecNum&gt;&lt;DisplayText&gt;(2024)&lt;/DisplayText&gt;&lt;record&gt;&lt;rec-number&gt;95&lt;/rec-number&gt;&lt;foreign-keys&gt;&lt;key app="EN" db-id="zxfaevvrgpsxebez5ec5vspfe2av5dtxt9xx" timestamp="1754959384"&gt;95&lt;/key&gt;&lt;/foreign-keys&gt;&lt;ref-type name="Electronic Book"&gt;44&lt;/ref-type&gt;&lt;contributors&gt;&lt;authors&gt;&lt;author&gt;NHMRC,&lt;/author&gt;&lt;author&gt;MRFF,&lt;/author&gt;&lt;/authors&gt;&lt;/contributors&gt;&lt;titles&gt;&lt;title&gt;Statement on Sex, Gender, Variations of Sex Characteristics and Sexual Orientation in Health and Medical Research&lt;/title&gt;&lt;/titles&gt;&lt;dates&gt;&lt;year&gt;2024&lt;/year&gt;&lt;/dates&gt;&lt;publisher&gt;Department of Health, Disability and Ageing&lt;/publisher&gt;&lt;urls&gt;&lt;related-urls&gt;&lt;url&gt;date accessed 18 August 2025, https://www.nhmrc.gov.au/research-policy/gender-equity/statement-sex-and-gender-health-and-medical-research&lt;/url&gt;&lt;/related-urls&gt;&lt;/urls&gt;&lt;/record&gt;&lt;/Cite&gt;&lt;/EndNote&gt;</w:instrText>
      </w:r>
      <w:r w:rsidRPr="006471B6">
        <w:rPr>
          <w:sz w:val="16"/>
          <w:szCs w:val="16"/>
        </w:rPr>
        <w:fldChar w:fldCharType="separate"/>
      </w:r>
      <w:r w:rsidRPr="006471B6">
        <w:rPr>
          <w:noProof/>
          <w:sz w:val="16"/>
          <w:szCs w:val="16"/>
        </w:rPr>
        <w:t>(2024)</w:t>
      </w:r>
      <w:r w:rsidRPr="006471B6">
        <w:rPr>
          <w:sz w:val="16"/>
          <w:szCs w:val="16"/>
        </w:rPr>
        <w:fldChar w:fldCharType="end"/>
      </w:r>
      <w:r w:rsidRPr="006471B6">
        <w:rPr>
          <w:sz w:val="16"/>
          <w:szCs w:val="16"/>
        </w:rPr>
        <w:t>, where ‘sex’ relates to biological characteristics (i.e. hormones, chromosomes, reproductive organs) and ‘gender’ is a social and cultural concept. People who are transgender, gender diverse, who have innate variations of sex characteristics or who do not identify with the biological definition should consult a health practitioner who can consider their individual needs.</w:t>
      </w:r>
      <w:r w:rsidRPr="006802AA">
        <w:t xml:space="preserve"> </w:t>
      </w:r>
    </w:p>
    <w:p w14:paraId="4B0DA993" w14:textId="77777777" w:rsidR="00FD4979" w:rsidRPr="00006531" w:rsidRDefault="00FD4979" w:rsidP="00FD4979">
      <w:pPr>
        <w:pStyle w:val="FootnoteText"/>
        <w:rPr>
          <w:color w:val="616065" w:themeColor="accent5" w:themeShade="BF"/>
          <w:lang w:val="en-US"/>
        </w:rPr>
      </w:pPr>
    </w:p>
  </w:footnote>
  <w:footnote w:id="3">
    <w:p w14:paraId="1D10E926" w14:textId="77777777" w:rsidR="003138BD" w:rsidRPr="00006531" w:rsidRDefault="003138BD" w:rsidP="003138BD">
      <w:pPr>
        <w:pStyle w:val="FootnoteText"/>
        <w:rPr>
          <w:color w:val="616065" w:themeColor="accent5" w:themeShade="BF"/>
          <w:sz w:val="18"/>
        </w:rPr>
      </w:pPr>
      <w:r w:rsidRPr="00006531">
        <w:rPr>
          <w:rStyle w:val="FootnoteReference"/>
          <w:color w:val="616065" w:themeColor="accent5" w:themeShade="BF"/>
          <w:sz w:val="18"/>
        </w:rPr>
        <w:footnoteRef/>
      </w:r>
      <w:r w:rsidRPr="00006531">
        <w:rPr>
          <w:color w:val="616065" w:themeColor="accent5" w:themeShade="BF"/>
          <w:sz w:val="18"/>
        </w:rPr>
        <w:t xml:space="preserve"> EFSA uses the terms Average Requirement (AR) and Population Reference Intake (PRI) instead of EAR and RDI.</w:t>
      </w:r>
    </w:p>
  </w:footnote>
  <w:footnote w:id="4">
    <w:p w14:paraId="2CCD21A9" w14:textId="77777777" w:rsidR="003138BD" w:rsidRDefault="003138BD" w:rsidP="003138BD">
      <w:pPr>
        <w:rPr>
          <w:szCs w:val="20"/>
        </w:rPr>
      </w:pPr>
      <w:r w:rsidRPr="009D4CFE">
        <w:rPr>
          <w:rStyle w:val="FootnoteReference"/>
          <w:sz w:val="18"/>
        </w:rPr>
        <w:footnoteRef/>
      </w:r>
      <w:r w:rsidRPr="009D4CFE">
        <w:rPr>
          <w:sz w:val="18"/>
        </w:rPr>
        <w:t xml:space="preserve"> The provisional AR is defined as: </w:t>
      </w:r>
      <w:r w:rsidRPr="009D4CFE">
        <w:rPr>
          <w:i/>
          <w:sz w:val="18"/>
        </w:rPr>
        <w:t>The average daily nutrient intake level that is suggested to meet the requirements of half of the individuals in a particular life-stage group.</w:t>
      </w:r>
      <w:r w:rsidRPr="009D4CFE">
        <w:rPr>
          <w:sz w:val="18"/>
        </w:rPr>
        <w:t xml:space="preserve"> </w:t>
      </w:r>
      <w:r w:rsidRPr="009D4CFE">
        <w:rPr>
          <w:i/>
          <w:sz w:val="18"/>
        </w:rPr>
        <w:t>The provisional AR, which is an approximation of AR, has larger uncertainty than AR</w:t>
      </w:r>
      <w:r w:rsidRPr="00317C32">
        <w:rPr>
          <w:i/>
          <w:iCs/>
          <w:szCs w:val="20"/>
        </w:rPr>
        <w:t>.</w:t>
      </w:r>
      <w:r w:rsidRPr="00317C32">
        <w:rPr>
          <w:szCs w:val="20"/>
        </w:rPr>
        <w:t xml:space="preserve"> </w:t>
      </w:r>
    </w:p>
    <w:p w14:paraId="549120FB" w14:textId="77777777" w:rsidR="003138BD" w:rsidRPr="009D4CFE" w:rsidRDefault="003138BD" w:rsidP="003138BD">
      <w:pPr>
        <w:rPr>
          <w:sz w:val="18"/>
        </w:rPr>
      </w:pPr>
      <w:r w:rsidRPr="009D4CFE">
        <w:rPr>
          <w:sz w:val="18"/>
        </w:rPr>
        <w:t>The provisional AR was derived from the AI, calculated by multiplying AI by a factor of 0.8(NNR 2023).</w:t>
      </w:r>
    </w:p>
  </w:footnote>
  <w:footnote w:id="5">
    <w:p w14:paraId="5EAB1170" w14:textId="77777777" w:rsidR="003138BD" w:rsidRPr="00006531" w:rsidRDefault="003138BD" w:rsidP="003138BD">
      <w:pPr>
        <w:pStyle w:val="FootnoteText"/>
        <w:rPr>
          <w:color w:val="616065" w:themeColor="accent5" w:themeShade="BF"/>
        </w:rPr>
      </w:pPr>
      <w:r w:rsidRPr="00006531">
        <w:rPr>
          <w:rStyle w:val="FootnoteReference"/>
          <w:color w:val="616065" w:themeColor="accent5" w:themeShade="BF"/>
        </w:rPr>
        <w:footnoteRef/>
      </w:r>
      <w:r w:rsidRPr="00006531">
        <w:rPr>
          <w:color w:val="616065" w:themeColor="accent5" w:themeShade="BF"/>
        </w:rPr>
        <w:t xml:space="preserve"> It should be noted that the 2023 and 2011-12 applied differing age groupings for children and adults and the groups are therefore not directly comparable.</w:t>
      </w:r>
    </w:p>
  </w:footnote>
  <w:footnote w:id="6">
    <w:p w14:paraId="519F3DA0" w14:textId="77777777" w:rsidR="00D22357" w:rsidRPr="00391F3D" w:rsidRDefault="00D22357" w:rsidP="00D22357">
      <w:pPr>
        <w:pStyle w:val="FootnoteText"/>
        <w:rPr>
          <w:color w:val="616065" w:themeColor="accent5" w:themeShade="BF"/>
        </w:rPr>
      </w:pPr>
      <w:r w:rsidRPr="00391F3D">
        <w:rPr>
          <w:rStyle w:val="FootnoteReference"/>
          <w:color w:val="616065" w:themeColor="accent5" w:themeShade="BF"/>
        </w:rPr>
        <w:footnoteRef/>
      </w:r>
      <w:r w:rsidRPr="00391F3D">
        <w:rPr>
          <w:color w:val="616065" w:themeColor="accent5" w:themeShade="BF"/>
        </w:rPr>
        <w:t xml:space="preserve"> The evidence scoping contractor assessed Sang (2012) as being at low risk of bias. However, NHMRC suggests that there may be some concerns about risk of bias due to outcome measurement, owing to the 4 year time gap between the two study phases, which may have contributed to the observed differences between groups.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EAF2" w14:textId="4648CB4F" w:rsidR="00BE4282" w:rsidRDefault="00000000">
    <w:pPr>
      <w:pStyle w:val="Header"/>
    </w:pPr>
    <w:r>
      <w:rPr>
        <w:noProof/>
      </w:rPr>
      <w:pict w14:anchorId="1C6ABF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66" o:spid="_x0000_s1026" type="#_x0000_t136" style="position:absolute;margin-left:0;margin-top:0;width:540.9pt;height:154.5pt;rotation:315;z-index:-251658239;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FA7F" w14:textId="4287C7A8" w:rsidR="00BE4282" w:rsidRDefault="00000000">
    <w:pPr>
      <w:pStyle w:val="Header"/>
    </w:pPr>
    <w:r>
      <w:rPr>
        <w:noProof/>
      </w:rPr>
      <w:pict w14:anchorId="0270F5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5" o:spid="_x0000_s1035" type="#_x0000_t136" style="position:absolute;margin-left:0;margin-top:0;width:540.9pt;height:154.5pt;rotation:315;z-index:-251658230;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D679" w14:textId="4A38A28B" w:rsidR="00BE4282" w:rsidRDefault="00000000">
    <w:pPr>
      <w:pStyle w:val="Header"/>
    </w:pPr>
    <w:r>
      <w:rPr>
        <w:noProof/>
      </w:rPr>
      <w:pict w14:anchorId="568869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6" o:spid="_x0000_s1036" type="#_x0000_t136" style="position:absolute;margin-left:0;margin-top:0;width:540.9pt;height:154.5pt;rotation:315;z-index:-251658229;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Ind w:w="0" w:type="dxa"/>
      <w:tblLook w:val="04A0" w:firstRow="1" w:lastRow="0" w:firstColumn="1" w:lastColumn="0" w:noHBand="0" w:noVBand="1"/>
    </w:tblPr>
    <w:tblGrid>
      <w:gridCol w:w="2977"/>
      <w:gridCol w:w="5954"/>
      <w:gridCol w:w="1417"/>
    </w:tblGrid>
    <w:tr w:rsidR="004F3F99" w14:paraId="17B9DBA6" w14:textId="77777777" w:rsidTr="00BC66DF">
      <w:tc>
        <w:tcPr>
          <w:tcW w:w="2977" w:type="dxa"/>
        </w:tcPr>
        <w:p w14:paraId="1959DB90" w14:textId="77777777" w:rsidR="004F3F99" w:rsidRDefault="004F3F99" w:rsidP="004F3F99">
          <w:pPr>
            <w:pStyle w:val="Header"/>
          </w:pPr>
        </w:p>
      </w:tc>
      <w:tc>
        <w:tcPr>
          <w:tcW w:w="5954" w:type="dxa"/>
        </w:tcPr>
        <w:p w14:paraId="2748CFD2" w14:textId="77777777" w:rsidR="004F3F99" w:rsidRPr="00006531" w:rsidRDefault="004F3F99" w:rsidP="004F3F99">
          <w:pPr>
            <w:pStyle w:val="SecurityDLM"/>
            <w:ind w:left="0"/>
            <w:jc w:val="right"/>
            <w:rPr>
              <w:color w:val="616065" w:themeColor="accent5" w:themeShade="BF"/>
            </w:rPr>
          </w:pPr>
          <w:r w:rsidRPr="00006531">
            <w:rPr>
              <w:color w:val="616065" w:themeColor="accent5" w:themeShade="BF"/>
            </w:rPr>
            <w:t>OFFICIAL</w:t>
          </w:r>
        </w:p>
      </w:tc>
      <w:tc>
        <w:tcPr>
          <w:tcW w:w="1417" w:type="dxa"/>
        </w:tcPr>
        <w:p w14:paraId="2F598115" w14:textId="77777777" w:rsidR="004F3F99" w:rsidRDefault="004F3F99" w:rsidP="004F3F99">
          <w:pPr>
            <w:pStyle w:val="Header"/>
            <w:jc w:val="right"/>
          </w:pPr>
          <w:r>
            <w:rPr>
              <w:noProof/>
            </w:rPr>
            <w:drawing>
              <wp:inline distT="0" distB="0" distL="0" distR="0" wp14:anchorId="502C1AB0" wp14:editId="4708B24C">
                <wp:extent cx="755640" cy="755640"/>
                <wp:effectExtent l="0" t="0" r="6985" b="6985"/>
                <wp:docPr id="857903352" name="Picture 857903352"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69F14C9F" w14:textId="79C83601" w:rsidR="00006531" w:rsidRPr="004F3F99" w:rsidRDefault="00000000" w:rsidP="004F3F99">
    <w:pPr>
      <w:pStyle w:val="Header"/>
    </w:pPr>
    <w:r>
      <w:rPr>
        <w:noProof/>
      </w:rPr>
      <w:pict w14:anchorId="3798B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4" o:spid="_x0000_s1034" type="#_x0000_t136" style="position:absolute;margin-left:0;margin-top:0;width:540.9pt;height:154.5pt;rotation:315;z-index:-251658231;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8FA5" w14:textId="7B98B0BA" w:rsidR="00BE4282" w:rsidRDefault="00000000">
    <w:pPr>
      <w:pStyle w:val="Header"/>
    </w:pPr>
    <w:r>
      <w:rPr>
        <w:noProof/>
      </w:rPr>
      <w:pict w14:anchorId="00814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8" o:spid="_x0000_s1038" type="#_x0000_t136" style="position:absolute;margin-left:0;margin-top:0;width:540.9pt;height:154.5pt;rotation:315;z-index:-251658227;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67C9" w14:textId="67C52C15" w:rsidR="00E315C1" w:rsidRDefault="00000000" w:rsidP="00E315C1">
    <w:pPr>
      <w:pStyle w:val="Header"/>
    </w:pPr>
    <w:r>
      <w:rPr>
        <w:noProof/>
      </w:rPr>
      <w:pict w14:anchorId="7FC947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9" o:spid="_x0000_s1039" type="#_x0000_t136" style="position:absolute;margin-left:0;margin-top:0;width:540.9pt;height:154.5pt;rotation:315;z-index:-251658226;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175" w:type="dxa"/>
      <w:tblInd w:w="0" w:type="dxa"/>
      <w:tblLook w:val="04A0" w:firstRow="1" w:lastRow="0" w:firstColumn="1" w:lastColumn="0" w:noHBand="0" w:noVBand="1"/>
    </w:tblPr>
    <w:tblGrid>
      <w:gridCol w:w="2977"/>
      <w:gridCol w:w="9639"/>
      <w:gridCol w:w="1559"/>
    </w:tblGrid>
    <w:tr w:rsidR="00E315C1" w14:paraId="4597B5B7" w14:textId="77777777" w:rsidTr="00E315C1">
      <w:tc>
        <w:tcPr>
          <w:tcW w:w="2977" w:type="dxa"/>
        </w:tcPr>
        <w:p w14:paraId="75060B1C" w14:textId="77777777" w:rsidR="00E315C1" w:rsidRDefault="00E315C1" w:rsidP="004F3F99">
          <w:pPr>
            <w:pStyle w:val="Header"/>
          </w:pPr>
        </w:p>
      </w:tc>
      <w:tc>
        <w:tcPr>
          <w:tcW w:w="9639" w:type="dxa"/>
        </w:tcPr>
        <w:p w14:paraId="03E51C53" w14:textId="77777777" w:rsidR="00E315C1" w:rsidRPr="00006531" w:rsidRDefault="00E315C1" w:rsidP="004F3F99">
          <w:pPr>
            <w:pStyle w:val="SecurityDLM"/>
            <w:ind w:left="0"/>
            <w:jc w:val="right"/>
            <w:rPr>
              <w:color w:val="616065" w:themeColor="accent5" w:themeShade="BF"/>
            </w:rPr>
          </w:pPr>
          <w:r w:rsidRPr="00006531">
            <w:rPr>
              <w:color w:val="616065" w:themeColor="accent5" w:themeShade="BF"/>
            </w:rPr>
            <w:t>OFFICIAL</w:t>
          </w:r>
        </w:p>
      </w:tc>
      <w:tc>
        <w:tcPr>
          <w:tcW w:w="1559" w:type="dxa"/>
        </w:tcPr>
        <w:p w14:paraId="077C460B" w14:textId="77777777" w:rsidR="00E315C1" w:rsidRDefault="00E315C1" w:rsidP="004F3F99">
          <w:pPr>
            <w:pStyle w:val="Header"/>
            <w:jc w:val="right"/>
          </w:pPr>
          <w:r>
            <w:rPr>
              <w:noProof/>
            </w:rPr>
            <w:drawing>
              <wp:inline distT="0" distB="0" distL="0" distR="0" wp14:anchorId="215B77CB" wp14:editId="4D0F68E8">
                <wp:extent cx="755640" cy="755640"/>
                <wp:effectExtent l="0" t="0" r="6985" b="6985"/>
                <wp:docPr id="995943094" name="Picture 995943094"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6822FD47" w14:textId="20B4E58E" w:rsidR="00E315C1" w:rsidRPr="004F3F99" w:rsidRDefault="00000000" w:rsidP="004F3F99">
    <w:pPr>
      <w:pStyle w:val="Header"/>
    </w:pPr>
    <w:r>
      <w:rPr>
        <w:noProof/>
      </w:rPr>
      <w:pict w14:anchorId="1B9AE7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7" o:spid="_x0000_s1037" type="#_x0000_t136" style="position:absolute;margin-left:0;margin-top:0;width:540.9pt;height:154.5pt;rotation:315;z-index:-251658228;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FDA0" w14:textId="104AFCB6" w:rsidR="00BE4282" w:rsidRDefault="00000000">
    <w:pPr>
      <w:pStyle w:val="Header"/>
    </w:pPr>
    <w:r>
      <w:rPr>
        <w:noProof/>
      </w:rPr>
      <w:pict w14:anchorId="59D9B6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81" o:spid="_x0000_s1041" type="#_x0000_t136" style="position:absolute;margin-left:0;margin-top:0;width:540.9pt;height:154.5pt;rotation:315;z-index:-251658224;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jc w:val="center"/>
      <w:tblInd w:w="0" w:type="dxa"/>
      <w:tblLook w:val="04A0" w:firstRow="1" w:lastRow="0" w:firstColumn="1" w:lastColumn="0" w:noHBand="0" w:noVBand="1"/>
    </w:tblPr>
    <w:tblGrid>
      <w:gridCol w:w="2977"/>
      <w:gridCol w:w="5954"/>
      <w:gridCol w:w="1417"/>
    </w:tblGrid>
    <w:tr w:rsidR="00A17289" w14:paraId="30719333" w14:textId="77777777" w:rsidTr="00BC66DF">
      <w:trPr>
        <w:jc w:val="center"/>
      </w:trPr>
      <w:tc>
        <w:tcPr>
          <w:tcW w:w="2977" w:type="dxa"/>
        </w:tcPr>
        <w:p w14:paraId="6B1E9B25" w14:textId="77777777" w:rsidR="00A17289" w:rsidRDefault="00A17289" w:rsidP="00A17289">
          <w:pPr>
            <w:pStyle w:val="Header"/>
          </w:pPr>
        </w:p>
      </w:tc>
      <w:tc>
        <w:tcPr>
          <w:tcW w:w="5954" w:type="dxa"/>
        </w:tcPr>
        <w:p w14:paraId="1032D69A" w14:textId="77777777" w:rsidR="00A17289" w:rsidRPr="00006531" w:rsidRDefault="00A17289" w:rsidP="00A17289">
          <w:pPr>
            <w:pStyle w:val="SecurityDLM"/>
            <w:ind w:left="0"/>
            <w:jc w:val="right"/>
            <w:rPr>
              <w:color w:val="616065" w:themeColor="accent5" w:themeShade="BF"/>
            </w:rPr>
          </w:pPr>
          <w:r w:rsidRPr="00006531">
            <w:rPr>
              <w:color w:val="616065" w:themeColor="accent5" w:themeShade="BF"/>
            </w:rPr>
            <w:t>OFFICIAL</w:t>
          </w:r>
        </w:p>
      </w:tc>
      <w:tc>
        <w:tcPr>
          <w:tcW w:w="1417" w:type="dxa"/>
        </w:tcPr>
        <w:p w14:paraId="095F84AD" w14:textId="77777777" w:rsidR="00A17289" w:rsidRDefault="00A17289" w:rsidP="00A17289">
          <w:pPr>
            <w:pStyle w:val="Header"/>
            <w:jc w:val="right"/>
          </w:pPr>
          <w:r>
            <w:rPr>
              <w:noProof/>
            </w:rPr>
            <w:drawing>
              <wp:inline distT="0" distB="0" distL="0" distR="0" wp14:anchorId="1028E7C4" wp14:editId="0C5014AF">
                <wp:extent cx="755640" cy="755640"/>
                <wp:effectExtent l="0" t="0" r="6985" b="6985"/>
                <wp:docPr id="1766662375" name="Picture 176666237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210A613" w14:textId="388DEE04" w:rsidR="00A17289" w:rsidRDefault="00000000" w:rsidP="00E315C1">
    <w:pPr>
      <w:pStyle w:val="Header"/>
    </w:pPr>
    <w:r>
      <w:rPr>
        <w:noProof/>
      </w:rPr>
      <w:pict w14:anchorId="1419B0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82" o:spid="_x0000_s1042" type="#_x0000_t136" style="position:absolute;margin-left:0;margin-top:0;width:540.9pt;height:154.5pt;rotation:315;z-index:-251658223;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B5291" w14:textId="4C2F0412" w:rsidR="00BE4282" w:rsidRDefault="00000000">
    <w:pPr>
      <w:pStyle w:val="Header"/>
    </w:pPr>
    <w:r>
      <w:rPr>
        <w:noProof/>
      </w:rPr>
      <w:pict w14:anchorId="596D2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80" o:spid="_x0000_s1040" type="#_x0000_t136" style="position:absolute;margin-left:0;margin-top:0;width:540.9pt;height:154.5pt;rotation:315;z-index:-251658225;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CFFE" w14:textId="27CE0F45" w:rsidR="00BE4282" w:rsidRDefault="00000000">
    <w:pPr>
      <w:pStyle w:val="Header"/>
    </w:pPr>
    <w:r>
      <w:rPr>
        <w:noProof/>
      </w:rPr>
      <w:pict w14:anchorId="3EA054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84" o:spid="_x0000_s1044" type="#_x0000_t136" style="position:absolute;margin-left:0;margin-top:0;width:540.9pt;height:154.5pt;rotation:315;z-index:-251658221;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Ind w:w="0" w:type="dxa"/>
      <w:tblLook w:val="04A0" w:firstRow="1" w:lastRow="0" w:firstColumn="1" w:lastColumn="0" w:noHBand="0" w:noVBand="1"/>
    </w:tblPr>
    <w:tblGrid>
      <w:gridCol w:w="2977"/>
      <w:gridCol w:w="5954"/>
      <w:gridCol w:w="1417"/>
    </w:tblGrid>
    <w:tr w:rsidR="002308EE" w14:paraId="444744FC" w14:textId="77777777" w:rsidTr="002308EE">
      <w:tc>
        <w:tcPr>
          <w:tcW w:w="2977" w:type="dxa"/>
        </w:tcPr>
        <w:p w14:paraId="665930B1" w14:textId="77777777" w:rsidR="002308EE" w:rsidRDefault="002308EE" w:rsidP="002308EE">
          <w:pPr>
            <w:pStyle w:val="Header"/>
          </w:pPr>
        </w:p>
      </w:tc>
      <w:tc>
        <w:tcPr>
          <w:tcW w:w="5954" w:type="dxa"/>
        </w:tcPr>
        <w:p w14:paraId="06ADD2FE" w14:textId="6E78D9FD" w:rsidR="002308EE" w:rsidRPr="00006531" w:rsidRDefault="00FD4979" w:rsidP="002308EE">
          <w:pPr>
            <w:pStyle w:val="SecurityDLM"/>
            <w:ind w:left="0"/>
            <w:jc w:val="right"/>
            <w:rPr>
              <w:color w:val="616065" w:themeColor="accent5" w:themeShade="BF"/>
            </w:rPr>
          </w:pPr>
          <w:r w:rsidRPr="00006531">
            <w:rPr>
              <w:color w:val="616065" w:themeColor="accent5" w:themeShade="BF"/>
            </w:rPr>
            <w:t>OFFICIAL</w:t>
          </w:r>
        </w:p>
      </w:tc>
      <w:tc>
        <w:tcPr>
          <w:tcW w:w="1417" w:type="dxa"/>
        </w:tcPr>
        <w:p w14:paraId="558401D6" w14:textId="77777777" w:rsidR="002308EE" w:rsidRDefault="002308EE" w:rsidP="002308EE">
          <w:pPr>
            <w:pStyle w:val="Header"/>
            <w:jc w:val="right"/>
          </w:pPr>
          <w:r>
            <w:rPr>
              <w:noProof/>
            </w:rPr>
            <w:drawing>
              <wp:inline distT="0" distB="0" distL="0" distR="0" wp14:anchorId="7F7A8169" wp14:editId="19C38EEF">
                <wp:extent cx="755640" cy="755640"/>
                <wp:effectExtent l="0" t="0" r="6985" b="6985"/>
                <wp:docPr id="723005831" name="Picture 723005831"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7D2E5401" w14:textId="6920D284" w:rsidR="0022668B" w:rsidRDefault="00000000" w:rsidP="0022668B">
    <w:pPr>
      <w:pStyle w:val="Header"/>
    </w:pPr>
    <w:r>
      <w:rPr>
        <w:noProof/>
      </w:rPr>
      <w:pict w14:anchorId="01746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67" o:spid="_x0000_s1027" type="#_x0000_t136" style="position:absolute;margin-left:0;margin-top:0;width:540.9pt;height:154.5pt;rotation:315;z-index:-251658238;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p w14:paraId="7559B01B" w14:textId="77777777" w:rsidR="002308EE" w:rsidRDefault="002308EE" w:rsidP="0022668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9F5AE" w14:textId="14ADAFBA" w:rsidR="00B01069" w:rsidRDefault="00000000" w:rsidP="00E315C1">
    <w:pPr>
      <w:pStyle w:val="Header"/>
    </w:pPr>
    <w:r>
      <w:rPr>
        <w:noProof/>
      </w:rPr>
      <w:pict w14:anchorId="055B25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85" o:spid="_x0000_s1045" type="#_x0000_t136" style="position:absolute;margin-left:0;margin-top:0;width:540.9pt;height:154.5pt;rotation:315;z-index:-251658220;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485C" w14:textId="5C7C30C9" w:rsidR="00510FCB" w:rsidRPr="004F3F99" w:rsidRDefault="00000000" w:rsidP="004F3F99">
    <w:pPr>
      <w:pStyle w:val="Header"/>
    </w:pPr>
    <w:r>
      <w:rPr>
        <w:noProof/>
      </w:rPr>
      <w:pict w14:anchorId="07B59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83" o:spid="_x0000_s1043" type="#_x0000_t136" style="position:absolute;margin-left:0;margin-top:0;width:540.9pt;height:154.5pt;rotation:315;z-index:-251658222;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Ind w:w="0" w:type="dxa"/>
      <w:tblLook w:val="04A0" w:firstRow="1" w:lastRow="0" w:firstColumn="1" w:lastColumn="0" w:noHBand="0" w:noVBand="1"/>
    </w:tblPr>
    <w:tblGrid>
      <w:gridCol w:w="5386"/>
      <w:gridCol w:w="3259"/>
      <w:gridCol w:w="1415"/>
    </w:tblGrid>
    <w:tr w:rsidR="003B3DE8" w14:paraId="5D0C5D36" w14:textId="77777777" w:rsidTr="002308EE">
      <w:tc>
        <w:tcPr>
          <w:tcW w:w="5386" w:type="dxa"/>
        </w:tcPr>
        <w:p w14:paraId="56864A26" w14:textId="77777777" w:rsidR="003B3DE8" w:rsidRDefault="003B3DE8" w:rsidP="0022668B">
          <w:pPr>
            <w:pStyle w:val="Header"/>
          </w:pPr>
          <w:bookmarkStart w:id="146" w:name="_Hlk212018222"/>
          <w:r>
            <w:rPr>
              <w:noProof/>
            </w:rPr>
            <w:drawing>
              <wp:inline distT="0" distB="0" distL="0" distR="0" wp14:anchorId="6CB8364D" wp14:editId="72081ECE">
                <wp:extent cx="3282950" cy="756920"/>
                <wp:effectExtent l="0" t="0" r="0" b="5080"/>
                <wp:docPr id="1789778780" name="Picture 1789778780"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78D7889D" w14:textId="3493C46A" w:rsidR="003B3DE8" w:rsidRPr="00006531" w:rsidRDefault="00FD4979" w:rsidP="002308EE">
          <w:pPr>
            <w:pStyle w:val="SecurityDLM"/>
            <w:ind w:left="0"/>
            <w:jc w:val="right"/>
            <w:rPr>
              <w:color w:val="595959" w:themeColor="text1" w:themeTint="A6"/>
            </w:rPr>
          </w:pPr>
          <w:r w:rsidRPr="00006531">
            <w:rPr>
              <w:color w:val="595959" w:themeColor="text1" w:themeTint="A6"/>
            </w:rPr>
            <w:t>OFFICIAL</w:t>
          </w:r>
        </w:p>
      </w:tc>
      <w:tc>
        <w:tcPr>
          <w:tcW w:w="1415" w:type="dxa"/>
        </w:tcPr>
        <w:p w14:paraId="7FA0F60D" w14:textId="77777777" w:rsidR="003B3DE8" w:rsidRDefault="002308EE" w:rsidP="002308EE">
          <w:pPr>
            <w:pStyle w:val="Header"/>
            <w:jc w:val="right"/>
          </w:pPr>
          <w:r>
            <w:rPr>
              <w:noProof/>
            </w:rPr>
            <w:drawing>
              <wp:inline distT="0" distB="0" distL="0" distR="0" wp14:anchorId="3C92C856" wp14:editId="661C5CB0">
                <wp:extent cx="755640" cy="755640"/>
                <wp:effectExtent l="0" t="0" r="6985" b="6985"/>
                <wp:docPr id="529955141" name="Picture 529955141"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bookmarkEnd w:id="146"/>
  <w:p w14:paraId="6F23BDCA" w14:textId="1FE1B8D2" w:rsidR="00133DD8" w:rsidRDefault="00000000" w:rsidP="002308EE">
    <w:pPr>
      <w:rPr>
        <w:noProof/>
      </w:rPr>
    </w:pPr>
    <w:r>
      <w:rPr>
        <w:noProof/>
      </w:rPr>
      <w:pict w14:anchorId="483B24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65" o:spid="_x0000_s1025" type="#_x0000_t136" style="position:absolute;margin-left:0;margin-top:0;width:540.9pt;height:154.5pt;rotation:315;z-index:-251658240;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p w14:paraId="0C879D2F" w14:textId="77777777" w:rsidR="004F3F99" w:rsidRDefault="004F3F99" w:rsidP="002308EE">
    <w:pPr>
      <w:rPr>
        <w:noProof/>
      </w:rPr>
    </w:pPr>
  </w:p>
  <w:p w14:paraId="7988F963" w14:textId="77777777" w:rsidR="004F3F99" w:rsidRDefault="004F3F99" w:rsidP="002308EE">
    <w:pPr>
      <w:rPr>
        <w:noProof/>
      </w:rPr>
    </w:pPr>
  </w:p>
  <w:p w14:paraId="681290DA" w14:textId="77777777" w:rsidR="004F3F99" w:rsidRDefault="004F3F99" w:rsidP="002308EE">
    <w:pPr>
      <w:rPr>
        <w:noProof/>
      </w:rPr>
    </w:pPr>
  </w:p>
  <w:p w14:paraId="18609EA0" w14:textId="77777777" w:rsidR="004F3F99" w:rsidRDefault="004F3F99" w:rsidP="002308EE">
    <w:pPr>
      <w:rPr>
        <w:noProof/>
      </w:rPr>
    </w:pPr>
  </w:p>
  <w:p w14:paraId="4336B1A9" w14:textId="77777777" w:rsidR="004F3F99" w:rsidRDefault="004F3F99" w:rsidP="002308EE">
    <w:pPr>
      <w:rPr>
        <w:noProof/>
      </w:rPr>
    </w:pPr>
  </w:p>
  <w:p w14:paraId="5945B5B3" w14:textId="77777777" w:rsidR="004F3F99" w:rsidRDefault="004F3F99" w:rsidP="002308EE">
    <w:pPr>
      <w:rPr>
        <w:noProof/>
      </w:rPr>
    </w:pPr>
  </w:p>
  <w:p w14:paraId="76B50139" w14:textId="77777777" w:rsidR="004F3F99" w:rsidRDefault="004F3F99" w:rsidP="002308EE">
    <w:pPr>
      <w:rPr>
        <w:noProof/>
      </w:rPr>
    </w:pPr>
  </w:p>
  <w:p w14:paraId="3534F730" w14:textId="77777777" w:rsidR="004F3F99" w:rsidRDefault="004F3F99" w:rsidP="002308EE">
    <w:pPr>
      <w:rPr>
        <w:noProof/>
      </w:rPr>
    </w:pPr>
  </w:p>
  <w:p w14:paraId="14E4041D" w14:textId="77777777" w:rsidR="004F3F99" w:rsidRPr="00A7117A" w:rsidRDefault="004F3F99" w:rsidP="002308EE">
    <w:pPr>
      <w:rPr>
        <w:noProo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E8A2" w14:textId="78A1C65C" w:rsidR="00BE4282" w:rsidRDefault="00000000">
    <w:pPr>
      <w:pStyle w:val="Header"/>
    </w:pPr>
    <w:r>
      <w:rPr>
        <w:noProof/>
      </w:rPr>
      <w:pict w14:anchorId="74082C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69" o:spid="_x0000_s1029" type="#_x0000_t136" style="position:absolute;margin-left:0;margin-top:0;width:540.9pt;height:154.5pt;rotation:315;z-index:-251658236;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60B0" w14:textId="6D9C8207" w:rsidR="00006531" w:rsidRDefault="00000000" w:rsidP="0022668B">
    <w:pPr>
      <w:pStyle w:val="Header"/>
    </w:pPr>
    <w:r>
      <w:rPr>
        <w:noProof/>
      </w:rPr>
      <w:pict w14:anchorId="04132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0" o:spid="_x0000_s1030" type="#_x0000_t136" style="position:absolute;margin-left:0;margin-top:0;width:540.9pt;height:154.5pt;rotation:315;z-index:-251658235;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p w14:paraId="46CC2FA8" w14:textId="77777777" w:rsidR="00006531" w:rsidRDefault="00006531" w:rsidP="0022668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B7521" w14:textId="379AE1E1" w:rsidR="00BE4282" w:rsidRDefault="00000000">
    <w:pPr>
      <w:pStyle w:val="Header"/>
    </w:pPr>
    <w:r>
      <w:rPr>
        <w:noProof/>
      </w:rPr>
      <w:pict w14:anchorId="51BC15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68" o:spid="_x0000_s1028" type="#_x0000_t136" style="position:absolute;margin-left:0;margin-top:0;width:540.9pt;height:154.5pt;rotation:315;z-index:-251658237;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F809" w14:textId="3BD86E30" w:rsidR="00BE4282" w:rsidRDefault="00000000">
    <w:pPr>
      <w:pStyle w:val="Header"/>
    </w:pPr>
    <w:r>
      <w:rPr>
        <w:noProof/>
      </w:rPr>
      <w:pict w14:anchorId="3A99DD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2" o:spid="_x0000_s1032" type="#_x0000_t136" style="position:absolute;margin-left:0;margin-top:0;width:540.9pt;height:154.5pt;rotation:315;z-index:-251658233;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jc w:val="center"/>
      <w:tblInd w:w="0" w:type="dxa"/>
      <w:tblLook w:val="04A0" w:firstRow="1" w:lastRow="0" w:firstColumn="1" w:lastColumn="0" w:noHBand="0" w:noVBand="1"/>
    </w:tblPr>
    <w:tblGrid>
      <w:gridCol w:w="2977"/>
      <w:gridCol w:w="5954"/>
      <w:gridCol w:w="1417"/>
    </w:tblGrid>
    <w:tr w:rsidR="004F3F99" w14:paraId="2D206375" w14:textId="77777777" w:rsidTr="004F3F99">
      <w:trPr>
        <w:jc w:val="center"/>
      </w:trPr>
      <w:tc>
        <w:tcPr>
          <w:tcW w:w="2977" w:type="dxa"/>
        </w:tcPr>
        <w:p w14:paraId="2BFEA703" w14:textId="77777777" w:rsidR="004F3F99" w:rsidRDefault="004F3F99" w:rsidP="004F3F99">
          <w:pPr>
            <w:pStyle w:val="Header"/>
          </w:pPr>
        </w:p>
      </w:tc>
      <w:tc>
        <w:tcPr>
          <w:tcW w:w="5954" w:type="dxa"/>
        </w:tcPr>
        <w:p w14:paraId="6359F096" w14:textId="77777777" w:rsidR="004F3F99" w:rsidRPr="00006531" w:rsidRDefault="004F3F99" w:rsidP="004F3F99">
          <w:pPr>
            <w:pStyle w:val="SecurityDLM"/>
            <w:ind w:left="0"/>
            <w:jc w:val="right"/>
            <w:rPr>
              <w:color w:val="616065" w:themeColor="accent5" w:themeShade="BF"/>
            </w:rPr>
          </w:pPr>
          <w:r w:rsidRPr="00006531">
            <w:rPr>
              <w:color w:val="616065" w:themeColor="accent5" w:themeShade="BF"/>
            </w:rPr>
            <w:t>OFFICIAL</w:t>
          </w:r>
        </w:p>
      </w:tc>
      <w:tc>
        <w:tcPr>
          <w:tcW w:w="1417" w:type="dxa"/>
        </w:tcPr>
        <w:p w14:paraId="0C6F83CF" w14:textId="77777777" w:rsidR="004F3F99" w:rsidRDefault="004F3F99" w:rsidP="004F3F99">
          <w:pPr>
            <w:pStyle w:val="Header"/>
            <w:jc w:val="right"/>
          </w:pPr>
          <w:r>
            <w:rPr>
              <w:noProof/>
            </w:rPr>
            <w:drawing>
              <wp:inline distT="0" distB="0" distL="0" distR="0" wp14:anchorId="4E944F60" wp14:editId="2AB607D8">
                <wp:extent cx="755640" cy="755640"/>
                <wp:effectExtent l="0" t="0" r="6985" b="6985"/>
                <wp:docPr id="1673652771" name="Picture 1673652771"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3E53B7E" w14:textId="7F884B81" w:rsidR="004F3F99" w:rsidRDefault="00000000" w:rsidP="004F3F99">
    <w:pPr>
      <w:pStyle w:val="Header"/>
      <w:jc w:val="center"/>
    </w:pPr>
    <w:r>
      <w:rPr>
        <w:noProof/>
      </w:rPr>
      <w:pict w14:anchorId="0E5C21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3" o:spid="_x0000_s1033" type="#_x0000_t136" style="position:absolute;left:0;text-align:left;margin-left:0;margin-top:0;width:540.9pt;height:154.5pt;rotation:315;z-index:-251658232;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A54E" w14:textId="5233FC97" w:rsidR="00BE4282" w:rsidRDefault="00000000">
    <w:pPr>
      <w:pStyle w:val="Header"/>
    </w:pPr>
    <w:r>
      <w:rPr>
        <w:noProof/>
      </w:rPr>
      <w:pict w14:anchorId="65C85A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271" o:spid="_x0000_s1031" type="#_x0000_t136" style="position:absolute;margin-left:0;margin-top:0;width:540.9pt;height:154.5pt;rotation:315;z-index:-251658234;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301CF572"/>
    <w:lvl w:ilvl="0">
      <w:start w:val="4"/>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B61E60"/>
    <w:multiLevelType w:val="hybridMultilevel"/>
    <w:tmpl w:val="F3C69B96"/>
    <w:styleLink w:val="KCBullets1"/>
    <w:lvl w:ilvl="0" w:tplc="7658AB30">
      <w:numFmt w:val="bullet"/>
      <w:lvlText w:val="•"/>
      <w:lvlJc w:val="left"/>
      <w:pPr>
        <w:ind w:left="720" w:hanging="360"/>
      </w:pPr>
      <w:rPr>
        <w:rFonts w:ascii="Gotham Book" w:eastAsia="Times New Roman" w:hAnsi="Gotham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94C3B01"/>
    <w:multiLevelType w:val="hybridMultilevel"/>
    <w:tmpl w:val="B7BAEB6E"/>
    <w:styleLink w:val="TableNumber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B6B0EB3"/>
    <w:multiLevelType w:val="hybridMultilevel"/>
    <w:tmpl w:val="1D300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62574F"/>
    <w:multiLevelType w:val="hybridMultilevel"/>
    <w:tmpl w:val="53B23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200DCE"/>
    <w:multiLevelType w:val="hybridMultilevel"/>
    <w:tmpl w:val="B00C2C22"/>
    <w:styleLink w:val="DefaultBullet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D240A8"/>
    <w:multiLevelType w:val="hybridMultilevel"/>
    <w:tmpl w:val="6BAC442E"/>
    <w:styleLink w:val="FigureNumbers1"/>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11"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12" w15:restartNumberingAfterBreak="0">
    <w:nsid w:val="33C30F7C"/>
    <w:multiLevelType w:val="hybridMultilevel"/>
    <w:tmpl w:val="883A84FC"/>
    <w:styleLink w:val="RList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14" w15:restartNumberingAfterBreak="0">
    <w:nsid w:val="36576506"/>
    <w:multiLevelType w:val="hybridMultilevel"/>
    <w:tmpl w:val="AD74DDB6"/>
    <w:styleLink w:val="BoxedBullets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9A7456"/>
    <w:multiLevelType w:val="hybridMultilevel"/>
    <w:tmpl w:val="26C0DBC4"/>
    <w:styleLink w:val="List1Numbere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3FD769E7"/>
    <w:multiLevelType w:val="hybridMultilevel"/>
    <w:tmpl w:val="45AE9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9" w15:restartNumberingAfterBreak="0">
    <w:nsid w:val="42A45B4B"/>
    <w:multiLevelType w:val="hybridMultilevel"/>
    <w:tmpl w:val="2C7CFE1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448A326E"/>
    <w:multiLevelType w:val="hybridMultilevel"/>
    <w:tmpl w:val="B9FC8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DC6C8E"/>
    <w:multiLevelType w:val="multilevel"/>
    <w:tmpl w:val="131EEC6C"/>
    <w:numStyleLink w:val="TableNumbers"/>
  </w:abstractNum>
  <w:abstractNum w:abstractNumId="22"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8615703"/>
    <w:multiLevelType w:val="multilevel"/>
    <w:tmpl w:val="803CF862"/>
    <w:numStyleLink w:val="List1Numbered"/>
  </w:abstractNum>
  <w:abstractNum w:abstractNumId="25" w15:restartNumberingAfterBreak="0">
    <w:nsid w:val="5B3305E8"/>
    <w:multiLevelType w:val="hybridMultilevel"/>
    <w:tmpl w:val="70A8437E"/>
    <w:styleLink w:val="NumberedHeadings1"/>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5E676E09"/>
    <w:multiLevelType w:val="multilevel"/>
    <w:tmpl w:val="0C09001F"/>
    <w:numStyleLink w:val="NumberedHeadings"/>
  </w:abstractNum>
  <w:abstractNum w:abstractNumId="27" w15:restartNumberingAfterBreak="0">
    <w:nsid w:val="6E7B356B"/>
    <w:multiLevelType w:val="hybridMultilevel"/>
    <w:tmpl w:val="8E00074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73AA04DA"/>
    <w:multiLevelType w:val="hybridMultilevel"/>
    <w:tmpl w:val="82EC07D0"/>
    <w:styleLink w:val="AppendixNumber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E44065"/>
    <w:multiLevelType w:val="multilevel"/>
    <w:tmpl w:val="A41689A2"/>
    <w:numStyleLink w:val="AppendixNumbers"/>
  </w:abstractNum>
  <w:abstractNum w:abstractNumId="31"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31"/>
  </w:num>
  <w:num w:numId="2" w16cid:durableId="709764690">
    <w:abstractNumId w:val="22"/>
  </w:num>
  <w:num w:numId="3" w16cid:durableId="142164143">
    <w:abstractNumId w:val="22"/>
  </w:num>
  <w:num w:numId="4" w16cid:durableId="1158381352">
    <w:abstractNumId w:val="18"/>
  </w:num>
  <w:num w:numId="5" w16cid:durableId="2105416843">
    <w:abstractNumId w:val="18"/>
  </w:num>
  <w:num w:numId="6" w16cid:durableId="491412865">
    <w:abstractNumId w:val="28"/>
  </w:num>
  <w:num w:numId="7" w16cid:durableId="1070150997">
    <w:abstractNumId w:val="28"/>
  </w:num>
  <w:num w:numId="8" w16cid:durableId="2095473806">
    <w:abstractNumId w:val="6"/>
  </w:num>
  <w:num w:numId="9" w16cid:durableId="960039475">
    <w:abstractNumId w:val="0"/>
  </w:num>
  <w:num w:numId="10" w16cid:durableId="1213810782">
    <w:abstractNumId w:val="23"/>
  </w:num>
  <w:num w:numId="11" w16cid:durableId="999507997">
    <w:abstractNumId w:val="2"/>
  </w:num>
  <w:num w:numId="12" w16cid:durableId="991106785">
    <w:abstractNumId w:val="4"/>
  </w:num>
  <w:num w:numId="13" w16cid:durableId="1844390436">
    <w:abstractNumId w:val="24"/>
  </w:num>
  <w:num w:numId="14" w16cid:durableId="1228960154">
    <w:abstractNumId w:val="24"/>
  </w:num>
  <w:num w:numId="15" w16cid:durableId="1083524882">
    <w:abstractNumId w:val="11"/>
  </w:num>
  <w:num w:numId="16" w16cid:durableId="709378581">
    <w:abstractNumId w:val="8"/>
  </w:num>
  <w:num w:numId="17" w16cid:durableId="1198665999">
    <w:abstractNumId w:val="21"/>
    <w:lvlOverride w:ilvl="0">
      <w:lvl w:ilvl="0">
        <w:start w:val="1"/>
        <w:numFmt w:val="decimal"/>
        <w:pStyle w:val="TableTitle"/>
        <w:lvlText w:val="Table %1."/>
        <w:lvlJc w:val="left"/>
        <w:pPr>
          <w:ind w:left="1134" w:hanging="1134"/>
        </w:pPr>
        <w:rPr>
          <w:rFonts w:hint="default"/>
          <w:b/>
          <w:i w:val="0"/>
          <w:caps w:val="0"/>
          <w:color w:val="005F85" w:themeColor="accent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16cid:durableId="1040395793">
    <w:abstractNumId w:val="13"/>
  </w:num>
  <w:num w:numId="19" w16cid:durableId="583104145">
    <w:abstractNumId w:val="30"/>
  </w:num>
  <w:num w:numId="20" w16cid:durableId="1291282911">
    <w:abstractNumId w:val="26"/>
  </w:num>
  <w:num w:numId="21" w16cid:durableId="1443452407">
    <w:abstractNumId w:val="16"/>
  </w:num>
  <w:num w:numId="22" w16cid:durableId="163590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2449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4103553">
    <w:abstractNumId w:val="12"/>
  </w:num>
  <w:num w:numId="25" w16cid:durableId="1475025360">
    <w:abstractNumId w:val="29"/>
  </w:num>
  <w:num w:numId="26" w16cid:durableId="722602495">
    <w:abstractNumId w:val="14"/>
  </w:num>
  <w:num w:numId="27" w16cid:durableId="1113674171">
    <w:abstractNumId w:val="9"/>
  </w:num>
  <w:num w:numId="28" w16cid:durableId="1518233360">
    <w:abstractNumId w:val="10"/>
  </w:num>
  <w:num w:numId="29" w16cid:durableId="1870992060">
    <w:abstractNumId w:val="27"/>
  </w:num>
  <w:num w:numId="30" w16cid:durableId="1907757826">
    <w:abstractNumId w:val="25"/>
  </w:num>
  <w:num w:numId="31" w16cid:durableId="744644949">
    <w:abstractNumId w:val="1"/>
  </w:num>
  <w:num w:numId="32" w16cid:durableId="1954441677">
    <w:abstractNumId w:val="15"/>
  </w:num>
  <w:num w:numId="33" w16cid:durableId="587082459">
    <w:abstractNumId w:val="20"/>
  </w:num>
  <w:num w:numId="34" w16cid:durableId="818958041">
    <w:abstractNumId w:val="5"/>
  </w:num>
  <w:num w:numId="35" w16cid:durableId="181358357">
    <w:abstractNumId w:val="3"/>
  </w:num>
  <w:num w:numId="36" w16cid:durableId="278948765">
    <w:abstractNumId w:val="17"/>
  </w:num>
  <w:num w:numId="37" w16cid:durableId="1828131155">
    <w:abstractNumId w:val="19"/>
  </w:num>
  <w:num w:numId="38" w16cid:durableId="415321500">
    <w:abstractNumId w:val="7"/>
  </w:num>
  <w:num w:numId="39" w16cid:durableId="634677340">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46512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423274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1035402">
    <w:abstractNumId w:val="21"/>
    <w:lvlOverride w:ilvl="0">
      <w:startOverride w:val="1"/>
      <w:lvl w:ilvl="0">
        <w:start w:val="1"/>
        <w:numFmt w:val="decimal"/>
        <w:pStyle w:val="TableTitle"/>
        <w:lvlText w:val="Table %1."/>
        <w:lvlJc w:val="left"/>
        <w:pPr>
          <w:ind w:left="1134" w:hanging="1134"/>
        </w:pPr>
        <w:rPr>
          <w:rFonts w:hint="default"/>
          <w:b/>
          <w:i w:val="0"/>
          <w:caps w:val="0"/>
          <w:color w:val="005F85" w:themeColor="accent2"/>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A3"/>
    <w:rsid w:val="00006531"/>
    <w:rsid w:val="00015B68"/>
    <w:rsid w:val="00024852"/>
    <w:rsid w:val="00027DF4"/>
    <w:rsid w:val="000317D8"/>
    <w:rsid w:val="00036214"/>
    <w:rsid w:val="00043B67"/>
    <w:rsid w:val="0004635D"/>
    <w:rsid w:val="0004683C"/>
    <w:rsid w:val="0005264E"/>
    <w:rsid w:val="00054C25"/>
    <w:rsid w:val="00061B60"/>
    <w:rsid w:val="00066BA6"/>
    <w:rsid w:val="0006706B"/>
    <w:rsid w:val="0008622C"/>
    <w:rsid w:val="000875B5"/>
    <w:rsid w:val="000A4520"/>
    <w:rsid w:val="000A4685"/>
    <w:rsid w:val="000A5D8A"/>
    <w:rsid w:val="000A6BAD"/>
    <w:rsid w:val="000B04D8"/>
    <w:rsid w:val="000B1EDE"/>
    <w:rsid w:val="000B2294"/>
    <w:rsid w:val="000B7651"/>
    <w:rsid w:val="000D1B86"/>
    <w:rsid w:val="000D4CF5"/>
    <w:rsid w:val="000D586A"/>
    <w:rsid w:val="000D702D"/>
    <w:rsid w:val="000D78D9"/>
    <w:rsid w:val="0010001D"/>
    <w:rsid w:val="00100636"/>
    <w:rsid w:val="001025A2"/>
    <w:rsid w:val="001060E2"/>
    <w:rsid w:val="0010770F"/>
    <w:rsid w:val="00107B3D"/>
    <w:rsid w:val="00124439"/>
    <w:rsid w:val="00125EF3"/>
    <w:rsid w:val="00133DD8"/>
    <w:rsid w:val="00134C70"/>
    <w:rsid w:val="0013625C"/>
    <w:rsid w:val="0013708D"/>
    <w:rsid w:val="001376A2"/>
    <w:rsid w:val="00143295"/>
    <w:rsid w:val="001468D2"/>
    <w:rsid w:val="001508C3"/>
    <w:rsid w:val="0015327E"/>
    <w:rsid w:val="001554AD"/>
    <w:rsid w:val="001600D8"/>
    <w:rsid w:val="00162191"/>
    <w:rsid w:val="00163514"/>
    <w:rsid w:val="0016400B"/>
    <w:rsid w:val="00165C1E"/>
    <w:rsid w:val="00166A05"/>
    <w:rsid w:val="00175AC7"/>
    <w:rsid w:val="00190F72"/>
    <w:rsid w:val="00192B06"/>
    <w:rsid w:val="00195348"/>
    <w:rsid w:val="001A3D7C"/>
    <w:rsid w:val="001A51D8"/>
    <w:rsid w:val="001A5B41"/>
    <w:rsid w:val="001B04D1"/>
    <w:rsid w:val="001B1D05"/>
    <w:rsid w:val="001B5BD5"/>
    <w:rsid w:val="001C3170"/>
    <w:rsid w:val="001C55E6"/>
    <w:rsid w:val="001D44B0"/>
    <w:rsid w:val="001D675F"/>
    <w:rsid w:val="001E04F2"/>
    <w:rsid w:val="001E516B"/>
    <w:rsid w:val="001F0F10"/>
    <w:rsid w:val="001F2766"/>
    <w:rsid w:val="001F41DD"/>
    <w:rsid w:val="00201B68"/>
    <w:rsid w:val="0020373A"/>
    <w:rsid w:val="00204292"/>
    <w:rsid w:val="0020432F"/>
    <w:rsid w:val="002044A8"/>
    <w:rsid w:val="002112A6"/>
    <w:rsid w:val="00211817"/>
    <w:rsid w:val="00215F1B"/>
    <w:rsid w:val="0021777D"/>
    <w:rsid w:val="00220D6C"/>
    <w:rsid w:val="00222CCD"/>
    <w:rsid w:val="002232A6"/>
    <w:rsid w:val="0022668B"/>
    <w:rsid w:val="00226F39"/>
    <w:rsid w:val="002308EE"/>
    <w:rsid w:val="0023133C"/>
    <w:rsid w:val="00232F9E"/>
    <w:rsid w:val="00235319"/>
    <w:rsid w:val="00241537"/>
    <w:rsid w:val="0024221E"/>
    <w:rsid w:val="00246402"/>
    <w:rsid w:val="00247C82"/>
    <w:rsid w:val="00253BF9"/>
    <w:rsid w:val="00257C2B"/>
    <w:rsid w:val="00262498"/>
    <w:rsid w:val="00262914"/>
    <w:rsid w:val="002634F4"/>
    <w:rsid w:val="00266B5F"/>
    <w:rsid w:val="0027290B"/>
    <w:rsid w:val="00274343"/>
    <w:rsid w:val="002838EF"/>
    <w:rsid w:val="0028391A"/>
    <w:rsid w:val="002852AD"/>
    <w:rsid w:val="002864D1"/>
    <w:rsid w:val="002A6795"/>
    <w:rsid w:val="002B0E92"/>
    <w:rsid w:val="002B321E"/>
    <w:rsid w:val="002B4924"/>
    <w:rsid w:val="002B4C60"/>
    <w:rsid w:val="002C2175"/>
    <w:rsid w:val="002C32CE"/>
    <w:rsid w:val="002C6982"/>
    <w:rsid w:val="002C79AF"/>
    <w:rsid w:val="002D320F"/>
    <w:rsid w:val="002D7D5C"/>
    <w:rsid w:val="002E1269"/>
    <w:rsid w:val="002E2186"/>
    <w:rsid w:val="002E734F"/>
    <w:rsid w:val="003017A7"/>
    <w:rsid w:val="003025E7"/>
    <w:rsid w:val="00311B94"/>
    <w:rsid w:val="003120CE"/>
    <w:rsid w:val="003138BD"/>
    <w:rsid w:val="00314E02"/>
    <w:rsid w:val="00314E93"/>
    <w:rsid w:val="003164D1"/>
    <w:rsid w:val="00323BE7"/>
    <w:rsid w:val="00323D95"/>
    <w:rsid w:val="003260D5"/>
    <w:rsid w:val="003369FE"/>
    <w:rsid w:val="00337267"/>
    <w:rsid w:val="003412BD"/>
    <w:rsid w:val="003422F3"/>
    <w:rsid w:val="00343D25"/>
    <w:rsid w:val="0034426F"/>
    <w:rsid w:val="003449A0"/>
    <w:rsid w:val="00345952"/>
    <w:rsid w:val="00350E12"/>
    <w:rsid w:val="003524D0"/>
    <w:rsid w:val="003539DD"/>
    <w:rsid w:val="00356B5F"/>
    <w:rsid w:val="00362BA7"/>
    <w:rsid w:val="00364F46"/>
    <w:rsid w:val="0036615A"/>
    <w:rsid w:val="003707A6"/>
    <w:rsid w:val="00371F4C"/>
    <w:rsid w:val="003752B8"/>
    <w:rsid w:val="003809D6"/>
    <w:rsid w:val="00390904"/>
    <w:rsid w:val="00391F3D"/>
    <w:rsid w:val="00393599"/>
    <w:rsid w:val="0039643D"/>
    <w:rsid w:val="00397E79"/>
    <w:rsid w:val="003A2915"/>
    <w:rsid w:val="003A7A4E"/>
    <w:rsid w:val="003A7CB0"/>
    <w:rsid w:val="003A7D10"/>
    <w:rsid w:val="003B2CC6"/>
    <w:rsid w:val="003B3DE8"/>
    <w:rsid w:val="003C3635"/>
    <w:rsid w:val="003C5A56"/>
    <w:rsid w:val="003C7A6E"/>
    <w:rsid w:val="003D12CA"/>
    <w:rsid w:val="003D1E0E"/>
    <w:rsid w:val="003D48D8"/>
    <w:rsid w:val="003E4045"/>
    <w:rsid w:val="003E5164"/>
    <w:rsid w:val="003E5549"/>
    <w:rsid w:val="003E5592"/>
    <w:rsid w:val="003F759C"/>
    <w:rsid w:val="004039F1"/>
    <w:rsid w:val="004043A6"/>
    <w:rsid w:val="00405653"/>
    <w:rsid w:val="004110E7"/>
    <w:rsid w:val="00411BE7"/>
    <w:rsid w:val="00417D7A"/>
    <w:rsid w:val="004224B0"/>
    <w:rsid w:val="004237A5"/>
    <w:rsid w:val="00426F95"/>
    <w:rsid w:val="0042737C"/>
    <w:rsid w:val="00437279"/>
    <w:rsid w:val="004439BA"/>
    <w:rsid w:val="00460535"/>
    <w:rsid w:val="004637A4"/>
    <w:rsid w:val="0047127A"/>
    <w:rsid w:val="0047201D"/>
    <w:rsid w:val="00472455"/>
    <w:rsid w:val="0047698F"/>
    <w:rsid w:val="00477D73"/>
    <w:rsid w:val="00480903"/>
    <w:rsid w:val="00497B5D"/>
    <w:rsid w:val="004A4D69"/>
    <w:rsid w:val="004A5208"/>
    <w:rsid w:val="004A7922"/>
    <w:rsid w:val="004B2317"/>
    <w:rsid w:val="004D43B4"/>
    <w:rsid w:val="004E0E42"/>
    <w:rsid w:val="004E1C70"/>
    <w:rsid w:val="004E1EFF"/>
    <w:rsid w:val="004E7DFB"/>
    <w:rsid w:val="004F3F99"/>
    <w:rsid w:val="004F4E48"/>
    <w:rsid w:val="00505285"/>
    <w:rsid w:val="00510FCB"/>
    <w:rsid w:val="00512E92"/>
    <w:rsid w:val="00513C0A"/>
    <w:rsid w:val="005232A2"/>
    <w:rsid w:val="0052435A"/>
    <w:rsid w:val="00527BDC"/>
    <w:rsid w:val="00532AAA"/>
    <w:rsid w:val="00532C18"/>
    <w:rsid w:val="005363D9"/>
    <w:rsid w:val="0053684B"/>
    <w:rsid w:val="005409FB"/>
    <w:rsid w:val="00543D85"/>
    <w:rsid w:val="0054535C"/>
    <w:rsid w:val="00547DAE"/>
    <w:rsid w:val="005504A3"/>
    <w:rsid w:val="00550A41"/>
    <w:rsid w:val="00550EFC"/>
    <w:rsid w:val="00554943"/>
    <w:rsid w:val="005554BA"/>
    <w:rsid w:val="005556E7"/>
    <w:rsid w:val="00562AE1"/>
    <w:rsid w:val="00564593"/>
    <w:rsid w:val="00567F17"/>
    <w:rsid w:val="00576109"/>
    <w:rsid w:val="00576701"/>
    <w:rsid w:val="00577DCE"/>
    <w:rsid w:val="005863F5"/>
    <w:rsid w:val="005A1D5B"/>
    <w:rsid w:val="005A375E"/>
    <w:rsid w:val="005A38C5"/>
    <w:rsid w:val="005A6C26"/>
    <w:rsid w:val="005B218C"/>
    <w:rsid w:val="005B511B"/>
    <w:rsid w:val="005C273A"/>
    <w:rsid w:val="005C282A"/>
    <w:rsid w:val="005D11ED"/>
    <w:rsid w:val="005D2E97"/>
    <w:rsid w:val="005D3213"/>
    <w:rsid w:val="005D507B"/>
    <w:rsid w:val="005E15B3"/>
    <w:rsid w:val="005F4738"/>
    <w:rsid w:val="006000CB"/>
    <w:rsid w:val="00613A40"/>
    <w:rsid w:val="00617D03"/>
    <w:rsid w:val="006219FE"/>
    <w:rsid w:val="00624CA1"/>
    <w:rsid w:val="00626672"/>
    <w:rsid w:val="006300B5"/>
    <w:rsid w:val="00630453"/>
    <w:rsid w:val="00632221"/>
    <w:rsid w:val="00634583"/>
    <w:rsid w:val="00642082"/>
    <w:rsid w:val="00643E62"/>
    <w:rsid w:val="006513D8"/>
    <w:rsid w:val="00665D5F"/>
    <w:rsid w:val="0066672E"/>
    <w:rsid w:val="00667A3D"/>
    <w:rsid w:val="00673332"/>
    <w:rsid w:val="00674CB1"/>
    <w:rsid w:val="00675C9D"/>
    <w:rsid w:val="00675E26"/>
    <w:rsid w:val="006821D1"/>
    <w:rsid w:val="00685A0E"/>
    <w:rsid w:val="00686360"/>
    <w:rsid w:val="006903AF"/>
    <w:rsid w:val="00692251"/>
    <w:rsid w:val="006A23BE"/>
    <w:rsid w:val="006B7204"/>
    <w:rsid w:val="006C41EE"/>
    <w:rsid w:val="006D622C"/>
    <w:rsid w:val="006D7CE6"/>
    <w:rsid w:val="006E489A"/>
    <w:rsid w:val="006E4A9D"/>
    <w:rsid w:val="006E581A"/>
    <w:rsid w:val="006F478E"/>
    <w:rsid w:val="006F50DA"/>
    <w:rsid w:val="006F5470"/>
    <w:rsid w:val="006F6936"/>
    <w:rsid w:val="006F73E8"/>
    <w:rsid w:val="006F7C9D"/>
    <w:rsid w:val="007043D8"/>
    <w:rsid w:val="0070647B"/>
    <w:rsid w:val="00707AA7"/>
    <w:rsid w:val="00715C72"/>
    <w:rsid w:val="00717872"/>
    <w:rsid w:val="00717AF0"/>
    <w:rsid w:val="007221BB"/>
    <w:rsid w:val="00731858"/>
    <w:rsid w:val="0073553C"/>
    <w:rsid w:val="00743F63"/>
    <w:rsid w:val="007445FF"/>
    <w:rsid w:val="007473F6"/>
    <w:rsid w:val="007508C5"/>
    <w:rsid w:val="00760DB7"/>
    <w:rsid w:val="007623B1"/>
    <w:rsid w:val="007649BC"/>
    <w:rsid w:val="00770E56"/>
    <w:rsid w:val="00776D8C"/>
    <w:rsid w:val="0078602C"/>
    <w:rsid w:val="007865E9"/>
    <w:rsid w:val="00792E9E"/>
    <w:rsid w:val="00794C15"/>
    <w:rsid w:val="007A2378"/>
    <w:rsid w:val="007A386A"/>
    <w:rsid w:val="007A53A0"/>
    <w:rsid w:val="007B07CA"/>
    <w:rsid w:val="007C640D"/>
    <w:rsid w:val="007C6694"/>
    <w:rsid w:val="007D004C"/>
    <w:rsid w:val="007E430C"/>
    <w:rsid w:val="007E4D3A"/>
    <w:rsid w:val="007F62E2"/>
    <w:rsid w:val="008029A1"/>
    <w:rsid w:val="00803920"/>
    <w:rsid w:val="00804A74"/>
    <w:rsid w:val="00806E12"/>
    <w:rsid w:val="008070E0"/>
    <w:rsid w:val="00812D89"/>
    <w:rsid w:val="0081613D"/>
    <w:rsid w:val="008167C6"/>
    <w:rsid w:val="00820307"/>
    <w:rsid w:val="00821C8F"/>
    <w:rsid w:val="008300FA"/>
    <w:rsid w:val="008343B1"/>
    <w:rsid w:val="008346F6"/>
    <w:rsid w:val="00835622"/>
    <w:rsid w:val="00837040"/>
    <w:rsid w:val="0083783F"/>
    <w:rsid w:val="0084525E"/>
    <w:rsid w:val="00855DBE"/>
    <w:rsid w:val="00856199"/>
    <w:rsid w:val="0085636F"/>
    <w:rsid w:val="00860794"/>
    <w:rsid w:val="008819E4"/>
    <w:rsid w:val="00885DF0"/>
    <w:rsid w:val="008931ED"/>
    <w:rsid w:val="0089443D"/>
    <w:rsid w:val="00895989"/>
    <w:rsid w:val="008B19BF"/>
    <w:rsid w:val="008C2DC8"/>
    <w:rsid w:val="008C6C75"/>
    <w:rsid w:val="008D14EC"/>
    <w:rsid w:val="008D49BC"/>
    <w:rsid w:val="008E397D"/>
    <w:rsid w:val="008F0430"/>
    <w:rsid w:val="008F5694"/>
    <w:rsid w:val="008F5C36"/>
    <w:rsid w:val="00902816"/>
    <w:rsid w:val="009039A4"/>
    <w:rsid w:val="009046B2"/>
    <w:rsid w:val="009139AE"/>
    <w:rsid w:val="0092176E"/>
    <w:rsid w:val="00923D1D"/>
    <w:rsid w:val="009337BF"/>
    <w:rsid w:val="00940224"/>
    <w:rsid w:val="00941FA5"/>
    <w:rsid w:val="00944C5E"/>
    <w:rsid w:val="00950D92"/>
    <w:rsid w:val="009608A3"/>
    <w:rsid w:val="00963743"/>
    <w:rsid w:val="00966CF6"/>
    <w:rsid w:val="0098510A"/>
    <w:rsid w:val="00990A10"/>
    <w:rsid w:val="00995AB1"/>
    <w:rsid w:val="00997C5A"/>
    <w:rsid w:val="009A2D5F"/>
    <w:rsid w:val="009A3BED"/>
    <w:rsid w:val="009B48DC"/>
    <w:rsid w:val="009C0399"/>
    <w:rsid w:val="009C2371"/>
    <w:rsid w:val="009C6BD7"/>
    <w:rsid w:val="009C6D60"/>
    <w:rsid w:val="009C7E5E"/>
    <w:rsid w:val="009E3649"/>
    <w:rsid w:val="009E44F0"/>
    <w:rsid w:val="009F233E"/>
    <w:rsid w:val="009F4644"/>
    <w:rsid w:val="00A03C7B"/>
    <w:rsid w:val="00A10D32"/>
    <w:rsid w:val="00A11335"/>
    <w:rsid w:val="00A17289"/>
    <w:rsid w:val="00A27905"/>
    <w:rsid w:val="00A301A8"/>
    <w:rsid w:val="00A41B1C"/>
    <w:rsid w:val="00A512AD"/>
    <w:rsid w:val="00A575DF"/>
    <w:rsid w:val="00A63C6A"/>
    <w:rsid w:val="00A6518C"/>
    <w:rsid w:val="00A7117A"/>
    <w:rsid w:val="00A71DA6"/>
    <w:rsid w:val="00A73D0D"/>
    <w:rsid w:val="00A75AC7"/>
    <w:rsid w:val="00A83340"/>
    <w:rsid w:val="00A8475F"/>
    <w:rsid w:val="00A85248"/>
    <w:rsid w:val="00A976BA"/>
    <w:rsid w:val="00AA3198"/>
    <w:rsid w:val="00AB2A07"/>
    <w:rsid w:val="00AC1D61"/>
    <w:rsid w:val="00AC54D6"/>
    <w:rsid w:val="00AD5594"/>
    <w:rsid w:val="00AD5A06"/>
    <w:rsid w:val="00AE2540"/>
    <w:rsid w:val="00AE5972"/>
    <w:rsid w:val="00AF12A0"/>
    <w:rsid w:val="00B01069"/>
    <w:rsid w:val="00B02E69"/>
    <w:rsid w:val="00B20EA2"/>
    <w:rsid w:val="00B32184"/>
    <w:rsid w:val="00B32ACC"/>
    <w:rsid w:val="00B364D5"/>
    <w:rsid w:val="00B40AC1"/>
    <w:rsid w:val="00B41E8E"/>
    <w:rsid w:val="00B4353C"/>
    <w:rsid w:val="00B52199"/>
    <w:rsid w:val="00B62D37"/>
    <w:rsid w:val="00B64CC7"/>
    <w:rsid w:val="00B65D62"/>
    <w:rsid w:val="00B7158C"/>
    <w:rsid w:val="00B80627"/>
    <w:rsid w:val="00B82594"/>
    <w:rsid w:val="00B83416"/>
    <w:rsid w:val="00B84369"/>
    <w:rsid w:val="00B872FB"/>
    <w:rsid w:val="00BB0205"/>
    <w:rsid w:val="00BB06B1"/>
    <w:rsid w:val="00BB22EB"/>
    <w:rsid w:val="00BB6B73"/>
    <w:rsid w:val="00BB77AC"/>
    <w:rsid w:val="00BC6309"/>
    <w:rsid w:val="00BC66DF"/>
    <w:rsid w:val="00BC75EB"/>
    <w:rsid w:val="00BC7F76"/>
    <w:rsid w:val="00BD099D"/>
    <w:rsid w:val="00BD1CAA"/>
    <w:rsid w:val="00BD2D3E"/>
    <w:rsid w:val="00BD3DCA"/>
    <w:rsid w:val="00BD7D0E"/>
    <w:rsid w:val="00BE13B6"/>
    <w:rsid w:val="00BE1E89"/>
    <w:rsid w:val="00BE2101"/>
    <w:rsid w:val="00BE2549"/>
    <w:rsid w:val="00BE2F23"/>
    <w:rsid w:val="00BE4282"/>
    <w:rsid w:val="00BF4C58"/>
    <w:rsid w:val="00BF6830"/>
    <w:rsid w:val="00BF7429"/>
    <w:rsid w:val="00C023FA"/>
    <w:rsid w:val="00C0677D"/>
    <w:rsid w:val="00C1585D"/>
    <w:rsid w:val="00C22D88"/>
    <w:rsid w:val="00C352F3"/>
    <w:rsid w:val="00C3651C"/>
    <w:rsid w:val="00C4691D"/>
    <w:rsid w:val="00C47711"/>
    <w:rsid w:val="00C5011A"/>
    <w:rsid w:val="00C616F9"/>
    <w:rsid w:val="00C63D4E"/>
    <w:rsid w:val="00C7080E"/>
    <w:rsid w:val="00C81296"/>
    <w:rsid w:val="00C827E5"/>
    <w:rsid w:val="00C85112"/>
    <w:rsid w:val="00C85325"/>
    <w:rsid w:val="00C85F40"/>
    <w:rsid w:val="00C86846"/>
    <w:rsid w:val="00C86CE1"/>
    <w:rsid w:val="00C871CD"/>
    <w:rsid w:val="00C93189"/>
    <w:rsid w:val="00C95F9B"/>
    <w:rsid w:val="00CA3AE4"/>
    <w:rsid w:val="00CA46A3"/>
    <w:rsid w:val="00CA7319"/>
    <w:rsid w:val="00CB0392"/>
    <w:rsid w:val="00CB2521"/>
    <w:rsid w:val="00CB2A99"/>
    <w:rsid w:val="00CB70C4"/>
    <w:rsid w:val="00CC39DC"/>
    <w:rsid w:val="00CD5DEA"/>
    <w:rsid w:val="00CD6A5C"/>
    <w:rsid w:val="00CF1D02"/>
    <w:rsid w:val="00CF48EA"/>
    <w:rsid w:val="00D001B1"/>
    <w:rsid w:val="00D052C2"/>
    <w:rsid w:val="00D077CA"/>
    <w:rsid w:val="00D1677F"/>
    <w:rsid w:val="00D22357"/>
    <w:rsid w:val="00D34449"/>
    <w:rsid w:val="00D36911"/>
    <w:rsid w:val="00D41C85"/>
    <w:rsid w:val="00D42814"/>
    <w:rsid w:val="00D443ED"/>
    <w:rsid w:val="00D444F2"/>
    <w:rsid w:val="00D4472C"/>
    <w:rsid w:val="00D52095"/>
    <w:rsid w:val="00D558CD"/>
    <w:rsid w:val="00D609CC"/>
    <w:rsid w:val="00D71500"/>
    <w:rsid w:val="00D728C4"/>
    <w:rsid w:val="00D73550"/>
    <w:rsid w:val="00D74C6D"/>
    <w:rsid w:val="00D752B7"/>
    <w:rsid w:val="00D75D51"/>
    <w:rsid w:val="00D812F0"/>
    <w:rsid w:val="00D8154D"/>
    <w:rsid w:val="00D828DF"/>
    <w:rsid w:val="00D83156"/>
    <w:rsid w:val="00D922D7"/>
    <w:rsid w:val="00DB1FE3"/>
    <w:rsid w:val="00DB2028"/>
    <w:rsid w:val="00DB6AAF"/>
    <w:rsid w:val="00DC1D11"/>
    <w:rsid w:val="00DC5EAF"/>
    <w:rsid w:val="00DD0719"/>
    <w:rsid w:val="00DD1806"/>
    <w:rsid w:val="00DD5041"/>
    <w:rsid w:val="00DE1EEB"/>
    <w:rsid w:val="00DE58F0"/>
    <w:rsid w:val="00DF05BD"/>
    <w:rsid w:val="00DF10C8"/>
    <w:rsid w:val="00DF74BA"/>
    <w:rsid w:val="00E04DA8"/>
    <w:rsid w:val="00E061C4"/>
    <w:rsid w:val="00E20C50"/>
    <w:rsid w:val="00E21A98"/>
    <w:rsid w:val="00E24BC5"/>
    <w:rsid w:val="00E315C1"/>
    <w:rsid w:val="00E36ADF"/>
    <w:rsid w:val="00E370D8"/>
    <w:rsid w:val="00E45E1F"/>
    <w:rsid w:val="00E544E6"/>
    <w:rsid w:val="00E71E2D"/>
    <w:rsid w:val="00E82F58"/>
    <w:rsid w:val="00E8436E"/>
    <w:rsid w:val="00E85498"/>
    <w:rsid w:val="00E9580C"/>
    <w:rsid w:val="00E96A74"/>
    <w:rsid w:val="00EB2546"/>
    <w:rsid w:val="00EC12EB"/>
    <w:rsid w:val="00EC459E"/>
    <w:rsid w:val="00ED0B71"/>
    <w:rsid w:val="00ED2123"/>
    <w:rsid w:val="00ED2134"/>
    <w:rsid w:val="00ED2299"/>
    <w:rsid w:val="00EE0935"/>
    <w:rsid w:val="00EE389F"/>
    <w:rsid w:val="00EE5552"/>
    <w:rsid w:val="00EF129E"/>
    <w:rsid w:val="00EF1CD1"/>
    <w:rsid w:val="00EF77EC"/>
    <w:rsid w:val="00EF7B18"/>
    <w:rsid w:val="00F0558F"/>
    <w:rsid w:val="00F06A57"/>
    <w:rsid w:val="00F146A9"/>
    <w:rsid w:val="00F1520D"/>
    <w:rsid w:val="00F1611C"/>
    <w:rsid w:val="00F2203F"/>
    <w:rsid w:val="00F305AE"/>
    <w:rsid w:val="00F30EAB"/>
    <w:rsid w:val="00F321CB"/>
    <w:rsid w:val="00F3228C"/>
    <w:rsid w:val="00F3356A"/>
    <w:rsid w:val="00F5067C"/>
    <w:rsid w:val="00F55A67"/>
    <w:rsid w:val="00F7060D"/>
    <w:rsid w:val="00F74D4D"/>
    <w:rsid w:val="00F8028C"/>
    <w:rsid w:val="00F91BCA"/>
    <w:rsid w:val="00F92B83"/>
    <w:rsid w:val="00F97736"/>
    <w:rsid w:val="00FA77DA"/>
    <w:rsid w:val="00FB0F8E"/>
    <w:rsid w:val="00FB3E83"/>
    <w:rsid w:val="00FC1644"/>
    <w:rsid w:val="00FD1645"/>
    <w:rsid w:val="00FD4979"/>
    <w:rsid w:val="00FD58CD"/>
    <w:rsid w:val="00FD5BAF"/>
    <w:rsid w:val="00FE2C18"/>
    <w:rsid w:val="00FE634E"/>
    <w:rsid w:val="00FF0527"/>
    <w:rsid w:val="00FF1796"/>
    <w:rsid w:val="113AFD35"/>
    <w:rsid w:val="132D394C"/>
    <w:rsid w:val="1517661C"/>
    <w:rsid w:val="1698941B"/>
    <w:rsid w:val="30892795"/>
    <w:rsid w:val="4D0FE953"/>
    <w:rsid w:val="5EB711D1"/>
    <w:rsid w:val="7BEDDA3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88547"/>
  <w15:docId w15:val="{718B53B9-CB76-451C-9267-941FAED0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EE"/>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3539DD"/>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qFormat/>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qFormat/>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text,List Paragraph1,Recommendation,List Paragraph11,#List Paragraph,Bullet point,Body Text1,Bullet Point,Bulletr List Paragraph,Bullets,Content descriptions,FooterText,L,List Bullet 1,List Paragraph2,List Paragraph21,Listeafsnit1,列"/>
    <w:basedOn w:val="Normal"/>
    <w:link w:val="ListParagraphChar"/>
    <w:uiPriority w:val="34"/>
    <w:qFormat/>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Ind w:w="0" w:type="nil"/>
      <w:tblCellMar>
        <w:left w:w="0" w:type="dxa"/>
        <w:right w:w="0" w:type="dxa"/>
      </w:tblCellMar>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35"/>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Ind w:w="0" w:type="nil"/>
      <w:tblCellMar>
        <w:left w:w="0" w:type="dxa"/>
        <w:right w:w="0" w:type="dxa"/>
      </w:tblCellMar>
    </w:tblPr>
    <w:tcPr>
      <w:shd w:val="clear" w:color="auto" w:fill="F2F2F2" w:themeFill="background1" w:themeFillShade="F2"/>
    </w:tc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3539DD"/>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link w:val="NoSpacingChar"/>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F3228C"/>
    <w:pPr>
      <w:tabs>
        <w:tab w:val="right" w:leader="dot" w:pos="10206"/>
      </w:tabs>
      <w:ind w:left="567" w:hanging="567"/>
    </w:pPr>
    <w:rPr>
      <w:rFonts w:ascii="Gotham Medium" w:hAnsi="Gotham Medium"/>
    </w:rPr>
  </w:style>
  <w:style w:type="paragraph" w:styleId="TOC3">
    <w:name w:val="toc 3"/>
    <w:basedOn w:val="Normal"/>
    <w:next w:val="Normal"/>
    <w:autoRedefine/>
    <w:uiPriority w:val="39"/>
    <w:rsid w:val="002C32CE"/>
    <w:pPr>
      <w:tabs>
        <w:tab w:val="right" w:leader="dot" w:pos="10206"/>
      </w:tabs>
      <w:spacing w:before="60"/>
      <w:ind w:left="794" w:hanging="510"/>
    </w:pPr>
    <w:rPr>
      <w:rFonts w:ascii="Gotham Medium" w:hAnsi="Gotham Medium"/>
    </w:rPr>
  </w:style>
  <w:style w:type="paragraph" w:styleId="TOC4">
    <w:name w:val="toc 4"/>
    <w:basedOn w:val="Normal"/>
    <w:next w:val="Normal"/>
    <w:autoRedefine/>
    <w:uiPriority w:val="39"/>
    <w:rsid w:val="002C32CE"/>
    <w:pPr>
      <w:tabs>
        <w:tab w:val="right" w:leader="dot" w:pos="10206"/>
      </w:tabs>
      <w:spacing w:before="60"/>
      <w:ind w:left="1134" w:hanging="567"/>
    </w:pPr>
    <w:rPr>
      <w:noProof/>
    </w:r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paragraph" w:styleId="Date">
    <w:name w:val="Date"/>
    <w:basedOn w:val="Normal"/>
    <w:next w:val="Normal"/>
    <w:link w:val="DateChar"/>
    <w:unhideWhenUsed/>
    <w:rsid w:val="00FD4979"/>
  </w:style>
  <w:style w:type="character" w:customStyle="1" w:styleId="DateChar">
    <w:name w:val="Date Char"/>
    <w:basedOn w:val="DefaultParagraphFont"/>
    <w:link w:val="Date"/>
    <w:rsid w:val="00FD4979"/>
    <w:rPr>
      <w:rFonts w:ascii="Gotham Book" w:hAnsi="Gotham Book"/>
      <w:sz w:val="20"/>
    </w:rPr>
  </w:style>
  <w:style w:type="paragraph" w:styleId="Quote">
    <w:name w:val="Quote"/>
    <w:basedOn w:val="Normal"/>
    <w:next w:val="Normal"/>
    <w:link w:val="QuoteChar"/>
    <w:uiPriority w:val="29"/>
    <w:qFormat/>
    <w:rsid w:val="00FD497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FD4979"/>
    <w:rPr>
      <w:rFonts w:eastAsiaTheme="minorHAnsi" w:cstheme="minorBidi"/>
      <w:i/>
      <w:iCs/>
      <w:color w:val="404040" w:themeColor="text1" w:themeTint="BF"/>
      <w:kern w:val="2"/>
      <w:sz w:val="22"/>
      <w:szCs w:val="22"/>
      <w:lang w:eastAsia="en-US"/>
      <w14:ligatures w14:val="standardContextual"/>
    </w:rPr>
  </w:style>
  <w:style w:type="paragraph" w:styleId="IntenseQuote">
    <w:name w:val="Intense Quote"/>
    <w:basedOn w:val="Normal"/>
    <w:next w:val="Normal"/>
    <w:link w:val="IntenseQuoteChar"/>
    <w:uiPriority w:val="30"/>
    <w:qFormat/>
    <w:rsid w:val="00FD4979"/>
    <w:pPr>
      <w:pBdr>
        <w:top w:val="single" w:sz="4" w:space="10" w:color="379AC4" w:themeColor="accent1" w:themeShade="BF"/>
        <w:bottom w:val="single" w:sz="4" w:space="10" w:color="379AC4" w:themeColor="accent1" w:themeShade="BF"/>
      </w:pBdr>
      <w:spacing w:before="360" w:after="360" w:line="259" w:lineRule="auto"/>
      <w:ind w:left="864" w:right="864"/>
      <w:jc w:val="center"/>
    </w:pPr>
    <w:rPr>
      <w:rFonts w:asciiTheme="minorHAnsi" w:eastAsiaTheme="minorHAnsi" w:hAnsiTheme="minorHAnsi" w:cstheme="minorBidi"/>
      <w:i/>
      <w:iCs/>
      <w:color w:val="379AC4"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FD4979"/>
    <w:rPr>
      <w:rFonts w:eastAsiaTheme="minorHAnsi" w:cstheme="minorBidi"/>
      <w:i/>
      <w:iCs/>
      <w:color w:val="379AC4"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FD4979"/>
    <w:rPr>
      <w:b/>
      <w:bCs/>
      <w:smallCaps/>
      <w:color w:val="379AC4" w:themeColor="accent1" w:themeShade="BF"/>
      <w:spacing w:val="5"/>
    </w:rPr>
  </w:style>
  <w:style w:type="character" w:styleId="CommentReference">
    <w:name w:val="annotation reference"/>
    <w:basedOn w:val="DefaultParagraphFont"/>
    <w:uiPriority w:val="99"/>
    <w:unhideWhenUsed/>
    <w:rsid w:val="00FD4979"/>
    <w:rPr>
      <w:sz w:val="16"/>
      <w:szCs w:val="16"/>
    </w:rPr>
  </w:style>
  <w:style w:type="paragraph" w:styleId="CommentText">
    <w:name w:val="annotation text"/>
    <w:basedOn w:val="Normal"/>
    <w:link w:val="CommentTextChar"/>
    <w:uiPriority w:val="99"/>
    <w:unhideWhenUsed/>
    <w:rsid w:val="00FD4979"/>
    <w:pPr>
      <w:spacing w:before="0" w:after="160" w:line="240" w:lineRule="auto"/>
    </w:pPr>
    <w:rPr>
      <w:rFonts w:asciiTheme="minorHAnsi" w:eastAsiaTheme="minorHAnsi" w:hAnsiTheme="minorHAnsi" w:cstheme="minorBidi"/>
      <w:color w:val="auto"/>
      <w:kern w:val="2"/>
      <w:szCs w:val="20"/>
      <w:lang w:eastAsia="en-US"/>
      <w14:ligatures w14:val="standardContextual"/>
    </w:rPr>
  </w:style>
  <w:style w:type="character" w:customStyle="1" w:styleId="CommentTextChar">
    <w:name w:val="Comment Text Char"/>
    <w:basedOn w:val="DefaultParagraphFont"/>
    <w:link w:val="CommentText"/>
    <w:uiPriority w:val="99"/>
    <w:rsid w:val="00FD4979"/>
    <w:rPr>
      <w:rFonts w:eastAsiaTheme="minorHAnsi" w:cstheme="minorBidi"/>
      <w:color w:val="auto"/>
      <w:kern w:val="2"/>
      <w:sz w:val="20"/>
      <w:szCs w:val="20"/>
      <w:lang w:eastAsia="en-US"/>
      <w14:ligatures w14:val="standardContextual"/>
    </w:rPr>
  </w:style>
  <w:style w:type="paragraph" w:styleId="CommentSubject">
    <w:name w:val="annotation subject"/>
    <w:basedOn w:val="CommentText"/>
    <w:next w:val="CommentText"/>
    <w:link w:val="CommentSubjectChar"/>
    <w:semiHidden/>
    <w:unhideWhenUsed/>
    <w:rsid w:val="00FD4979"/>
    <w:rPr>
      <w:b/>
      <w:bCs/>
    </w:rPr>
  </w:style>
  <w:style w:type="character" w:customStyle="1" w:styleId="CommentSubjectChar">
    <w:name w:val="Comment Subject Char"/>
    <w:basedOn w:val="CommentTextChar"/>
    <w:link w:val="CommentSubject"/>
    <w:semiHidden/>
    <w:rsid w:val="00FD4979"/>
    <w:rPr>
      <w:rFonts w:eastAsiaTheme="minorHAnsi" w:cstheme="minorBidi"/>
      <w:b/>
      <w:bCs/>
      <w:color w:val="auto"/>
      <w:kern w:val="2"/>
      <w:sz w:val="20"/>
      <w:szCs w:val="20"/>
      <w:lang w:eastAsia="en-US"/>
      <w14:ligatures w14:val="standardContextual"/>
    </w:rPr>
  </w:style>
  <w:style w:type="character" w:customStyle="1" w:styleId="NoSpacingChar">
    <w:name w:val="No Spacing Char"/>
    <w:basedOn w:val="DefaultParagraphFont"/>
    <w:link w:val="NoSpacing"/>
    <w:uiPriority w:val="1"/>
    <w:rsid w:val="00FD4979"/>
    <w:rPr>
      <w:rFonts w:eastAsiaTheme="minorHAnsi" w:cstheme="minorBidi"/>
      <w:lang w:eastAsia="en-US"/>
    </w:rPr>
  </w:style>
  <w:style w:type="character" w:styleId="PlaceholderText">
    <w:name w:val="Placeholder Text"/>
    <w:basedOn w:val="DefaultParagraphFont"/>
    <w:uiPriority w:val="99"/>
    <w:semiHidden/>
    <w:rsid w:val="00FD4979"/>
    <w:rPr>
      <w:color w:val="666666"/>
    </w:rPr>
  </w:style>
  <w:style w:type="character" w:customStyle="1" w:styleId="cf01">
    <w:name w:val="cf01"/>
    <w:basedOn w:val="DefaultParagraphFont"/>
    <w:rsid w:val="00FD4979"/>
    <w:rPr>
      <w:rFonts w:ascii="Segoe UI" w:hAnsi="Segoe UI" w:cs="Segoe UI" w:hint="default"/>
      <w:sz w:val="18"/>
      <w:szCs w:val="18"/>
    </w:rPr>
  </w:style>
  <w:style w:type="character" w:customStyle="1" w:styleId="ListParagraphChar">
    <w:name w:val="List Paragraph Char"/>
    <w:aliases w:val="Table text Char,List Paragraph1 Char,Recommendation Char,List Paragraph11 Char,#List Paragraph Char,Bullet point Char,Body Text1 Char,Bullet Point Char,Bulletr List Paragraph Char,Bullets Char,Content descriptions Char,L Char,列 Char"/>
    <w:basedOn w:val="DefaultParagraphFont"/>
    <w:link w:val="ListParagraph"/>
    <w:uiPriority w:val="34"/>
    <w:locked/>
    <w:rsid w:val="00FD4979"/>
    <w:rPr>
      <w:rFonts w:ascii="Gotham Book" w:hAnsi="Gotham Book"/>
      <w:sz w:val="20"/>
    </w:rPr>
  </w:style>
  <w:style w:type="table" w:customStyle="1" w:styleId="TableGrid1">
    <w:name w:val="Table Grid1"/>
    <w:basedOn w:val="TableNormal"/>
    <w:next w:val="TableGrid"/>
    <w:uiPriority w:val="39"/>
    <w:rsid w:val="00FD4979"/>
    <w:pPr>
      <w:spacing w:before="0" w:after="0" w:line="240" w:lineRule="auto"/>
    </w:pPr>
    <w:rPr>
      <w:rFonts w:eastAsiaTheme="minorHAnsi" w:cstheme="minorBidi"/>
      <w:color w:val="auto"/>
      <w:kern w:val="2"/>
      <w:sz w:val="22"/>
      <w:szCs w:val="22"/>
      <w:lang w:eastAsia="en-US"/>
      <w14:ligatures w14:val="standardContextual"/>
    </w:rPr>
    <w:tblPr>
      <w:tblInd w:w="0" w:type="nil"/>
      <w:tblCellMar>
        <w:left w:w="0" w:type="dxa"/>
        <w:right w:w="0" w:type="dxa"/>
      </w:tblCellMar>
    </w:tblPr>
  </w:style>
  <w:style w:type="paragraph" w:styleId="Revision">
    <w:name w:val="Revision"/>
    <w:hidden/>
    <w:uiPriority w:val="99"/>
    <w:semiHidden/>
    <w:rsid w:val="00FD4979"/>
    <w:pPr>
      <w:spacing w:before="0" w:after="0" w:line="240" w:lineRule="auto"/>
    </w:pPr>
    <w:rPr>
      <w:rFonts w:eastAsiaTheme="minorHAnsi" w:cstheme="minorBidi"/>
      <w:color w:val="auto"/>
      <w:kern w:val="2"/>
      <w:sz w:val="22"/>
      <w:szCs w:val="22"/>
      <w:lang w:eastAsia="en-US"/>
      <w14:ligatures w14:val="standardContextual"/>
    </w:rPr>
  </w:style>
  <w:style w:type="character" w:customStyle="1" w:styleId="apple-converted-space">
    <w:name w:val="apple-converted-space"/>
    <w:basedOn w:val="DefaultParagraphFont"/>
    <w:rsid w:val="00FD4979"/>
  </w:style>
  <w:style w:type="character" w:customStyle="1" w:styleId="ref-journal">
    <w:name w:val="ref-journal"/>
    <w:basedOn w:val="DefaultParagraphFont"/>
    <w:rsid w:val="00FD4979"/>
  </w:style>
  <w:style w:type="character" w:customStyle="1" w:styleId="ref-vol">
    <w:name w:val="ref-vol"/>
    <w:basedOn w:val="DefaultParagraphFont"/>
    <w:rsid w:val="00FD4979"/>
  </w:style>
  <w:style w:type="character" w:customStyle="1" w:styleId="CommentTextChar1">
    <w:name w:val="Comment Text Char1"/>
    <w:basedOn w:val="DefaultParagraphFont"/>
    <w:uiPriority w:val="99"/>
    <w:rsid w:val="00FD4979"/>
    <w:rPr>
      <w:rFonts w:ascii="Gotham Book" w:eastAsiaTheme="minorHAnsi" w:hAnsi="Gotham Book" w:cstheme="minorBidi"/>
      <w:color w:val="auto"/>
      <w:kern w:val="2"/>
      <w:sz w:val="20"/>
      <w:szCs w:val="20"/>
      <w:lang w:eastAsia="en-US"/>
      <w14:ligatures w14:val="standardContextual"/>
    </w:rPr>
  </w:style>
  <w:style w:type="table" w:styleId="ListTable3-Accent1">
    <w:name w:val="List Table 3 Accent 1"/>
    <w:basedOn w:val="TableNormal"/>
    <w:uiPriority w:val="48"/>
    <w:rsid w:val="00FD4979"/>
    <w:pPr>
      <w:spacing w:before="0" w:after="0" w:line="240" w:lineRule="auto"/>
    </w:pPr>
    <w:rPr>
      <w:rFonts w:eastAsiaTheme="minorHAnsi" w:cstheme="minorBidi"/>
      <w:color w:val="auto"/>
      <w:kern w:val="2"/>
      <w:sz w:val="22"/>
      <w:szCs w:val="22"/>
      <w:lang w:eastAsia="en-US"/>
      <w14:ligatures w14:val="standardContextual"/>
    </w:rPr>
    <w:tblPr>
      <w:tblStyleRowBandSize w:val="1"/>
      <w:tblStyleColBandSize w:val="1"/>
      <w:tblInd w:w="0" w:type="nil"/>
      <w:tblBorders>
        <w:top w:val="single" w:sz="4" w:space="0" w:color="77BCD9" w:themeColor="accent1"/>
        <w:left w:val="single" w:sz="4" w:space="0" w:color="77BCD9" w:themeColor="accent1"/>
        <w:bottom w:val="single" w:sz="4" w:space="0" w:color="77BCD9" w:themeColor="accent1"/>
        <w:right w:val="single" w:sz="4" w:space="0" w:color="77BCD9" w:themeColor="accent1"/>
      </w:tblBorders>
      <w:tblCellMar>
        <w:left w:w="0" w:type="dxa"/>
        <w:right w:w="0" w:type="dxa"/>
      </w:tblCellMar>
    </w:tblPr>
    <w:tblStylePr w:type="firstRow">
      <w:rPr>
        <w:b/>
        <w:bCs/>
        <w:color w:val="FFFFFF" w:themeColor="background1"/>
      </w:rPr>
      <w:tblPr/>
      <w:tcPr>
        <w:shd w:val="clear" w:color="auto" w:fill="77BCD9" w:themeFill="accent1"/>
      </w:tcPr>
    </w:tblStylePr>
    <w:tblStylePr w:type="lastRow">
      <w:rPr>
        <w:b/>
        <w:bCs/>
      </w:rPr>
      <w:tblPr/>
      <w:tcPr>
        <w:tcBorders>
          <w:top w:val="double" w:sz="4" w:space="0" w:color="77BCD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7BCD9" w:themeColor="accent1"/>
          <w:right w:val="single" w:sz="4" w:space="0" w:color="77BCD9" w:themeColor="accent1"/>
        </w:tcBorders>
      </w:tcPr>
    </w:tblStylePr>
    <w:tblStylePr w:type="band1Horz">
      <w:tblPr/>
      <w:tcPr>
        <w:tcBorders>
          <w:top w:val="single" w:sz="4" w:space="0" w:color="77BCD9" w:themeColor="accent1"/>
          <w:bottom w:val="single" w:sz="4" w:space="0" w:color="77BCD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7BCD9" w:themeColor="accent1"/>
          <w:left w:val="nil"/>
        </w:tcBorders>
      </w:tcPr>
    </w:tblStylePr>
    <w:tblStylePr w:type="swCell">
      <w:tblPr/>
      <w:tcPr>
        <w:tcBorders>
          <w:top w:val="double" w:sz="4" w:space="0" w:color="77BCD9" w:themeColor="accent1"/>
          <w:right w:val="nil"/>
        </w:tcBorders>
      </w:tcPr>
    </w:tblStylePr>
  </w:style>
  <w:style w:type="paragraph" w:customStyle="1" w:styleId="pf1">
    <w:name w:val="pf1"/>
    <w:basedOn w:val="Normal"/>
    <w:rsid w:val="00FD4979"/>
    <w:pPr>
      <w:spacing w:before="100" w:beforeAutospacing="1" w:after="100" w:afterAutospacing="1" w:line="240" w:lineRule="auto"/>
      <w:ind w:left="700"/>
    </w:pPr>
    <w:rPr>
      <w:rFonts w:ascii="Times New Roman" w:eastAsia="Times New Roman" w:hAnsi="Times New Roman"/>
      <w:color w:val="auto"/>
      <w:sz w:val="24"/>
      <w:szCs w:val="24"/>
    </w:rPr>
  </w:style>
  <w:style w:type="paragraph" w:customStyle="1" w:styleId="pf0">
    <w:name w:val="pf0"/>
    <w:basedOn w:val="Normal"/>
    <w:rsid w:val="00FD4979"/>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cf21">
    <w:name w:val="cf21"/>
    <w:basedOn w:val="DefaultParagraphFont"/>
    <w:rsid w:val="00FD4979"/>
    <w:rPr>
      <w:rFonts w:ascii="Segoe UI" w:hAnsi="Segoe UI" w:cs="Segoe UI" w:hint="default"/>
      <w:i/>
      <w:iCs/>
      <w:sz w:val="18"/>
      <w:szCs w:val="18"/>
    </w:rPr>
  </w:style>
  <w:style w:type="numbering" w:customStyle="1" w:styleId="NoList1">
    <w:name w:val="No List1"/>
    <w:next w:val="NoList"/>
    <w:uiPriority w:val="99"/>
    <w:semiHidden/>
    <w:unhideWhenUsed/>
    <w:rsid w:val="00FD4979"/>
  </w:style>
  <w:style w:type="table" w:customStyle="1" w:styleId="TableGrid2">
    <w:name w:val="Table Grid2"/>
    <w:basedOn w:val="TableNormal"/>
    <w:next w:val="TableGrid"/>
    <w:uiPriority w:val="39"/>
    <w:rsid w:val="00FD4979"/>
    <w:rPr>
      <w:rFonts w:eastAsiaTheme="minorHAnsi" w:cstheme="minorBidi"/>
      <w:color w:val="000000"/>
      <w:lang w:eastAsia="en-US"/>
    </w:rPr>
    <w:tblPr>
      <w:tblInd w:w="0" w:type="nil"/>
      <w:tblCellMar>
        <w:left w:w="0" w:type="dxa"/>
        <w:right w:w="0" w:type="dxa"/>
      </w:tblCellMar>
    </w:tblPr>
  </w:style>
  <w:style w:type="numbering" w:customStyle="1" w:styleId="BoxedBullets1">
    <w:name w:val="Boxed Bullets1"/>
    <w:uiPriority w:val="99"/>
    <w:rsid w:val="00FD4979"/>
  </w:style>
  <w:style w:type="table" w:customStyle="1" w:styleId="GridTable5Dark-Accent11">
    <w:name w:val="Grid Table 5 Dark - Accent 11"/>
    <w:basedOn w:val="TableNormal"/>
    <w:next w:val="GridTable5Dark-Accent1"/>
    <w:uiPriority w:val="50"/>
    <w:rsid w:val="00FD4979"/>
    <w:rPr>
      <w:rFonts w:eastAsiaTheme="minorHAnsi" w:cstheme="minorBidi"/>
      <w:color w:val="000000"/>
      <w:lang w:eastAsia="en-US"/>
    </w:rPr>
    <w:tblPr>
      <w:tblInd w:w="0" w:type="nil"/>
      <w:tblCellMar>
        <w:left w:w="0" w:type="dxa"/>
        <w:right w:w="0" w:type="dxa"/>
      </w:tblCellMar>
    </w:tblPr>
    <w:tblStylePr w:type="firstRow">
      <w:rPr>
        <w:b/>
        <w:bCs/>
        <w:color w:val="FFFFFF"/>
      </w:rPr>
    </w:tblStylePr>
    <w:tblStylePr w:type="lastRow">
      <w:rPr>
        <w:b/>
        <w:bCs/>
        <w:color w:val="FFFFFF"/>
      </w:rPr>
    </w:tblStylePr>
    <w:tblStylePr w:type="firstCol">
      <w:rPr>
        <w:b/>
        <w:bCs/>
        <w:color w:val="FFFFFF"/>
      </w:rPr>
    </w:tblStylePr>
    <w:tblStylePr w:type="lastCol">
      <w:rPr>
        <w:b/>
        <w:bCs/>
        <w:color w:val="FFFFFF"/>
      </w:rPr>
    </w:tblStylePr>
  </w:style>
  <w:style w:type="paragraph" w:customStyle="1" w:styleId="TOC41">
    <w:name w:val="TOC 41"/>
    <w:basedOn w:val="Normal"/>
    <w:next w:val="Normal"/>
    <w:autoRedefine/>
    <w:uiPriority w:val="39"/>
    <w:rsid w:val="00FD4979"/>
    <w:pPr>
      <w:tabs>
        <w:tab w:val="right" w:pos="9628"/>
      </w:tabs>
      <w:spacing w:before="60" w:after="160" w:line="259" w:lineRule="auto"/>
      <w:ind w:left="1135" w:hanging="851"/>
    </w:pPr>
    <w:rPr>
      <w:rFonts w:eastAsiaTheme="minorHAnsi" w:cstheme="minorBidi"/>
      <w:color w:val="auto"/>
      <w:kern w:val="2"/>
      <w:szCs w:val="22"/>
      <w:lang w:eastAsia="en-US"/>
      <w14:ligatures w14:val="standardContextual"/>
    </w:rPr>
  </w:style>
  <w:style w:type="numbering" w:customStyle="1" w:styleId="NoList2">
    <w:name w:val="No List2"/>
    <w:next w:val="NoList"/>
    <w:uiPriority w:val="99"/>
    <w:semiHidden/>
    <w:unhideWhenUsed/>
    <w:rsid w:val="00FD4979"/>
  </w:style>
  <w:style w:type="table" w:customStyle="1" w:styleId="TableGrid3">
    <w:name w:val="Table Grid3"/>
    <w:basedOn w:val="TableNormal"/>
    <w:next w:val="TableGrid"/>
    <w:uiPriority w:val="39"/>
    <w:rsid w:val="00FD4979"/>
    <w:rPr>
      <w:rFonts w:eastAsiaTheme="minorHAnsi" w:cstheme="minorBidi"/>
      <w:color w:val="000000"/>
      <w:lang w:eastAsia="en-US"/>
    </w:rPr>
    <w:tblPr>
      <w:tblInd w:w="0" w:type="nil"/>
      <w:tblCellMar>
        <w:left w:w="0" w:type="dxa"/>
        <w:right w:w="0" w:type="dxa"/>
      </w:tblCellMar>
    </w:tblPr>
  </w:style>
  <w:style w:type="numbering" w:customStyle="1" w:styleId="RList1">
    <w:name w:val="R List1"/>
    <w:uiPriority w:val="99"/>
    <w:rsid w:val="00FD4979"/>
    <w:pPr>
      <w:numPr>
        <w:numId w:val="24"/>
      </w:numPr>
    </w:pPr>
  </w:style>
  <w:style w:type="numbering" w:customStyle="1" w:styleId="AppendixNumbers1">
    <w:name w:val="Appendix Numbers1"/>
    <w:uiPriority w:val="99"/>
    <w:rsid w:val="00FD4979"/>
    <w:pPr>
      <w:numPr>
        <w:numId w:val="25"/>
      </w:numPr>
    </w:pPr>
  </w:style>
  <w:style w:type="numbering" w:customStyle="1" w:styleId="BoxedBullets2">
    <w:name w:val="Boxed Bullets2"/>
    <w:uiPriority w:val="99"/>
    <w:rsid w:val="00FD4979"/>
    <w:pPr>
      <w:numPr>
        <w:numId w:val="26"/>
      </w:numPr>
    </w:pPr>
  </w:style>
  <w:style w:type="numbering" w:customStyle="1" w:styleId="DefaultBullets1">
    <w:name w:val="Default Bullets1"/>
    <w:uiPriority w:val="99"/>
    <w:rsid w:val="00FD4979"/>
    <w:pPr>
      <w:numPr>
        <w:numId w:val="27"/>
      </w:numPr>
    </w:pPr>
  </w:style>
  <w:style w:type="table" w:customStyle="1" w:styleId="GridTable5Dark-Accent12">
    <w:name w:val="Grid Table 5 Dark - Accent 12"/>
    <w:basedOn w:val="TableNormal"/>
    <w:next w:val="GridTable5Dark-Accent1"/>
    <w:uiPriority w:val="50"/>
    <w:rsid w:val="00FD4979"/>
    <w:rPr>
      <w:rFonts w:eastAsiaTheme="minorHAnsi" w:cstheme="minorBidi"/>
      <w:color w:val="000000"/>
      <w:lang w:eastAsia="en-US"/>
    </w:rPr>
    <w:tblPr>
      <w:tblInd w:w="0" w:type="nil"/>
      <w:tblCellMar>
        <w:left w:w="0" w:type="dxa"/>
        <w:right w:w="0" w:type="dxa"/>
      </w:tblCellMar>
    </w:tblPr>
    <w:tblStylePr w:type="firstRow">
      <w:rPr>
        <w:b/>
        <w:bCs/>
        <w:color w:val="FFFFFF"/>
      </w:rPr>
    </w:tblStylePr>
    <w:tblStylePr w:type="lastRow">
      <w:rPr>
        <w:b/>
        <w:bCs/>
        <w:color w:val="FFFFFF"/>
      </w:rPr>
    </w:tblStylePr>
    <w:tblStylePr w:type="firstCol">
      <w:rPr>
        <w:b/>
        <w:bCs/>
        <w:color w:val="FFFFFF"/>
      </w:rPr>
    </w:tblStylePr>
    <w:tblStylePr w:type="lastCol">
      <w:rPr>
        <w:b/>
        <w:bCs/>
        <w:color w:val="FFFFFF"/>
      </w:rPr>
    </w:tblStylePr>
  </w:style>
  <w:style w:type="table" w:customStyle="1" w:styleId="DefaultTable11">
    <w:name w:val="Default Table 11"/>
    <w:basedOn w:val="GridTable5Dark-Accent1"/>
    <w:uiPriority w:val="99"/>
    <w:rsid w:val="00FD4979"/>
    <w:pPr>
      <w:spacing w:before="60"/>
    </w:pPr>
    <w:rPr>
      <w:color w:val="000000"/>
    </w:rPr>
    <w:tblPr/>
    <w:tcPr>
      <w:shd w:val="clear" w:color="auto" w:fill="auto"/>
    </w:tcPr>
    <w:tblStylePr w:type="firstRow">
      <w:pPr>
        <w:wordWrap/>
        <w:spacing w:beforeLines="0" w:before="60" w:beforeAutospacing="0" w:afterLines="0" w:after="60" w:afterAutospacing="0" w:line="240" w:lineRule="auto"/>
      </w:pPr>
      <w:rPr>
        <w:rFonts w:ascii="Arial" w:hAnsi="Arial"/>
        <w:b/>
        <w:bCs/>
        <w:caps w:val="0"/>
        <w:smallCaps w:val="0"/>
        <w:color w:val="FFFFFF"/>
        <w:sz w:val="18"/>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Row">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firstCol">
      <w:rPr>
        <w:b/>
        <w:bCs/>
        <w:color w:val="FFFFFF"/>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005F85"/>
      </w:tcPr>
    </w:tblStylePr>
    <w:tblStylePr w:type="lastCol">
      <w:pPr>
        <w:jc w:val="right"/>
      </w:pPr>
      <w:rPr>
        <w:b/>
        <w:bCs/>
        <w:color w:val="000000"/>
      </w:rPr>
      <w:tblPr/>
      <w:tcPr>
        <w:tcBorders>
          <w:top w:val="single" w:sz="4" w:space="0" w:color="005F85"/>
          <w:left w:val="single" w:sz="4" w:space="0" w:color="005F85"/>
          <w:bottom w:val="single" w:sz="4" w:space="0" w:color="005F85"/>
          <w:right w:val="single" w:sz="4" w:space="0" w:color="005F85"/>
          <w:insideH w:val="single" w:sz="4" w:space="0" w:color="005F85"/>
          <w:insideV w:val="single" w:sz="4" w:space="0" w:color="005F85"/>
        </w:tcBorders>
        <w:shd w:val="clear" w:color="auto" w:fill="E3F1F7"/>
      </w:tcPr>
    </w:tblStylePr>
    <w:tblStylePr w:type="band1Vert">
      <w:tblPr/>
      <w:tcPr>
        <w:shd w:val="clear" w:color="auto" w:fill="E3F1F7"/>
      </w:tcPr>
    </w:tblStylePr>
    <w:tblStylePr w:type="band2Vert">
      <w:tblPr/>
      <w:tcPr>
        <w:shd w:val="clear" w:color="auto" w:fill="C8E4EF"/>
      </w:tcPr>
    </w:tblStylePr>
    <w:tblStylePr w:type="band1Horz">
      <w:tblPr/>
      <w:tcPr>
        <w:shd w:val="clear" w:color="auto" w:fill="C8E4EF" w:themeFill="accent1" w:themeFillTint="66"/>
      </w:tcPr>
    </w:tblStylePr>
  </w:style>
  <w:style w:type="table" w:customStyle="1" w:styleId="DefaultTable21">
    <w:name w:val="Default Table 21"/>
    <w:basedOn w:val="TableNormal"/>
    <w:uiPriority w:val="99"/>
    <w:rsid w:val="00FD4979"/>
    <w:rPr>
      <w:rFonts w:eastAsiaTheme="minorHAnsi" w:cstheme="minorBidi"/>
      <w:color w:val="000000"/>
      <w:lang w:eastAsia="en-US"/>
    </w:rPr>
    <w:tblPr>
      <w:tblInd w:w="0" w:type="nil"/>
      <w:tblCellMar>
        <w:left w:w="0" w:type="dxa"/>
        <w:right w:w="0" w:type="dxa"/>
      </w:tblCellMar>
    </w:tblPr>
    <w:tblStylePr w:type="firstRow">
      <w:rPr>
        <w:b/>
      </w:rPr>
    </w:tblStylePr>
    <w:tblStylePr w:type="lastRow">
      <w:rPr>
        <w:b/>
      </w:rPr>
    </w:tblStylePr>
    <w:tblStylePr w:type="firstCol">
      <w:rPr>
        <w:b/>
      </w:rPr>
    </w:tblStylePr>
    <w:tblStylePr w:type="lastCol">
      <w:rPr>
        <w:b/>
      </w:rPr>
    </w:tblStylePr>
  </w:style>
  <w:style w:type="numbering" w:customStyle="1" w:styleId="FigureNumbers1">
    <w:name w:val="Figure Numbers1"/>
    <w:uiPriority w:val="99"/>
    <w:rsid w:val="00FD4979"/>
    <w:pPr>
      <w:numPr>
        <w:numId w:val="28"/>
      </w:numPr>
    </w:pPr>
  </w:style>
  <w:style w:type="numbering" w:customStyle="1" w:styleId="KCBullets1">
    <w:name w:val="KC Bullets1"/>
    <w:uiPriority w:val="99"/>
    <w:rsid w:val="00FD4979"/>
    <w:pPr>
      <w:numPr>
        <w:numId w:val="31"/>
      </w:numPr>
    </w:pPr>
  </w:style>
  <w:style w:type="numbering" w:customStyle="1" w:styleId="List1Numbered10">
    <w:name w:val="List 1 Numbered1"/>
    <w:uiPriority w:val="99"/>
    <w:rsid w:val="00FD4979"/>
    <w:pPr>
      <w:numPr>
        <w:numId w:val="32"/>
      </w:numPr>
    </w:pPr>
  </w:style>
  <w:style w:type="numbering" w:customStyle="1" w:styleId="NumberedHeadings1">
    <w:name w:val="Numbered Headings1"/>
    <w:uiPriority w:val="99"/>
    <w:rsid w:val="00FD4979"/>
    <w:pPr>
      <w:numPr>
        <w:numId w:val="30"/>
      </w:numPr>
    </w:pPr>
  </w:style>
  <w:style w:type="numbering" w:customStyle="1" w:styleId="TableNumbers1">
    <w:name w:val="Table Numbers1"/>
    <w:uiPriority w:val="99"/>
    <w:rsid w:val="00FD4979"/>
    <w:pPr>
      <w:numPr>
        <w:numId w:val="35"/>
      </w:numPr>
    </w:pPr>
  </w:style>
  <w:style w:type="paragraph" w:customStyle="1" w:styleId="TOC42">
    <w:name w:val="TOC 42"/>
    <w:basedOn w:val="Normal"/>
    <w:next w:val="Normal"/>
    <w:autoRedefine/>
    <w:uiPriority w:val="39"/>
    <w:rsid w:val="00FD4979"/>
    <w:pPr>
      <w:tabs>
        <w:tab w:val="right" w:pos="9628"/>
      </w:tabs>
      <w:spacing w:before="60" w:after="160" w:line="259" w:lineRule="auto"/>
      <w:ind w:left="1135" w:hanging="851"/>
    </w:pPr>
    <w:rPr>
      <w:rFonts w:eastAsiaTheme="minorHAnsi" w:cstheme="minorBidi"/>
      <w:color w:val="auto"/>
      <w:kern w:val="2"/>
      <w:szCs w:val="22"/>
      <w:lang w:eastAsia="en-US"/>
      <w14:ligatures w14:val="standardContextual"/>
    </w:rPr>
  </w:style>
  <w:style w:type="table" w:customStyle="1" w:styleId="greytable">
    <w:name w:val="grey table"/>
    <w:basedOn w:val="TableNormal"/>
    <w:uiPriority w:val="99"/>
    <w:rsid w:val="00D22357"/>
    <w:pPr>
      <w:spacing w:before="0" w:after="0" w:line="240" w:lineRule="auto"/>
    </w:pPr>
    <w:tblPr>
      <w:tblInd w:w="0" w:type="nil"/>
      <w:tblCellMar>
        <w:left w:w="0" w:type="dxa"/>
        <w:right w:w="0" w:type="dxa"/>
      </w:tblCellMar>
    </w:tblPr>
  </w:style>
  <w:style w:type="paragraph" w:styleId="TOC5">
    <w:name w:val="toc 5"/>
    <w:basedOn w:val="Normal"/>
    <w:next w:val="Normal"/>
    <w:autoRedefine/>
    <w:uiPriority w:val="39"/>
    <w:unhideWhenUsed/>
    <w:rsid w:val="00AB2A07"/>
    <w:pPr>
      <w:spacing w:before="0" w:after="100" w:line="278" w:lineRule="auto"/>
      <w:ind w:left="960"/>
    </w:pPr>
    <w:rPr>
      <w:rFonts w:asciiTheme="minorHAnsi" w:hAnsiTheme="minorHAnsi" w:cstheme="minorBidi"/>
      <w:color w:val="auto"/>
      <w:kern w:val="2"/>
      <w:sz w:val="24"/>
      <w:szCs w:val="24"/>
      <w14:ligatures w14:val="standardContextual"/>
    </w:rPr>
  </w:style>
  <w:style w:type="paragraph" w:styleId="TOC6">
    <w:name w:val="toc 6"/>
    <w:basedOn w:val="Normal"/>
    <w:next w:val="Normal"/>
    <w:autoRedefine/>
    <w:uiPriority w:val="39"/>
    <w:unhideWhenUsed/>
    <w:rsid w:val="00AB2A07"/>
    <w:pPr>
      <w:spacing w:before="0" w:after="100" w:line="278" w:lineRule="auto"/>
      <w:ind w:left="1200"/>
    </w:pPr>
    <w:rPr>
      <w:rFonts w:asciiTheme="minorHAnsi" w:hAnsiTheme="minorHAnsi" w:cstheme="minorBidi"/>
      <w:color w:val="auto"/>
      <w:kern w:val="2"/>
      <w:sz w:val="24"/>
      <w:szCs w:val="24"/>
      <w14:ligatures w14:val="standardContextual"/>
    </w:rPr>
  </w:style>
  <w:style w:type="paragraph" w:styleId="TOC7">
    <w:name w:val="toc 7"/>
    <w:basedOn w:val="Normal"/>
    <w:next w:val="Normal"/>
    <w:autoRedefine/>
    <w:uiPriority w:val="39"/>
    <w:unhideWhenUsed/>
    <w:rsid w:val="00AB2A07"/>
    <w:pPr>
      <w:spacing w:before="0" w:after="100" w:line="278" w:lineRule="auto"/>
      <w:ind w:left="1440"/>
    </w:pPr>
    <w:rPr>
      <w:rFonts w:asciiTheme="minorHAnsi" w:hAnsiTheme="minorHAnsi" w:cstheme="minorBidi"/>
      <w:color w:val="auto"/>
      <w:kern w:val="2"/>
      <w:sz w:val="24"/>
      <w:szCs w:val="24"/>
      <w14:ligatures w14:val="standardContextual"/>
    </w:rPr>
  </w:style>
  <w:style w:type="paragraph" w:styleId="TOC8">
    <w:name w:val="toc 8"/>
    <w:basedOn w:val="Normal"/>
    <w:next w:val="Normal"/>
    <w:autoRedefine/>
    <w:uiPriority w:val="39"/>
    <w:unhideWhenUsed/>
    <w:rsid w:val="00AB2A07"/>
    <w:pPr>
      <w:spacing w:before="0" w:after="100" w:line="278" w:lineRule="auto"/>
      <w:ind w:left="1680"/>
    </w:pPr>
    <w:rPr>
      <w:rFonts w:asciiTheme="minorHAnsi" w:hAnsiTheme="minorHAnsi" w:cstheme="minorBidi"/>
      <w:color w:val="auto"/>
      <w:kern w:val="2"/>
      <w:sz w:val="24"/>
      <w:szCs w:val="24"/>
      <w14:ligatures w14:val="standardContextual"/>
    </w:rPr>
  </w:style>
  <w:style w:type="paragraph" w:styleId="TOC9">
    <w:name w:val="toc 9"/>
    <w:basedOn w:val="Normal"/>
    <w:next w:val="Normal"/>
    <w:autoRedefine/>
    <w:uiPriority w:val="39"/>
    <w:unhideWhenUsed/>
    <w:rsid w:val="00AB2A07"/>
    <w:pPr>
      <w:spacing w:before="0" w:after="100" w:line="278" w:lineRule="auto"/>
      <w:ind w:left="1920"/>
    </w:pPr>
    <w:rPr>
      <w:rFonts w:asciiTheme="minorHAnsi" w:hAnsiTheme="minorHAnsi" w:cstheme="minorBidi"/>
      <w:color w:val="auto"/>
      <w:kern w:val="2"/>
      <w:sz w:val="24"/>
      <w:szCs w:val="24"/>
      <w14:ligatures w14:val="standardContextual"/>
    </w:rPr>
  </w:style>
  <w:style w:type="paragraph" w:styleId="TableofFigures">
    <w:name w:val="table of figures"/>
    <w:basedOn w:val="Normal"/>
    <w:next w:val="Normal"/>
    <w:unhideWhenUsed/>
    <w:rsid w:val="00AB2A07"/>
    <w:pPr>
      <w:spacing w:after="0"/>
    </w:pPr>
  </w:style>
  <w:style w:type="character" w:styleId="Mention">
    <w:name w:val="Mention"/>
    <w:basedOn w:val="DefaultParagraphFont"/>
    <w:uiPriority w:val="99"/>
    <w:unhideWhenUsed/>
    <w:rsid w:val="00D812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ho.int/publications/i/item/WHO-NMH-NHD-EPG-13.1" TargetMode="External"/><Relationship Id="rId21" Type="http://schemas.openxmlformats.org/officeDocument/2006/relationships/footer" Target="footer2.xml"/><Relationship Id="rId42" Type="http://schemas.openxmlformats.org/officeDocument/2006/relationships/hyperlink" Target="https://mro.massey.ac.nz/server/api/core/bitstreams/ce22b13b-af95-43c4-837e-a36fbb6b4cdd/content" TargetMode="External"/><Relationship Id="rId63" Type="http://schemas.openxmlformats.org/officeDocument/2006/relationships/hyperlink" Target="https://cot.food.gov.uk/Statement%20on%20the%20potential%20effects%20that%20excess%20iodine%20intake%20may%20have%20during%20preconception%2C%20pregnancy%20and%20lactation" TargetMode="External"/><Relationship Id="rId84" Type="http://schemas.openxmlformats.org/officeDocument/2006/relationships/image" Target="media/image12.jpeg"/><Relationship Id="rId138" Type="http://schemas.openxmlformats.org/officeDocument/2006/relationships/header" Target="header20.xml"/><Relationship Id="rId107" Type="http://schemas.openxmlformats.org/officeDocument/2006/relationships/hyperlink" Target="https://minhealthnz.shinyapps.io/nz-health-survey-2014-15-biomedical/" TargetMode="External"/><Relationship Id="rId11" Type="http://schemas.openxmlformats.org/officeDocument/2006/relationships/endnotes" Target="endnotes.xml"/><Relationship Id="rId32" Type="http://schemas.openxmlformats.org/officeDocument/2006/relationships/hyperlink" Target="https://www.abs.gov.au/statistics/health/health-conditions-and-risks/apparent-consumption-selected-foodstuffs-australia/2023-24" TargetMode="External"/><Relationship Id="rId37" Type="http://schemas.openxmlformats.org/officeDocument/2006/relationships/hyperlink" Target="https://www.ncbi.nlm.nih.gov/books/NBK285556/" TargetMode="External"/><Relationship Id="rId53" Type="http://schemas.openxmlformats.org/officeDocument/2006/relationships/hyperlink" Target="https://www.eatforhealth.gov.au/sites/default/files/files/the_guidelines/n55c_dietary_guidelines_food_modelling.pdf" TargetMode="External"/><Relationship Id="rId58" Type="http://schemas.openxmlformats.org/officeDocument/2006/relationships/hyperlink" Target="https://doi.org/10.1016/j.scitotenv.2024.177160" TargetMode="External"/><Relationship Id="rId74" Type="http://schemas.openxmlformats.org/officeDocument/2006/relationships/header" Target="header10.xml"/><Relationship Id="rId79" Type="http://schemas.openxmlformats.org/officeDocument/2006/relationships/footer" Target="footer6.xml"/><Relationship Id="rId102" Type="http://schemas.openxmlformats.org/officeDocument/2006/relationships/hyperlink" Target="https://doi" TargetMode="External"/><Relationship Id="rId123" Type="http://schemas.openxmlformats.org/officeDocument/2006/relationships/hyperlink" Target="https://www.efsa.europa.eu/sites/default/files/efsa_rep/blobserver_assets/ndatolerable%20uil.pdf" TargetMode="External"/><Relationship Id="rId128" Type="http://schemas.openxmlformats.org/officeDocument/2006/relationships/hyperlink" Target="https://www.nhmrc.gov.au/about-us/publications/iodine-supplementation-pregnant-and-breastfeeding-women" TargetMode="External"/><Relationship Id="rId5" Type="http://schemas.openxmlformats.org/officeDocument/2006/relationships/customXml" Target="../customXml/item5.xml"/><Relationship Id="rId90" Type="http://schemas.openxmlformats.org/officeDocument/2006/relationships/header" Target="header18.xml"/><Relationship Id="rId95" Type="http://schemas.openxmlformats.org/officeDocument/2006/relationships/hyperlink" Target="https://www.abs.gov.au/statistics/health/health-conditions-and-risks/usual-nutrient-intakes/latest-release" TargetMode="External"/><Relationship Id="rId22" Type="http://schemas.openxmlformats.org/officeDocument/2006/relationships/header" Target="header3.xml"/><Relationship Id="rId27" Type="http://schemas.openxmlformats.org/officeDocument/2006/relationships/header" Target="header6.xml"/><Relationship Id="rId43" Type="http://schemas.openxmlformats.org/officeDocument/2006/relationships/hyperlink" Target="https://www.foodstandards.gov.au/sites/default/files/2023-11/24th-ATDS.pdf" TargetMode="External"/><Relationship Id="rId48" Type="http://schemas.openxmlformats.org/officeDocument/2006/relationships/hyperlink" Target="https://doi.org/10.1002/ijc.33889" TargetMode="External"/><Relationship Id="rId64" Type="http://schemas.openxmlformats.org/officeDocument/2006/relationships/hyperlink" Target="https://doi.org/10.1016/B0-12-227055-X/00602-7" TargetMode="External"/><Relationship Id="rId69" Type="http://schemas.openxmlformats.org/officeDocument/2006/relationships/hyperlink" Target="https://iris.who.int/bitstream/handle/10665/133706/WHO_NMH_NHD_EPG_14.5_eng.pdf" TargetMode="External"/><Relationship Id="rId113" Type="http://schemas.openxmlformats.org/officeDocument/2006/relationships/hyperlink" Target="https://assets.publishing.service.gov.uk/media/5a7e469ced915d74e62253f3/SACN_Iodine_and_Health_2014.pdf" TargetMode="External"/><Relationship Id="rId118" Type="http://schemas.openxmlformats.org/officeDocument/2006/relationships/hyperlink" Target="https://www.abs.gov.au/articles/iodine" TargetMode="External"/><Relationship Id="rId134" Type="http://schemas.openxmlformats.org/officeDocument/2006/relationships/hyperlink" Target="https://assets.publishing.service.gov.uk/media/5a7e469ced915d74e62253f3/SACN_Iodine_and_Health_2014.pdf" TargetMode="External"/><Relationship Id="rId139" Type="http://schemas.openxmlformats.org/officeDocument/2006/relationships/footer" Target="footer9.xml"/><Relationship Id="rId80" Type="http://schemas.openxmlformats.org/officeDocument/2006/relationships/header" Target="header15.xml"/><Relationship Id="rId85" Type="http://schemas.openxmlformats.org/officeDocument/2006/relationships/image" Target="media/image13.jpeg"/><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hyperlink" Target="https://www.abs.gov.au/statistics/health/food-and-nutrition/food-and-nutrients/2023" TargetMode="External"/><Relationship Id="rId38" Type="http://schemas.openxmlformats.org/officeDocument/2006/relationships/hyperlink" Target="https://doi.org/10.1111/1747-0080.12132" TargetMode="External"/><Relationship Id="rId59" Type="http://schemas.openxmlformats.org/officeDocument/2006/relationships/hyperlink" Target="https://doi.org/10.1210/jc.2007-1715" TargetMode="External"/><Relationship Id="rId103" Type="http://schemas.openxmlformats.org/officeDocument/2006/relationships/hyperlink" Target="https://www.sbc.org.nz/wp-content/uploads/2022/07/2022-Better-Futures-Report-Version-23-March-FINAL.pdf" TargetMode="External"/><Relationship Id="rId108" Type="http://schemas.openxmlformats.org/officeDocument/2006/relationships/hyperlink" Target="https://figshare.utas.edu.au/articles/report/Barriers_and_enablers_to_maternal_iodine_supplement_use_in_Tasm" TargetMode="External"/><Relationship Id="rId124" Type="http://schemas.openxmlformats.org/officeDocument/2006/relationships/hyperlink" Target="https://doi.org/10.2903/j.efsa.2023.7798" TargetMode="External"/><Relationship Id="rId129" Type="http://schemas.openxmlformats.org/officeDocument/2006/relationships/hyperlink" Target="https://www.eatforhealth.gov.au/sites/default/files/files/the_guidelines/n55c_dietary_guidelines_food_modelling.pdf" TargetMode="External"/><Relationship Id="rId54" Type="http://schemas.openxmlformats.org/officeDocument/2006/relationships/hyperlink" Target="https://minhealthnz.shinyapps.io/nz-health-survey-2014-15-biomedical/" TargetMode="External"/><Relationship Id="rId70" Type="http://schemas.openxmlformats.org/officeDocument/2006/relationships/header" Target="header7.xml"/><Relationship Id="rId75" Type="http://schemas.openxmlformats.org/officeDocument/2006/relationships/header" Target="header11.xml"/><Relationship Id="rId91" Type="http://schemas.openxmlformats.org/officeDocument/2006/relationships/image" Target="media/image15.png"/><Relationship Id="rId96" Type="http://schemas.openxmlformats.org/officeDocument/2006/relationships/hyperlink" Target="https://www.abs.gov.au/statistics/health/health-conditions-and-risks/national-health-measures-survey/latest-release" TargetMode="External"/><Relationship Id="rId140"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footer" Target="footer3.xml"/><Relationship Id="rId28" Type="http://schemas.openxmlformats.org/officeDocument/2006/relationships/hyperlink" Target="https://nzmj.org.nz/media/pages/journal/vol-133-no-1526/6359949b3e-1696471070/vol-133-no-1526.pdf" TargetMode="External"/><Relationship Id="rId49" Type="http://schemas.openxmlformats.org/officeDocument/2006/relationships/hyperlink" Target="https://doi.org/10.1111/ajo.12239" TargetMode="External"/><Relationship Id="rId114" Type="http://schemas.openxmlformats.org/officeDocument/2006/relationships/hyperlink" Target="https://www.health.govt.nz/system/files/2011-10/methodology-report.pdf" TargetMode="External"/><Relationship Id="rId119" Type="http://schemas.openxmlformats.org/officeDocument/2006/relationships/hyperlink" Target="https://www.abs.gov.au/statistics/health/health-conditions-and-risks/usual-nutrient-intakes/latest-release" TargetMode="External"/><Relationship Id="rId44" Type="http://schemas.openxmlformats.org/officeDocument/2006/relationships/hyperlink" Target="https://www.foodstandards.gov.au/sites/default/files/publications/Documents/Iodine%20Fortification%20Monitoring%20Report.pdf" TargetMode="External"/><Relationship Id="rId60" Type="http://schemas.openxmlformats.org/officeDocument/2006/relationships/hyperlink" Target="https://doi.org/10.1210/jendso/bvaa002" TargetMode="External"/><Relationship Id="rId65" Type="http://schemas.openxmlformats.org/officeDocument/2006/relationships/hyperlink" Target="https://doi.org/10.1530/EJE-19-0212" TargetMode="External"/><Relationship Id="rId81" Type="http://schemas.openxmlformats.org/officeDocument/2006/relationships/footer" Target="footer7.xml"/><Relationship Id="rId86" Type="http://schemas.openxmlformats.org/officeDocument/2006/relationships/image" Target="media/image14.jpeg"/><Relationship Id="rId130" Type="http://schemas.openxmlformats.org/officeDocument/2006/relationships/hyperlink" Target="https://minhealthnz.shinyapps.io/nz-health-survey-2014-15-biomedical/" TargetMode="External"/><Relationship Id="rId135" Type="http://schemas.openxmlformats.org/officeDocument/2006/relationships/hyperlink" Target="https://iris.who.int/handle/10665/43781" TargetMode="External"/><Relationship Id="rId13" Type="http://schemas.openxmlformats.org/officeDocument/2006/relationships/image" Target="media/image2.jpeg"/><Relationship Id="rId18" Type="http://schemas.openxmlformats.org/officeDocument/2006/relationships/header" Target="header1.xml"/><Relationship Id="rId39" Type="http://schemas.openxmlformats.org/officeDocument/2006/relationships/hyperlink" Target="https://doi.org/10.1111/j.1445-5994.2007.01367.x" TargetMode="External"/><Relationship Id="rId109" Type="http://schemas.openxmlformats.org/officeDocument/2006/relationships/hyperlink" Target="https://doi" TargetMode="External"/><Relationship Id="rId34" Type="http://schemas.openxmlformats.org/officeDocument/2006/relationships/hyperlink" Target="https://www.aihw.gov.au/reports/cancer/cancer-data-in-australia" TargetMode="External"/><Relationship Id="rId50" Type="http://schemas.openxmlformats.org/officeDocument/2006/relationships/hyperlink" Target="https://doi.org/10.1111/ajo.12201" TargetMode="External"/><Relationship Id="rId55" Type="http://schemas.openxmlformats.org/officeDocument/2006/relationships/hyperlink" Target="https://www.mpi.govt.nz/dmsdocument/4596-Update-report-on-the-dietary-iodine-intake-of-New-Zealand-children-following-fortification-of-bread-with-iodine-Ministry-for-Primary-Industries-July-2014" TargetMode="External"/><Relationship Id="rId76" Type="http://schemas.openxmlformats.org/officeDocument/2006/relationships/header" Target="header12.xml"/><Relationship Id="rId97" Type="http://schemas.openxmlformats.org/officeDocument/2006/relationships/hyperlink" Target="https://www.abs.gov.au/statistics/health/health-conditions-and-risks/apparent-consumption-selected-foodstuffs-australia/2023-24" TargetMode="External"/><Relationship Id="rId104" Type="http://schemas.openxmlformats.org/officeDocument/2006/relationships/hyperlink" Target="https://doi.org/10.1111/ajo.12201" TargetMode="External"/><Relationship Id="rId120" Type="http://schemas.openxmlformats.org/officeDocument/2006/relationships/hyperlink" Target="https://www.abs.gov.au/statistics/health/health-conditions-and-risks/national-health-measures-survey/latest-release" TargetMode="External"/><Relationship Id="rId125" Type="http://schemas.openxmlformats.org/officeDocument/2006/relationships/hyperlink" Target="https://www.foodstandards.gov.au/sites/default/files/publications/Documents/Iodine%20Fortification%20Monitoring%20Report.pdf" TargetMode="External"/><Relationship Id="rId141" Type="http://schemas.openxmlformats.org/officeDocument/2006/relationships/footer" Target="footer10.xml"/><Relationship Id="rId7" Type="http://schemas.openxmlformats.org/officeDocument/2006/relationships/styles" Target="styles.xml"/><Relationship Id="rId71" Type="http://schemas.openxmlformats.org/officeDocument/2006/relationships/header" Target="header8.xml"/><Relationship Id="rId92" Type="http://schemas.openxmlformats.org/officeDocument/2006/relationships/image" Target="media/image16.png"/><Relationship Id="rId2" Type="http://schemas.openxmlformats.org/officeDocument/2006/relationships/customXml" Target="../customXml/item2.xml"/><Relationship Id="rId29" Type="http://schemas.openxmlformats.org/officeDocument/2006/relationships/hyperlink" Target="https://www.abs.gov.au/articles/iodine" TargetMode="External"/><Relationship Id="rId24" Type="http://schemas.openxmlformats.org/officeDocument/2006/relationships/header" Target="header4.xml"/><Relationship Id="rId40" Type="http://schemas.openxmlformats.org/officeDocument/2006/relationships/hyperlink" Target="https://www.efsa.europa.eu/sites/default/files/efsa_rep/blobserver_assets/ndatolerable%20uil.pdf" TargetMode="External"/><Relationship Id="rId45" Type="http://schemas.openxmlformats.org/officeDocument/2006/relationships/hyperlink" Target="https://doi.org/10.1111/cen.13143" TargetMode="External"/><Relationship Id="rId66" Type="http://schemas.openxmlformats.org/officeDocument/2006/relationships/hyperlink" Target="https://www.wcrf.org/wp-content/uploads/2024/11/judging-the-evidence.pdf" TargetMode="External"/><Relationship Id="rId87" Type="http://schemas.openxmlformats.org/officeDocument/2006/relationships/header" Target="header16.xml"/><Relationship Id="rId110" Type="http://schemas.openxmlformats.org/officeDocument/2006/relationships/hyperlink" Target="https://research-repository.griffith.edu.au/server/api/core/bitstreams/f238a2f5-7201-4af0-8159-09eb991fa604/content" TargetMode="External"/><Relationship Id="rId115" Type="http://schemas.openxmlformats.org/officeDocument/2006/relationships/hyperlink" Target="https://www" TargetMode="External"/><Relationship Id="rId131" Type="http://schemas.openxmlformats.org/officeDocument/2006/relationships/hyperlink" Target="https://research-repository.griffith.edu.au/server/api/core/bitstreams/f238a2f5-7201-4af0-8159-09eb991fa604/content" TargetMode="External"/><Relationship Id="rId136" Type="http://schemas.openxmlformats.org/officeDocument/2006/relationships/hyperlink" Target="https://www.who.int/publications/i/item/WHO-NMH-NHD-EPG-13.1" TargetMode="External"/><Relationship Id="rId61" Type="http://schemas.openxmlformats.org/officeDocument/2006/relationships/hyperlink" Target="https://teaho.govt.nz/cancer/types/thyroid" TargetMode="External"/><Relationship Id="rId82" Type="http://schemas.openxmlformats.org/officeDocument/2006/relationships/image" Target="media/image10.jpeg"/><Relationship Id="rId19" Type="http://schemas.openxmlformats.org/officeDocument/2006/relationships/header" Target="header2.xml"/><Relationship Id="rId14" Type="http://schemas.openxmlformats.org/officeDocument/2006/relationships/image" Target="media/image3.jpeg"/><Relationship Id="rId30" Type="http://schemas.openxmlformats.org/officeDocument/2006/relationships/hyperlink" Target="https://www.abs.gov.au/statistics/health/health-conditions-and-risks/usual-nutrient-intakes/latest-release" TargetMode="External"/><Relationship Id="rId35" Type="http://schemas.openxmlformats.org/officeDocument/2006/relationships/hyperlink" Target="https://aus01.safelinks.protection.outlook.com/?url=http%3A%2F%2Fdx.doi.org%2F10.1007%2F978-0-387-92271-3_135&amp;data=05%7C02%7Cnrv%40nhmrc.gov.au%7C680388793e31488b858d08ddd4927c51%7C402fca06dc9c412f9bf91a335a4671f7%7C0%7C0%7C638900448046607542%7CUnknown%7CTWFpbGZsb3d8eyJFbXB0eU1hcGkiOnRydWUsIlYiOiIwLjAuMDAwMCIsIlAiOiJXaW4zMiIsIkFOIjoiTWFpbCIsIldUIjoyfQ%3D%3D%7C0%7C%7C%7C&amp;sdata=cgl1cj6X4%2BTzqBpHID%2FUyODoOjluFXtN%2BxdYn%2FzUou8%3D&amp;reserved=0" TargetMode="External"/><Relationship Id="rId56" Type="http://schemas.openxmlformats.org/officeDocument/2006/relationships/hyperlink" Target="https://figshare.utas.edu.au/articles/report/Barriers_and_enablers_to_maternal_iodine_supplement_use_in_Tasm" TargetMode="External"/><Relationship Id="rId77" Type="http://schemas.openxmlformats.org/officeDocument/2006/relationships/header" Target="header13.xml"/><Relationship Id="rId100" Type="http://schemas.openxmlformats.org/officeDocument/2006/relationships/hyperlink" Target="https://doi.org/10.1111/1747-0080.12132" TargetMode="External"/><Relationship Id="rId105" Type="http://schemas.openxmlformats.org/officeDocument/2006/relationships/hyperlink" Target="https://www.nhmrc.gov.au/about-us/publications/iodine-supplementation-pregnant-and-breastfeeding-women" TargetMode="External"/><Relationship Id="rId126" Type="http://schemas.openxmlformats.org/officeDocument/2006/relationships/hyperlink" Target="https://www.sbc.org.nz/wp-content/uploads/2022/07/2022-Better-Futures-Report-Version-23-March-FINAL.pdf" TargetMode="External"/><Relationship Id="rId8" Type="http://schemas.openxmlformats.org/officeDocument/2006/relationships/settings" Target="settings.xml"/><Relationship Id="rId51" Type="http://schemas.openxmlformats.org/officeDocument/2006/relationships/hyperlink" Target="https://www.nhmrc.gov.au/about-us/publications/nutrient-reference-values-australia-and-new-zealand-including-recommended-dietary-intakes" TargetMode="External"/><Relationship Id="rId72" Type="http://schemas.openxmlformats.org/officeDocument/2006/relationships/footer" Target="footer5.xml"/><Relationship Id="rId93" Type="http://schemas.openxmlformats.org/officeDocument/2006/relationships/image" Target="media/image17.png"/><Relationship Id="rId98" Type="http://schemas.openxmlformats.org/officeDocument/2006/relationships/hyperlink" Target="https://www.abs.gov.au/statistics/health/food-and-nutrition/food-and-nutrients/2023" TargetMode="External"/><Relationship Id="rId121" Type="http://schemas.openxmlformats.org/officeDocument/2006/relationships/hyperlink" Target="https://www.abs.gov.au/statistics/health/food-and-nutrition/food-and-nutrients/2023"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hyperlink" Target="https://doi.org/10.1210/jc.2012-4249" TargetMode="External"/><Relationship Id="rId67" Type="http://schemas.openxmlformats.org/officeDocument/2006/relationships/hyperlink" Target="https://iris.who.int/handle/10665/43781" TargetMode="External"/><Relationship Id="rId116" Type="http://schemas.openxmlformats.org/officeDocument/2006/relationships/hyperlink" Target="https://iris.who.int/handle/10665/43781" TargetMode="External"/><Relationship Id="rId137" Type="http://schemas.openxmlformats.org/officeDocument/2006/relationships/header" Target="header19.xml"/><Relationship Id="rId20" Type="http://schemas.openxmlformats.org/officeDocument/2006/relationships/footer" Target="footer1.xml"/><Relationship Id="rId41" Type="http://schemas.openxmlformats.org/officeDocument/2006/relationships/hyperlink" Target="https://doi.org/10.2903/j.efsa.2023.7798" TargetMode="External"/><Relationship Id="rId62" Type="http://schemas.openxmlformats.org/officeDocument/2006/relationships/hyperlink" Target="https://assets.publishing.service.gov.uk/media/5a7e469ced915d74e62253f3/SACN_Iodine_and_Health_2014.pdf" TargetMode="External"/><Relationship Id="rId83" Type="http://schemas.openxmlformats.org/officeDocument/2006/relationships/image" Target="media/image11.jpeg"/><Relationship Id="rId88" Type="http://schemas.openxmlformats.org/officeDocument/2006/relationships/header" Target="header17.xml"/><Relationship Id="rId111" Type="http://schemas.openxmlformats.org/officeDocument/2006/relationships/hyperlink" Target="https://www.roymorgan.com/findings/vegetarianism-on-the-rise-in-new-zealand" TargetMode="External"/><Relationship Id="rId132" Type="http://schemas.openxmlformats.org/officeDocument/2006/relationships/hyperlink" Target="https://www.roymorgan.com/findings/vegetarianism-on-the-rise-in-new-zealand" TargetMode="External"/><Relationship Id="rId15" Type="http://schemas.openxmlformats.org/officeDocument/2006/relationships/image" Target="media/image4.jpeg"/><Relationship Id="rId36" Type="http://schemas.openxmlformats.org/officeDocument/2006/relationships/hyperlink" Target="https://pub.norden.org/nord2023-003/nord2023-003.pdf" TargetMode="External"/><Relationship Id="rId57" Type="http://schemas.openxmlformats.org/officeDocument/2006/relationships/hyperlink" Target="https://doi.org/10.1111/cen.12724" TargetMode="External"/><Relationship Id="rId106" Type="http://schemas.openxmlformats.org/officeDocument/2006/relationships/hyperlink" Target="https://www.eatforhealth.gov.au/sites/default/files/files/the_guidelines/n55c_dietary_guidelines_food_modelling.pdf" TargetMode="External"/><Relationship Id="rId127" Type="http://schemas.openxmlformats.org/officeDocument/2006/relationships/hyperlink" Target="https://www.nhmrc.gov.au/about-us/publications/nutrient-reference-values-australia-and-new-zealand-including-recommended-dietary-intakes" TargetMode="External"/><Relationship Id="rId10" Type="http://schemas.openxmlformats.org/officeDocument/2006/relationships/footnotes" Target="footnotes.xml"/><Relationship Id="rId31" Type="http://schemas.openxmlformats.org/officeDocument/2006/relationships/hyperlink" Target="https://www.abs.gov.au/statistics/health/health-conditions-and-risks/national-health-measures-survey/latest-release" TargetMode="External"/><Relationship Id="rId52" Type="http://schemas.openxmlformats.org/officeDocument/2006/relationships/hyperlink" Target="https://www.nhmrc.gov.au/about-us/publications/iodine-supplementation-pregnant-and-breastfeeding-women" TargetMode="External"/><Relationship Id="rId73" Type="http://schemas.openxmlformats.org/officeDocument/2006/relationships/header" Target="header9.xml"/><Relationship Id="rId78" Type="http://schemas.openxmlformats.org/officeDocument/2006/relationships/header" Target="header14.xml"/><Relationship Id="rId94" Type="http://schemas.openxmlformats.org/officeDocument/2006/relationships/hyperlink" Target="https://www.abs.gov.au/articles/iodine" TargetMode="External"/><Relationship Id="rId99" Type="http://schemas.openxmlformats.org/officeDocument/2006/relationships/hyperlink" Target="https://pub.norden.org/nord2023-003/nord2023-003.pdf" TargetMode="External"/><Relationship Id="rId101" Type="http://schemas.openxmlformats.org/officeDocument/2006/relationships/hyperlink" Target="https://search" TargetMode="External"/><Relationship Id="rId122" Type="http://schemas.openxmlformats.org/officeDocument/2006/relationships/hyperlink" Target="https://pub.norden.org/nord2023-003/nord2023-003.pdf"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footer" Target="footer4.xml"/><Relationship Id="rId47" Type="http://schemas.openxmlformats.org/officeDocument/2006/relationships/hyperlink" Target="https://gco.iarc.who.int/media/globocan/factsheets/populations/554-new-zealand-fact-sheet.pdf" TargetMode="External"/><Relationship Id="rId68" Type="http://schemas.openxmlformats.org/officeDocument/2006/relationships/hyperlink" Target="https://www.who.int/publications/i/item/WHO-NMH-NHD-EPG-13.1" TargetMode="External"/><Relationship Id="rId89" Type="http://schemas.openxmlformats.org/officeDocument/2006/relationships/footer" Target="footer8.xml"/><Relationship Id="rId112" Type="http://schemas.openxmlformats.org/officeDocument/2006/relationships/hyperlink" Target="https://doi" TargetMode="External"/><Relationship Id="rId133" Type="http://schemas.openxmlformats.org/officeDocument/2006/relationships/hyperlink" Target="https://cot.food.gov.uk/Statement%20on%20the%20potential%20effects%20that%20excess%20iodine%20intake%20may%20have%20during%20preconception,%20pregnancy%20and%20lactation" TargetMode="External"/><Relationship Id="rId16" Type="http://schemas.openxmlformats.org/officeDocument/2006/relationships/image" Target="media/image5.png"/></Relationships>
</file>

<file path=word/_rels/footer10.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footer6.xml.rels><?xml version="1.0" encoding="UTF-8" standalone="yes"?>
<Relationships xmlns="http://schemas.openxmlformats.org/package/2006/relationships"><Relationship Id="rId1" Type="http://schemas.openxmlformats.org/officeDocument/2006/relationships/image" Target="media/image8.png"/></Relationships>
</file>

<file path=word/_rels/footer7.xml.rels><?xml version="1.0" encoding="UTF-8" standalone="yes"?>
<Relationships xmlns="http://schemas.openxmlformats.org/package/2006/relationships"><Relationship Id="rId1" Type="http://schemas.openxmlformats.org/officeDocument/2006/relationships/image" Target="media/image8.png"/></Relationships>
</file>

<file path=word/_rels/footer8.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s://www.nhmrc.gov.au/research-policy/gender-equity/statement-sex-and-gender-health-and-medical-research" TargetMode="External"/><Relationship Id="rId1" Type="http://schemas.openxmlformats.org/officeDocument/2006/relationships/hyperlink" Target="https://afcd.foodstandards.gov.au/foodsbynutrientsearch.aspx?nutrientID=I"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7.png"/></Relationships>
</file>

<file path=word/_rels/header15.xml.rels><?xml version="1.0" encoding="UTF-8" standalone="yes"?>
<Relationships xmlns="http://schemas.openxmlformats.org/package/2006/relationships"><Relationship Id="rId1" Type="http://schemas.openxmlformats.org/officeDocument/2006/relationships/image" Target="media/image7.png"/></Relationships>
</file>

<file path=word/_rels/header17.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3%20-%20Standard%20Document.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435887d3ce3390e25abb32a774e30047">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8aaa4424ea834ea0cc8d065d83610a3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RESTRANS-1864802524-201133</_dlc_DocId>
    <_dlc_DocIdUrl xmlns="ef8499da-f70f-48c9-a6de-e578977a26c0">
      <Url>https://nhmrc.sharepoint.com/sites/restrans/_layouts/15/DocIdRedir.aspx?ID=RESTRANS-1864802524-201133</Url>
      <Description>RESTRANS-1864802524-201133</Description>
    </_dlc_DocIdUrl>
    <_dlc_DocIdPersistId xmlns="ef8499da-f70f-48c9-a6de-e578977a26c0">false</_dlc_DocIdPersistId>
    <lcf76f155ced4ddcb4097134ff3c332f xmlns="f4994564-c68c-4417-8c9c-13eb9ecde3d6">
      <Terms xmlns="http://schemas.microsoft.com/office/infopath/2007/PartnerControls"/>
    </lcf76f155ced4ddcb4097134ff3c332f>
    <Comments xmlns="f4994564-c68c-4417-8c9c-13eb9ecde3d6" xsi:nil="true"/>
    <Status xmlns="f4994564-c68c-4417-8c9c-13eb9ecde3d6" xsi:nil="true"/>
    <person xmlns="f4994564-c68c-4417-8c9c-13eb9ecde3d6">
      <UserInfo>
        <DisplayName/>
        <AccountId xsi:nil="true"/>
        <AccountType/>
      </UserInfo>
    </person>
    <TaxCatchAll xmlns="ef8499da-f70f-48c9-a6de-e578977a26c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3801D-A606-4313-A697-DFEFB2DB5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F98D35-E949-4B4C-B6EB-8834F1089BE6}">
  <ds:schemaRefs>
    <ds:schemaRef ds:uri="http://schemas.microsoft.com/office/2006/metadata/properties"/>
    <ds:schemaRef ds:uri="http://schemas.microsoft.com/office/infopath/2007/PartnerControls"/>
    <ds:schemaRef ds:uri="ef8499da-f70f-48c9-a6de-e578977a26c0"/>
    <ds:schemaRef ds:uri="f4994564-c68c-4417-8c9c-13eb9ecde3d6"/>
    <ds:schemaRef ds:uri="http://schemas.microsoft.com/sharepoint/v3"/>
  </ds:schemaRefs>
</ds:datastoreItem>
</file>

<file path=customXml/itemProps3.xml><?xml version="1.0" encoding="utf-8"?>
<ds:datastoreItem xmlns:ds="http://schemas.openxmlformats.org/officeDocument/2006/customXml" ds:itemID="{EDADFDA9-8383-43FE-ABCB-9527F45D8D51}">
  <ds:schemaRefs>
    <ds:schemaRef ds:uri="http://schemas.microsoft.com/sharepoint/v3/contenttype/forms"/>
  </ds:schemaRefs>
</ds:datastoreItem>
</file>

<file path=customXml/itemProps4.xml><?xml version="1.0" encoding="utf-8"?>
<ds:datastoreItem xmlns:ds="http://schemas.openxmlformats.org/officeDocument/2006/customXml" ds:itemID="{2DBEE2B8-3BD0-4633-AE10-673B02D74F84}">
  <ds:schemaRefs>
    <ds:schemaRef ds:uri="http://schemas.microsoft.com/sharepoint/events"/>
  </ds:schemaRefs>
</ds:datastoreItem>
</file>

<file path=customXml/itemProps5.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03%20-%20Standard%20Document.dotx</Template>
  <TotalTime>732</TotalTime>
  <Pages>183</Pages>
  <Words>61489</Words>
  <Characters>346187</Characters>
  <Application>Microsoft Office Word</Application>
  <DocSecurity>0</DocSecurity>
  <Lines>10818</Lines>
  <Paragraphs>6176</Paragraphs>
  <ScaleCrop>false</ScaleCrop>
  <HeadingPairs>
    <vt:vector size="2" baseType="variant">
      <vt:variant>
        <vt:lpstr>Title</vt:lpstr>
      </vt:variant>
      <vt:variant>
        <vt:i4>1</vt:i4>
      </vt:variant>
    </vt:vector>
  </HeadingPairs>
  <TitlesOfParts>
    <vt:vector size="1" baseType="lpstr">
      <vt:lpstr>Attachment B - Draft Iodine evidence summary report</vt:lpstr>
    </vt:vector>
  </TitlesOfParts>
  <Company/>
  <LinksUpToDate>false</LinksUpToDate>
  <CharactersWithSpaces>401500</CharactersWithSpaces>
  <SharedDoc>false</SharedDoc>
  <HLinks>
    <vt:vector size="996" baseType="variant">
      <vt:variant>
        <vt:i4>524360</vt:i4>
      </vt:variant>
      <vt:variant>
        <vt:i4>867</vt:i4>
      </vt:variant>
      <vt:variant>
        <vt:i4>0</vt:i4>
      </vt:variant>
      <vt:variant>
        <vt:i4>5</vt:i4>
      </vt:variant>
      <vt:variant>
        <vt:lpwstr>https://www.who.int/publications/i/item/WHO-NMH-NHD-EPG-13.1</vt:lpwstr>
      </vt:variant>
      <vt:variant>
        <vt:lpwstr/>
      </vt:variant>
      <vt:variant>
        <vt:i4>7471160</vt:i4>
      </vt:variant>
      <vt:variant>
        <vt:i4>864</vt:i4>
      </vt:variant>
      <vt:variant>
        <vt:i4>0</vt:i4>
      </vt:variant>
      <vt:variant>
        <vt:i4>5</vt:i4>
      </vt:variant>
      <vt:variant>
        <vt:lpwstr>https://iris.who.int/handle/10665/43781</vt:lpwstr>
      </vt:variant>
      <vt:variant>
        <vt:lpwstr/>
      </vt:variant>
      <vt:variant>
        <vt:i4>7012390</vt:i4>
      </vt:variant>
      <vt:variant>
        <vt:i4>861</vt:i4>
      </vt:variant>
      <vt:variant>
        <vt:i4>0</vt:i4>
      </vt:variant>
      <vt:variant>
        <vt:i4>5</vt:i4>
      </vt:variant>
      <vt:variant>
        <vt:lpwstr>https://assets.publishing.service.gov.uk/media/5a7e469ced915d74e62253f3/SACN_Iodine_and_Health_2014.pdf</vt:lpwstr>
      </vt:variant>
      <vt:variant>
        <vt:lpwstr/>
      </vt:variant>
      <vt:variant>
        <vt:i4>2752625</vt:i4>
      </vt:variant>
      <vt:variant>
        <vt:i4>858</vt:i4>
      </vt:variant>
      <vt:variant>
        <vt:i4>0</vt:i4>
      </vt:variant>
      <vt:variant>
        <vt:i4>5</vt:i4>
      </vt:variant>
      <vt:variant>
        <vt:lpwstr>https://cot.food.gov.uk/Statement on the potential effects that excess iodine intake may have during preconception, pregnancy and lactation</vt:lpwstr>
      </vt:variant>
      <vt:variant>
        <vt:lpwstr/>
      </vt:variant>
      <vt:variant>
        <vt:i4>3473516</vt:i4>
      </vt:variant>
      <vt:variant>
        <vt:i4>855</vt:i4>
      </vt:variant>
      <vt:variant>
        <vt:i4>0</vt:i4>
      </vt:variant>
      <vt:variant>
        <vt:i4>5</vt:i4>
      </vt:variant>
      <vt:variant>
        <vt:lpwstr>https://www.roymorgan.com/findings/vegetarianism-on-the-rise-in-new-zealand</vt:lpwstr>
      </vt:variant>
      <vt:variant>
        <vt:lpwstr/>
      </vt:variant>
      <vt:variant>
        <vt:i4>6881397</vt:i4>
      </vt:variant>
      <vt:variant>
        <vt:i4>852</vt:i4>
      </vt:variant>
      <vt:variant>
        <vt:i4>0</vt:i4>
      </vt:variant>
      <vt:variant>
        <vt:i4>5</vt:i4>
      </vt:variant>
      <vt:variant>
        <vt:lpwstr>https://research-repository.griffith.edu.au/server/api/core/bitstreams/f238a2f5-7201-4af0-8159-09eb991fa604/content</vt:lpwstr>
      </vt:variant>
      <vt:variant>
        <vt:lpwstr/>
      </vt:variant>
      <vt:variant>
        <vt:i4>983125</vt:i4>
      </vt:variant>
      <vt:variant>
        <vt:i4>849</vt:i4>
      </vt:variant>
      <vt:variant>
        <vt:i4>0</vt:i4>
      </vt:variant>
      <vt:variant>
        <vt:i4>5</vt:i4>
      </vt:variant>
      <vt:variant>
        <vt:lpwstr>https://minhealthnz.shinyapps.io/nz-health-survey-2014-15-biomedical/</vt:lpwstr>
      </vt:variant>
      <vt:variant>
        <vt:lpwstr/>
      </vt:variant>
      <vt:variant>
        <vt:i4>7340048</vt:i4>
      </vt:variant>
      <vt:variant>
        <vt:i4>846</vt:i4>
      </vt:variant>
      <vt:variant>
        <vt:i4>0</vt:i4>
      </vt:variant>
      <vt:variant>
        <vt:i4>5</vt:i4>
      </vt:variant>
      <vt:variant>
        <vt:lpwstr>https://www.eatforhealth.gov.au/sites/default/files/files/the_guidelines/n55c_dietary_guidelines_food_modelling.pdf</vt:lpwstr>
      </vt:variant>
      <vt:variant>
        <vt:lpwstr/>
      </vt:variant>
      <vt:variant>
        <vt:i4>8060985</vt:i4>
      </vt:variant>
      <vt:variant>
        <vt:i4>843</vt:i4>
      </vt:variant>
      <vt:variant>
        <vt:i4>0</vt:i4>
      </vt:variant>
      <vt:variant>
        <vt:i4>5</vt:i4>
      </vt:variant>
      <vt:variant>
        <vt:lpwstr>https://www.nhmrc.gov.au/about-us/publications/iodine-supplementation-pregnant-and-breastfeeding-women</vt:lpwstr>
      </vt:variant>
      <vt:variant>
        <vt:lpwstr/>
      </vt:variant>
      <vt:variant>
        <vt:i4>1900548</vt:i4>
      </vt:variant>
      <vt:variant>
        <vt:i4>840</vt:i4>
      </vt:variant>
      <vt:variant>
        <vt:i4>0</vt:i4>
      </vt:variant>
      <vt:variant>
        <vt:i4>5</vt:i4>
      </vt:variant>
      <vt:variant>
        <vt:lpwstr>https://www.nhmrc.gov.au/about-us/publications/nutrient-reference-values-australia-and-new-zealand-including-recommended-dietary-intakes</vt:lpwstr>
      </vt:variant>
      <vt:variant>
        <vt:lpwstr/>
      </vt:variant>
      <vt:variant>
        <vt:i4>7340130</vt:i4>
      </vt:variant>
      <vt:variant>
        <vt:i4>837</vt:i4>
      </vt:variant>
      <vt:variant>
        <vt:i4>0</vt:i4>
      </vt:variant>
      <vt:variant>
        <vt:i4>5</vt:i4>
      </vt:variant>
      <vt:variant>
        <vt:lpwstr>https://www.sbc.org.nz/wp-content/uploads/2022/07/2022-Better-Futures-Report-Version-23-March-FINAL.pdf</vt:lpwstr>
      </vt:variant>
      <vt:variant>
        <vt:lpwstr/>
      </vt:variant>
      <vt:variant>
        <vt:i4>7078008</vt:i4>
      </vt:variant>
      <vt:variant>
        <vt:i4>834</vt:i4>
      </vt:variant>
      <vt:variant>
        <vt:i4>0</vt:i4>
      </vt:variant>
      <vt:variant>
        <vt:i4>5</vt:i4>
      </vt:variant>
      <vt:variant>
        <vt:lpwstr>https://www.foodstandards.gov.au/sites/default/files/publications/Documents/Iodine Fortification Monitoring Report.pdf</vt:lpwstr>
      </vt:variant>
      <vt:variant>
        <vt:lpwstr/>
      </vt:variant>
      <vt:variant>
        <vt:i4>1572879</vt:i4>
      </vt:variant>
      <vt:variant>
        <vt:i4>831</vt:i4>
      </vt:variant>
      <vt:variant>
        <vt:i4>0</vt:i4>
      </vt:variant>
      <vt:variant>
        <vt:i4>5</vt:i4>
      </vt:variant>
      <vt:variant>
        <vt:lpwstr>https://doi.org/10.2903/j.efsa.2023.7798</vt:lpwstr>
      </vt:variant>
      <vt:variant>
        <vt:lpwstr/>
      </vt:variant>
      <vt:variant>
        <vt:i4>6160467</vt:i4>
      </vt:variant>
      <vt:variant>
        <vt:i4>828</vt:i4>
      </vt:variant>
      <vt:variant>
        <vt:i4>0</vt:i4>
      </vt:variant>
      <vt:variant>
        <vt:i4>5</vt:i4>
      </vt:variant>
      <vt:variant>
        <vt:lpwstr>https://www.efsa.europa.eu/sites/default/files/efsa_rep/blobserver_assets/ndatolerable uil.pdf</vt:lpwstr>
      </vt:variant>
      <vt:variant>
        <vt:lpwstr/>
      </vt:variant>
      <vt:variant>
        <vt:i4>1310744</vt:i4>
      </vt:variant>
      <vt:variant>
        <vt:i4>825</vt:i4>
      </vt:variant>
      <vt:variant>
        <vt:i4>0</vt:i4>
      </vt:variant>
      <vt:variant>
        <vt:i4>5</vt:i4>
      </vt:variant>
      <vt:variant>
        <vt:lpwstr>https://pub.norden.org/nord2023-003/nord2023-003.pdf</vt:lpwstr>
      </vt:variant>
      <vt:variant>
        <vt:lpwstr/>
      </vt:variant>
      <vt:variant>
        <vt:i4>2359400</vt:i4>
      </vt:variant>
      <vt:variant>
        <vt:i4>822</vt:i4>
      </vt:variant>
      <vt:variant>
        <vt:i4>0</vt:i4>
      </vt:variant>
      <vt:variant>
        <vt:i4>5</vt:i4>
      </vt:variant>
      <vt:variant>
        <vt:lpwstr>https://www.abs.gov.au/statistics/health/food-and-nutrition/food-and-nutrients/2023</vt:lpwstr>
      </vt:variant>
      <vt:variant>
        <vt:lpwstr>selected-micronutrients-and-caffeine</vt:lpwstr>
      </vt:variant>
      <vt:variant>
        <vt:i4>1245277</vt:i4>
      </vt:variant>
      <vt:variant>
        <vt:i4>819</vt:i4>
      </vt:variant>
      <vt:variant>
        <vt:i4>0</vt:i4>
      </vt:variant>
      <vt:variant>
        <vt:i4>5</vt:i4>
      </vt:variant>
      <vt:variant>
        <vt:lpwstr>https://www.abs.gov.au/statistics/health/health-conditions-and-risks/national-health-measures-survey/latest-release</vt:lpwstr>
      </vt:variant>
      <vt:variant>
        <vt:lpwstr>nutrient-biomarkers</vt:lpwstr>
      </vt:variant>
      <vt:variant>
        <vt:i4>2424942</vt:i4>
      </vt:variant>
      <vt:variant>
        <vt:i4>816</vt:i4>
      </vt:variant>
      <vt:variant>
        <vt:i4>0</vt:i4>
      </vt:variant>
      <vt:variant>
        <vt:i4>5</vt:i4>
      </vt:variant>
      <vt:variant>
        <vt:lpwstr>https://www.abs.gov.au/statistics/health/health-conditions-and-risks/usual-nutrient-intakes/latest-release</vt:lpwstr>
      </vt:variant>
      <vt:variant>
        <vt:lpwstr/>
      </vt:variant>
      <vt:variant>
        <vt:i4>7274602</vt:i4>
      </vt:variant>
      <vt:variant>
        <vt:i4>813</vt:i4>
      </vt:variant>
      <vt:variant>
        <vt:i4>0</vt:i4>
      </vt:variant>
      <vt:variant>
        <vt:i4>5</vt:i4>
      </vt:variant>
      <vt:variant>
        <vt:lpwstr>https://www.abs.gov.au/articles/iodine</vt:lpwstr>
      </vt:variant>
      <vt:variant>
        <vt:lpwstr/>
      </vt:variant>
      <vt:variant>
        <vt:i4>524360</vt:i4>
      </vt:variant>
      <vt:variant>
        <vt:i4>774</vt:i4>
      </vt:variant>
      <vt:variant>
        <vt:i4>0</vt:i4>
      </vt:variant>
      <vt:variant>
        <vt:i4>5</vt:i4>
      </vt:variant>
      <vt:variant>
        <vt:lpwstr>https://www.who.int/publications/i/item/WHO-NMH-NHD-EPG-13.1</vt:lpwstr>
      </vt:variant>
      <vt:variant>
        <vt:lpwstr/>
      </vt:variant>
      <vt:variant>
        <vt:i4>7471160</vt:i4>
      </vt:variant>
      <vt:variant>
        <vt:i4>771</vt:i4>
      </vt:variant>
      <vt:variant>
        <vt:i4>0</vt:i4>
      </vt:variant>
      <vt:variant>
        <vt:i4>5</vt:i4>
      </vt:variant>
      <vt:variant>
        <vt:lpwstr>https://iris.who.int/handle/10665/43781</vt:lpwstr>
      </vt:variant>
      <vt:variant>
        <vt:lpwstr/>
      </vt:variant>
      <vt:variant>
        <vt:i4>3997819</vt:i4>
      </vt:variant>
      <vt:variant>
        <vt:i4>768</vt:i4>
      </vt:variant>
      <vt:variant>
        <vt:i4>0</vt:i4>
      </vt:variant>
      <vt:variant>
        <vt:i4>5</vt:i4>
      </vt:variant>
      <vt:variant>
        <vt:lpwstr>https://www.health.govt.nz/system/files/2011-10/methodology-report.pdf</vt:lpwstr>
      </vt:variant>
      <vt:variant>
        <vt:lpwstr/>
      </vt:variant>
      <vt:variant>
        <vt:i4>7012390</vt:i4>
      </vt:variant>
      <vt:variant>
        <vt:i4>765</vt:i4>
      </vt:variant>
      <vt:variant>
        <vt:i4>0</vt:i4>
      </vt:variant>
      <vt:variant>
        <vt:i4>5</vt:i4>
      </vt:variant>
      <vt:variant>
        <vt:lpwstr>https://assets.publishing.service.gov.uk/media/5a7e469ced915d74e62253f3/SACN_Iodine_and_Health_2014.pdf</vt:lpwstr>
      </vt:variant>
      <vt:variant>
        <vt:lpwstr/>
      </vt:variant>
      <vt:variant>
        <vt:i4>3473516</vt:i4>
      </vt:variant>
      <vt:variant>
        <vt:i4>762</vt:i4>
      </vt:variant>
      <vt:variant>
        <vt:i4>0</vt:i4>
      </vt:variant>
      <vt:variant>
        <vt:i4>5</vt:i4>
      </vt:variant>
      <vt:variant>
        <vt:lpwstr>https://www.roymorgan.com/findings/vegetarianism-on-the-rise-in-new-zealand</vt:lpwstr>
      </vt:variant>
      <vt:variant>
        <vt:lpwstr/>
      </vt:variant>
      <vt:variant>
        <vt:i4>6881397</vt:i4>
      </vt:variant>
      <vt:variant>
        <vt:i4>759</vt:i4>
      </vt:variant>
      <vt:variant>
        <vt:i4>0</vt:i4>
      </vt:variant>
      <vt:variant>
        <vt:i4>5</vt:i4>
      </vt:variant>
      <vt:variant>
        <vt:lpwstr>https://research-repository.griffith.edu.au/server/api/core/bitstreams/f238a2f5-7201-4af0-8159-09eb991fa604/content</vt:lpwstr>
      </vt:variant>
      <vt:variant>
        <vt:lpwstr/>
      </vt:variant>
      <vt:variant>
        <vt:i4>8192029</vt:i4>
      </vt:variant>
      <vt:variant>
        <vt:i4>756</vt:i4>
      </vt:variant>
      <vt:variant>
        <vt:i4>0</vt:i4>
      </vt:variant>
      <vt:variant>
        <vt:i4>5</vt:i4>
      </vt:variant>
      <vt:variant>
        <vt:lpwstr>https://figshare.utas.edu.au/articles/report/Barriers_and_enablers_to_maternal_iodine_supplement_use_in_Tasm</vt:lpwstr>
      </vt:variant>
      <vt:variant>
        <vt:lpwstr/>
      </vt:variant>
      <vt:variant>
        <vt:i4>983125</vt:i4>
      </vt:variant>
      <vt:variant>
        <vt:i4>753</vt:i4>
      </vt:variant>
      <vt:variant>
        <vt:i4>0</vt:i4>
      </vt:variant>
      <vt:variant>
        <vt:i4>5</vt:i4>
      </vt:variant>
      <vt:variant>
        <vt:lpwstr>https://minhealthnz.shinyapps.io/nz-health-survey-2014-15-biomedical/</vt:lpwstr>
      </vt:variant>
      <vt:variant>
        <vt:lpwstr/>
      </vt:variant>
      <vt:variant>
        <vt:i4>7340048</vt:i4>
      </vt:variant>
      <vt:variant>
        <vt:i4>750</vt:i4>
      </vt:variant>
      <vt:variant>
        <vt:i4>0</vt:i4>
      </vt:variant>
      <vt:variant>
        <vt:i4>5</vt:i4>
      </vt:variant>
      <vt:variant>
        <vt:lpwstr>https://www.eatforhealth.gov.au/sites/default/files/files/the_guidelines/n55c_dietary_guidelines_food_modelling.pdf</vt:lpwstr>
      </vt:variant>
      <vt:variant>
        <vt:lpwstr/>
      </vt:variant>
      <vt:variant>
        <vt:i4>8060985</vt:i4>
      </vt:variant>
      <vt:variant>
        <vt:i4>747</vt:i4>
      </vt:variant>
      <vt:variant>
        <vt:i4>0</vt:i4>
      </vt:variant>
      <vt:variant>
        <vt:i4>5</vt:i4>
      </vt:variant>
      <vt:variant>
        <vt:lpwstr>https://www.nhmrc.gov.au/about-us/publications/iodine-supplementation-pregnant-and-breastfeeding-women</vt:lpwstr>
      </vt:variant>
      <vt:variant>
        <vt:lpwstr/>
      </vt:variant>
      <vt:variant>
        <vt:i4>5505111</vt:i4>
      </vt:variant>
      <vt:variant>
        <vt:i4>744</vt:i4>
      </vt:variant>
      <vt:variant>
        <vt:i4>0</vt:i4>
      </vt:variant>
      <vt:variant>
        <vt:i4>5</vt:i4>
      </vt:variant>
      <vt:variant>
        <vt:lpwstr>https://doi.org/10.1111/ajo.12201</vt:lpwstr>
      </vt:variant>
      <vt:variant>
        <vt:lpwstr/>
      </vt:variant>
      <vt:variant>
        <vt:i4>7340130</vt:i4>
      </vt:variant>
      <vt:variant>
        <vt:i4>741</vt:i4>
      </vt:variant>
      <vt:variant>
        <vt:i4>0</vt:i4>
      </vt:variant>
      <vt:variant>
        <vt:i4>5</vt:i4>
      </vt:variant>
      <vt:variant>
        <vt:lpwstr>https://www.sbc.org.nz/wp-content/uploads/2022/07/2022-Better-Futures-Report-Version-23-March-FINAL.pdf</vt:lpwstr>
      </vt:variant>
      <vt:variant>
        <vt:lpwstr/>
      </vt:variant>
      <vt:variant>
        <vt:i4>3473522</vt:i4>
      </vt:variant>
      <vt:variant>
        <vt:i4>738</vt:i4>
      </vt:variant>
      <vt:variant>
        <vt:i4>0</vt:i4>
      </vt:variant>
      <vt:variant>
        <vt:i4>5</vt:i4>
      </vt:variant>
      <vt:variant>
        <vt:lpwstr>https://doi.org/10.1111/1747-0080.12132</vt:lpwstr>
      </vt:variant>
      <vt:variant>
        <vt:lpwstr/>
      </vt:variant>
      <vt:variant>
        <vt:i4>1310744</vt:i4>
      </vt:variant>
      <vt:variant>
        <vt:i4>735</vt:i4>
      </vt:variant>
      <vt:variant>
        <vt:i4>0</vt:i4>
      </vt:variant>
      <vt:variant>
        <vt:i4>5</vt:i4>
      </vt:variant>
      <vt:variant>
        <vt:lpwstr>https://pub.norden.org/nord2023-003/nord2023-003.pdf</vt:lpwstr>
      </vt:variant>
      <vt:variant>
        <vt:lpwstr/>
      </vt:variant>
      <vt:variant>
        <vt:i4>2359400</vt:i4>
      </vt:variant>
      <vt:variant>
        <vt:i4>732</vt:i4>
      </vt:variant>
      <vt:variant>
        <vt:i4>0</vt:i4>
      </vt:variant>
      <vt:variant>
        <vt:i4>5</vt:i4>
      </vt:variant>
      <vt:variant>
        <vt:lpwstr>https://www.abs.gov.au/statistics/health/food-and-nutrition/food-and-nutrients/2023</vt:lpwstr>
      </vt:variant>
      <vt:variant>
        <vt:lpwstr>selected-micronutrients-and-caffeine</vt:lpwstr>
      </vt:variant>
      <vt:variant>
        <vt:i4>7471206</vt:i4>
      </vt:variant>
      <vt:variant>
        <vt:i4>729</vt:i4>
      </vt:variant>
      <vt:variant>
        <vt:i4>0</vt:i4>
      </vt:variant>
      <vt:variant>
        <vt:i4>5</vt:i4>
      </vt:variant>
      <vt:variant>
        <vt:lpwstr>https://www.abs.gov.au/statistics/health/health-conditions-and-risks/apparent-consumption-selected-foodstuffs-australia/2023-24</vt:lpwstr>
      </vt:variant>
      <vt:variant>
        <vt:lpwstr/>
      </vt:variant>
      <vt:variant>
        <vt:i4>1245277</vt:i4>
      </vt:variant>
      <vt:variant>
        <vt:i4>726</vt:i4>
      </vt:variant>
      <vt:variant>
        <vt:i4>0</vt:i4>
      </vt:variant>
      <vt:variant>
        <vt:i4>5</vt:i4>
      </vt:variant>
      <vt:variant>
        <vt:lpwstr>https://www.abs.gov.au/statistics/health/health-conditions-and-risks/national-health-measures-survey/latest-release</vt:lpwstr>
      </vt:variant>
      <vt:variant>
        <vt:lpwstr>nutrient-biomarkers</vt:lpwstr>
      </vt:variant>
      <vt:variant>
        <vt:i4>2424942</vt:i4>
      </vt:variant>
      <vt:variant>
        <vt:i4>723</vt:i4>
      </vt:variant>
      <vt:variant>
        <vt:i4>0</vt:i4>
      </vt:variant>
      <vt:variant>
        <vt:i4>5</vt:i4>
      </vt:variant>
      <vt:variant>
        <vt:lpwstr>https://www.abs.gov.au/statistics/health/health-conditions-and-risks/usual-nutrient-intakes/latest-release</vt:lpwstr>
      </vt:variant>
      <vt:variant>
        <vt:lpwstr/>
      </vt:variant>
      <vt:variant>
        <vt:i4>7274602</vt:i4>
      </vt:variant>
      <vt:variant>
        <vt:i4>720</vt:i4>
      </vt:variant>
      <vt:variant>
        <vt:i4>0</vt:i4>
      </vt:variant>
      <vt:variant>
        <vt:i4>5</vt:i4>
      </vt:variant>
      <vt:variant>
        <vt:lpwstr>https://www.abs.gov.au/articles/iodine</vt:lpwstr>
      </vt:variant>
      <vt:variant>
        <vt:lpwstr/>
      </vt:variant>
      <vt:variant>
        <vt:i4>5439598</vt:i4>
      </vt:variant>
      <vt:variant>
        <vt:i4>696</vt:i4>
      </vt:variant>
      <vt:variant>
        <vt:i4>0</vt:i4>
      </vt:variant>
      <vt:variant>
        <vt:i4>5</vt:i4>
      </vt:variant>
      <vt:variant>
        <vt:lpwstr>https://iris.who.int/bitstream/handle/10665/133706/WHO_NMH_NHD_EPG_14.5_eng.pdf</vt:lpwstr>
      </vt:variant>
      <vt:variant>
        <vt:lpwstr/>
      </vt:variant>
      <vt:variant>
        <vt:i4>524360</vt:i4>
      </vt:variant>
      <vt:variant>
        <vt:i4>693</vt:i4>
      </vt:variant>
      <vt:variant>
        <vt:i4>0</vt:i4>
      </vt:variant>
      <vt:variant>
        <vt:i4>5</vt:i4>
      </vt:variant>
      <vt:variant>
        <vt:lpwstr>https://www.who.int/publications/i/item/WHO-NMH-NHD-EPG-13.1</vt:lpwstr>
      </vt:variant>
      <vt:variant>
        <vt:lpwstr/>
      </vt:variant>
      <vt:variant>
        <vt:i4>7471160</vt:i4>
      </vt:variant>
      <vt:variant>
        <vt:i4>690</vt:i4>
      </vt:variant>
      <vt:variant>
        <vt:i4>0</vt:i4>
      </vt:variant>
      <vt:variant>
        <vt:i4>5</vt:i4>
      </vt:variant>
      <vt:variant>
        <vt:lpwstr>https://iris.who.int/handle/10665/43781</vt:lpwstr>
      </vt:variant>
      <vt:variant>
        <vt:lpwstr/>
      </vt:variant>
      <vt:variant>
        <vt:i4>1048606</vt:i4>
      </vt:variant>
      <vt:variant>
        <vt:i4>687</vt:i4>
      </vt:variant>
      <vt:variant>
        <vt:i4>0</vt:i4>
      </vt:variant>
      <vt:variant>
        <vt:i4>5</vt:i4>
      </vt:variant>
      <vt:variant>
        <vt:lpwstr>https://www.wcrf.org/wp-content/uploads/2024/11/judging-the-evidence.pdf</vt:lpwstr>
      </vt:variant>
      <vt:variant>
        <vt:lpwstr/>
      </vt:variant>
      <vt:variant>
        <vt:i4>7274609</vt:i4>
      </vt:variant>
      <vt:variant>
        <vt:i4>684</vt:i4>
      </vt:variant>
      <vt:variant>
        <vt:i4>0</vt:i4>
      </vt:variant>
      <vt:variant>
        <vt:i4>5</vt:i4>
      </vt:variant>
      <vt:variant>
        <vt:lpwstr>https://doi.org/10.1530/EJE-19-0212</vt:lpwstr>
      </vt:variant>
      <vt:variant>
        <vt:lpwstr/>
      </vt:variant>
      <vt:variant>
        <vt:i4>7471166</vt:i4>
      </vt:variant>
      <vt:variant>
        <vt:i4>681</vt:i4>
      </vt:variant>
      <vt:variant>
        <vt:i4>0</vt:i4>
      </vt:variant>
      <vt:variant>
        <vt:i4>5</vt:i4>
      </vt:variant>
      <vt:variant>
        <vt:lpwstr>https://doi.org/10.1016/B0-12-227055-X/00602-7</vt:lpwstr>
      </vt:variant>
      <vt:variant>
        <vt:lpwstr/>
      </vt:variant>
      <vt:variant>
        <vt:i4>262151</vt:i4>
      </vt:variant>
      <vt:variant>
        <vt:i4>678</vt:i4>
      </vt:variant>
      <vt:variant>
        <vt:i4>0</vt:i4>
      </vt:variant>
      <vt:variant>
        <vt:i4>5</vt:i4>
      </vt:variant>
      <vt:variant>
        <vt:lpwstr>https://cot.food.gov.uk/Statement on the potential effects that excess iodine intake may have during preconception%2C pregnancy and lactation</vt:lpwstr>
      </vt:variant>
      <vt:variant>
        <vt:lpwstr>introduction</vt:lpwstr>
      </vt:variant>
      <vt:variant>
        <vt:i4>7012390</vt:i4>
      </vt:variant>
      <vt:variant>
        <vt:i4>675</vt:i4>
      </vt:variant>
      <vt:variant>
        <vt:i4>0</vt:i4>
      </vt:variant>
      <vt:variant>
        <vt:i4>5</vt:i4>
      </vt:variant>
      <vt:variant>
        <vt:lpwstr>https://assets.publishing.service.gov.uk/media/5a7e469ced915d74e62253f3/SACN_Iodine_and_Health_2014.pdf</vt:lpwstr>
      </vt:variant>
      <vt:variant>
        <vt:lpwstr/>
      </vt:variant>
      <vt:variant>
        <vt:i4>6881400</vt:i4>
      </vt:variant>
      <vt:variant>
        <vt:i4>672</vt:i4>
      </vt:variant>
      <vt:variant>
        <vt:i4>0</vt:i4>
      </vt:variant>
      <vt:variant>
        <vt:i4>5</vt:i4>
      </vt:variant>
      <vt:variant>
        <vt:lpwstr>https://teaho.govt.nz/cancer/types/thyroid</vt:lpwstr>
      </vt:variant>
      <vt:variant>
        <vt:lpwstr/>
      </vt:variant>
      <vt:variant>
        <vt:i4>8192039</vt:i4>
      </vt:variant>
      <vt:variant>
        <vt:i4>669</vt:i4>
      </vt:variant>
      <vt:variant>
        <vt:i4>0</vt:i4>
      </vt:variant>
      <vt:variant>
        <vt:i4>5</vt:i4>
      </vt:variant>
      <vt:variant>
        <vt:lpwstr>https://doi.org/10.1210/jendso/bvaa002</vt:lpwstr>
      </vt:variant>
      <vt:variant>
        <vt:lpwstr/>
      </vt:variant>
      <vt:variant>
        <vt:i4>6029339</vt:i4>
      </vt:variant>
      <vt:variant>
        <vt:i4>666</vt:i4>
      </vt:variant>
      <vt:variant>
        <vt:i4>0</vt:i4>
      </vt:variant>
      <vt:variant>
        <vt:i4>5</vt:i4>
      </vt:variant>
      <vt:variant>
        <vt:lpwstr>https://doi.org/10.1210/jc.2007-1715</vt:lpwstr>
      </vt:variant>
      <vt:variant>
        <vt:lpwstr/>
      </vt:variant>
      <vt:variant>
        <vt:i4>2818168</vt:i4>
      </vt:variant>
      <vt:variant>
        <vt:i4>663</vt:i4>
      </vt:variant>
      <vt:variant>
        <vt:i4>0</vt:i4>
      </vt:variant>
      <vt:variant>
        <vt:i4>5</vt:i4>
      </vt:variant>
      <vt:variant>
        <vt:lpwstr>https://doi.org/10.1016/j.scitotenv.2024.177160</vt:lpwstr>
      </vt:variant>
      <vt:variant>
        <vt:lpwstr/>
      </vt:variant>
      <vt:variant>
        <vt:i4>5832785</vt:i4>
      </vt:variant>
      <vt:variant>
        <vt:i4>660</vt:i4>
      </vt:variant>
      <vt:variant>
        <vt:i4>0</vt:i4>
      </vt:variant>
      <vt:variant>
        <vt:i4>5</vt:i4>
      </vt:variant>
      <vt:variant>
        <vt:lpwstr>https://doi.org/10.1111/cen.12724</vt:lpwstr>
      </vt:variant>
      <vt:variant>
        <vt:lpwstr/>
      </vt:variant>
      <vt:variant>
        <vt:i4>8192029</vt:i4>
      </vt:variant>
      <vt:variant>
        <vt:i4>657</vt:i4>
      </vt:variant>
      <vt:variant>
        <vt:i4>0</vt:i4>
      </vt:variant>
      <vt:variant>
        <vt:i4>5</vt:i4>
      </vt:variant>
      <vt:variant>
        <vt:lpwstr>https://figshare.utas.edu.au/articles/report/Barriers_and_enablers_to_maternal_iodine_supplement_use_in_Tasm</vt:lpwstr>
      </vt:variant>
      <vt:variant>
        <vt:lpwstr/>
      </vt:variant>
      <vt:variant>
        <vt:i4>2424951</vt:i4>
      </vt:variant>
      <vt:variant>
        <vt:i4>654</vt:i4>
      </vt:variant>
      <vt:variant>
        <vt:i4>0</vt:i4>
      </vt:variant>
      <vt:variant>
        <vt:i4>5</vt:i4>
      </vt:variant>
      <vt:variant>
        <vt:lpwstr>https://www.mpi.govt.nz/dmsdocument/4596-Update-report-on-the-dietary-iodine-intake-of-New-Zealand-children-following-fortification-of-bread-with-iodine-Ministry-for-Primary-Industries-July-2014</vt:lpwstr>
      </vt:variant>
      <vt:variant>
        <vt:lpwstr/>
      </vt:variant>
      <vt:variant>
        <vt:i4>983125</vt:i4>
      </vt:variant>
      <vt:variant>
        <vt:i4>651</vt:i4>
      </vt:variant>
      <vt:variant>
        <vt:i4>0</vt:i4>
      </vt:variant>
      <vt:variant>
        <vt:i4>5</vt:i4>
      </vt:variant>
      <vt:variant>
        <vt:lpwstr>https://minhealthnz.shinyapps.io/nz-health-survey-2014-15-biomedical/</vt:lpwstr>
      </vt:variant>
      <vt:variant>
        <vt:lpwstr/>
      </vt:variant>
      <vt:variant>
        <vt:i4>7340048</vt:i4>
      </vt:variant>
      <vt:variant>
        <vt:i4>648</vt:i4>
      </vt:variant>
      <vt:variant>
        <vt:i4>0</vt:i4>
      </vt:variant>
      <vt:variant>
        <vt:i4>5</vt:i4>
      </vt:variant>
      <vt:variant>
        <vt:lpwstr>https://www.eatforhealth.gov.au/sites/default/files/files/the_guidelines/n55c_dietary_guidelines_food_modelling.pdf</vt:lpwstr>
      </vt:variant>
      <vt:variant>
        <vt:lpwstr/>
      </vt:variant>
      <vt:variant>
        <vt:i4>8060985</vt:i4>
      </vt:variant>
      <vt:variant>
        <vt:i4>645</vt:i4>
      </vt:variant>
      <vt:variant>
        <vt:i4>0</vt:i4>
      </vt:variant>
      <vt:variant>
        <vt:i4>5</vt:i4>
      </vt:variant>
      <vt:variant>
        <vt:lpwstr>https://www.nhmrc.gov.au/about-us/publications/iodine-supplementation-pregnant-and-breastfeeding-women</vt:lpwstr>
      </vt:variant>
      <vt:variant>
        <vt:lpwstr/>
      </vt:variant>
      <vt:variant>
        <vt:i4>1900548</vt:i4>
      </vt:variant>
      <vt:variant>
        <vt:i4>642</vt:i4>
      </vt:variant>
      <vt:variant>
        <vt:i4>0</vt:i4>
      </vt:variant>
      <vt:variant>
        <vt:i4>5</vt:i4>
      </vt:variant>
      <vt:variant>
        <vt:lpwstr>https://www.nhmrc.gov.au/about-us/publications/nutrient-reference-values-australia-and-new-zealand-including-recommended-dietary-intakes</vt:lpwstr>
      </vt:variant>
      <vt:variant>
        <vt:lpwstr/>
      </vt:variant>
      <vt:variant>
        <vt:i4>5505111</vt:i4>
      </vt:variant>
      <vt:variant>
        <vt:i4>639</vt:i4>
      </vt:variant>
      <vt:variant>
        <vt:i4>0</vt:i4>
      </vt:variant>
      <vt:variant>
        <vt:i4>5</vt:i4>
      </vt:variant>
      <vt:variant>
        <vt:lpwstr>https://doi.org/10.1111/ajo.12201</vt:lpwstr>
      </vt:variant>
      <vt:variant>
        <vt:lpwstr/>
      </vt:variant>
      <vt:variant>
        <vt:i4>5701719</vt:i4>
      </vt:variant>
      <vt:variant>
        <vt:i4>636</vt:i4>
      </vt:variant>
      <vt:variant>
        <vt:i4>0</vt:i4>
      </vt:variant>
      <vt:variant>
        <vt:i4>5</vt:i4>
      </vt:variant>
      <vt:variant>
        <vt:lpwstr>https://doi.org/10.1111/ajo.12239</vt:lpwstr>
      </vt:variant>
      <vt:variant>
        <vt:lpwstr/>
      </vt:variant>
      <vt:variant>
        <vt:i4>6029401</vt:i4>
      </vt:variant>
      <vt:variant>
        <vt:i4>633</vt:i4>
      </vt:variant>
      <vt:variant>
        <vt:i4>0</vt:i4>
      </vt:variant>
      <vt:variant>
        <vt:i4>5</vt:i4>
      </vt:variant>
      <vt:variant>
        <vt:lpwstr>https://doi.org/10.1002/ijc.33889</vt:lpwstr>
      </vt:variant>
      <vt:variant>
        <vt:lpwstr/>
      </vt:variant>
      <vt:variant>
        <vt:i4>1835100</vt:i4>
      </vt:variant>
      <vt:variant>
        <vt:i4>630</vt:i4>
      </vt:variant>
      <vt:variant>
        <vt:i4>0</vt:i4>
      </vt:variant>
      <vt:variant>
        <vt:i4>5</vt:i4>
      </vt:variant>
      <vt:variant>
        <vt:lpwstr>https://gco.iarc.who.int/media/globocan/factsheets/populations/554-new-zealand-fact-sheet.pdf</vt:lpwstr>
      </vt:variant>
      <vt:variant>
        <vt:lpwstr/>
      </vt:variant>
      <vt:variant>
        <vt:i4>5505054</vt:i4>
      </vt:variant>
      <vt:variant>
        <vt:i4>627</vt:i4>
      </vt:variant>
      <vt:variant>
        <vt:i4>0</vt:i4>
      </vt:variant>
      <vt:variant>
        <vt:i4>5</vt:i4>
      </vt:variant>
      <vt:variant>
        <vt:lpwstr>https://doi.org/10.1210/jc.2012-4249</vt:lpwstr>
      </vt:variant>
      <vt:variant>
        <vt:lpwstr/>
      </vt:variant>
      <vt:variant>
        <vt:i4>6160471</vt:i4>
      </vt:variant>
      <vt:variant>
        <vt:i4>624</vt:i4>
      </vt:variant>
      <vt:variant>
        <vt:i4>0</vt:i4>
      </vt:variant>
      <vt:variant>
        <vt:i4>5</vt:i4>
      </vt:variant>
      <vt:variant>
        <vt:lpwstr>https://doi.org/10.1111/cen.13143</vt:lpwstr>
      </vt:variant>
      <vt:variant>
        <vt:lpwstr/>
      </vt:variant>
      <vt:variant>
        <vt:i4>7078008</vt:i4>
      </vt:variant>
      <vt:variant>
        <vt:i4>621</vt:i4>
      </vt:variant>
      <vt:variant>
        <vt:i4>0</vt:i4>
      </vt:variant>
      <vt:variant>
        <vt:i4>5</vt:i4>
      </vt:variant>
      <vt:variant>
        <vt:lpwstr>https://www.foodstandards.gov.au/sites/default/files/publications/Documents/Iodine Fortification Monitoring Report.pdf</vt:lpwstr>
      </vt:variant>
      <vt:variant>
        <vt:lpwstr/>
      </vt:variant>
      <vt:variant>
        <vt:i4>3014696</vt:i4>
      </vt:variant>
      <vt:variant>
        <vt:i4>618</vt:i4>
      </vt:variant>
      <vt:variant>
        <vt:i4>0</vt:i4>
      </vt:variant>
      <vt:variant>
        <vt:i4>5</vt:i4>
      </vt:variant>
      <vt:variant>
        <vt:lpwstr>https://www.foodstandards.gov.au/sites/default/files/2023-11/24th-ATDS.pdf</vt:lpwstr>
      </vt:variant>
      <vt:variant>
        <vt:lpwstr/>
      </vt:variant>
      <vt:variant>
        <vt:i4>5374019</vt:i4>
      </vt:variant>
      <vt:variant>
        <vt:i4>615</vt:i4>
      </vt:variant>
      <vt:variant>
        <vt:i4>0</vt:i4>
      </vt:variant>
      <vt:variant>
        <vt:i4>5</vt:i4>
      </vt:variant>
      <vt:variant>
        <vt:lpwstr>https://mro.massey.ac.nz/server/api/core/bitstreams/ce22b13b-af95-43c4-837e-a36fbb6b4cdd/content</vt:lpwstr>
      </vt:variant>
      <vt:variant>
        <vt:lpwstr/>
      </vt:variant>
      <vt:variant>
        <vt:i4>1572879</vt:i4>
      </vt:variant>
      <vt:variant>
        <vt:i4>612</vt:i4>
      </vt:variant>
      <vt:variant>
        <vt:i4>0</vt:i4>
      </vt:variant>
      <vt:variant>
        <vt:i4>5</vt:i4>
      </vt:variant>
      <vt:variant>
        <vt:lpwstr>https://doi.org/10.2903/j.efsa.2023.7798</vt:lpwstr>
      </vt:variant>
      <vt:variant>
        <vt:lpwstr/>
      </vt:variant>
      <vt:variant>
        <vt:i4>6160467</vt:i4>
      </vt:variant>
      <vt:variant>
        <vt:i4>609</vt:i4>
      </vt:variant>
      <vt:variant>
        <vt:i4>0</vt:i4>
      </vt:variant>
      <vt:variant>
        <vt:i4>5</vt:i4>
      </vt:variant>
      <vt:variant>
        <vt:lpwstr>https://www.efsa.europa.eu/sites/default/files/efsa_rep/blobserver_assets/ndatolerable uil.pdf</vt:lpwstr>
      </vt:variant>
      <vt:variant>
        <vt:lpwstr/>
      </vt:variant>
      <vt:variant>
        <vt:i4>5505040</vt:i4>
      </vt:variant>
      <vt:variant>
        <vt:i4>606</vt:i4>
      </vt:variant>
      <vt:variant>
        <vt:i4>0</vt:i4>
      </vt:variant>
      <vt:variant>
        <vt:i4>5</vt:i4>
      </vt:variant>
      <vt:variant>
        <vt:lpwstr>https://doi.org/10.1111/j.1445-5994.2007.01367.x</vt:lpwstr>
      </vt:variant>
      <vt:variant>
        <vt:lpwstr/>
      </vt:variant>
      <vt:variant>
        <vt:i4>3473522</vt:i4>
      </vt:variant>
      <vt:variant>
        <vt:i4>603</vt:i4>
      </vt:variant>
      <vt:variant>
        <vt:i4>0</vt:i4>
      </vt:variant>
      <vt:variant>
        <vt:i4>5</vt:i4>
      </vt:variant>
      <vt:variant>
        <vt:lpwstr>https://doi.org/10.1111/1747-0080.12132</vt:lpwstr>
      </vt:variant>
      <vt:variant>
        <vt:lpwstr/>
      </vt:variant>
      <vt:variant>
        <vt:i4>1441884</vt:i4>
      </vt:variant>
      <vt:variant>
        <vt:i4>600</vt:i4>
      </vt:variant>
      <vt:variant>
        <vt:i4>0</vt:i4>
      </vt:variant>
      <vt:variant>
        <vt:i4>5</vt:i4>
      </vt:variant>
      <vt:variant>
        <vt:lpwstr>https://www.ncbi.nlm.nih.gov/books/NBK285556/</vt:lpwstr>
      </vt:variant>
      <vt:variant>
        <vt:lpwstr/>
      </vt:variant>
      <vt:variant>
        <vt:i4>1310744</vt:i4>
      </vt:variant>
      <vt:variant>
        <vt:i4>597</vt:i4>
      </vt:variant>
      <vt:variant>
        <vt:i4>0</vt:i4>
      </vt:variant>
      <vt:variant>
        <vt:i4>5</vt:i4>
      </vt:variant>
      <vt:variant>
        <vt:lpwstr>https://pub.norden.org/nord2023-003/nord2023-003.pdf</vt:lpwstr>
      </vt:variant>
      <vt:variant>
        <vt:lpwstr/>
      </vt:variant>
      <vt:variant>
        <vt:i4>1638498</vt:i4>
      </vt:variant>
      <vt:variant>
        <vt:i4>594</vt:i4>
      </vt:variant>
      <vt:variant>
        <vt:i4>0</vt:i4>
      </vt:variant>
      <vt:variant>
        <vt:i4>5</vt:i4>
      </vt:variant>
      <vt:variant>
        <vt:lpwstr>https://aus01.safelinks.protection.outlook.com/?url=http%3A%2F%2Fdx.doi.org%2F10.1007%2F978-0-387-92271-3_135&amp;data=05%7C02%7Cnrv%40nhmrc.gov.au%7C680388793e31488b858d08ddd4927c51%7C402fca06dc9c412f9bf91a335a4671f7%7C0%7C0%7C638900448046607542%7CUnknown%7CTWFpbGZsb3d8eyJFbXB0eU1hcGkiOnRydWUsIlYiOiIwLjAuMDAwMCIsIlAiOiJXaW4zMiIsIkFOIjoiTWFpbCIsIldUIjoyfQ%3D%3D%7C0%7C%7C%7C&amp;sdata=cgl1cj6X4%2BTzqBpHID%2FUyODoOjluFXtN%2BxdYn%2FzUou8%3D&amp;reserved=0</vt:lpwstr>
      </vt:variant>
      <vt:variant>
        <vt:lpwstr/>
      </vt:variant>
      <vt:variant>
        <vt:i4>2097208</vt:i4>
      </vt:variant>
      <vt:variant>
        <vt:i4>591</vt:i4>
      </vt:variant>
      <vt:variant>
        <vt:i4>0</vt:i4>
      </vt:variant>
      <vt:variant>
        <vt:i4>5</vt:i4>
      </vt:variant>
      <vt:variant>
        <vt:lpwstr>https://www.aihw.gov.au/reports/cancer/cancer-data-in-australia</vt:lpwstr>
      </vt:variant>
      <vt:variant>
        <vt:lpwstr/>
      </vt:variant>
      <vt:variant>
        <vt:i4>2359400</vt:i4>
      </vt:variant>
      <vt:variant>
        <vt:i4>588</vt:i4>
      </vt:variant>
      <vt:variant>
        <vt:i4>0</vt:i4>
      </vt:variant>
      <vt:variant>
        <vt:i4>5</vt:i4>
      </vt:variant>
      <vt:variant>
        <vt:lpwstr>https://www.abs.gov.au/statistics/health/food-and-nutrition/food-and-nutrients/2023</vt:lpwstr>
      </vt:variant>
      <vt:variant>
        <vt:lpwstr>selected-micronutrients-and-caffeine</vt:lpwstr>
      </vt:variant>
      <vt:variant>
        <vt:i4>7471206</vt:i4>
      </vt:variant>
      <vt:variant>
        <vt:i4>585</vt:i4>
      </vt:variant>
      <vt:variant>
        <vt:i4>0</vt:i4>
      </vt:variant>
      <vt:variant>
        <vt:i4>5</vt:i4>
      </vt:variant>
      <vt:variant>
        <vt:lpwstr>https://www.abs.gov.au/statistics/health/health-conditions-and-risks/apparent-consumption-selected-foodstuffs-australia/2023-24</vt:lpwstr>
      </vt:variant>
      <vt:variant>
        <vt:lpwstr/>
      </vt:variant>
      <vt:variant>
        <vt:i4>1245277</vt:i4>
      </vt:variant>
      <vt:variant>
        <vt:i4>582</vt:i4>
      </vt:variant>
      <vt:variant>
        <vt:i4>0</vt:i4>
      </vt:variant>
      <vt:variant>
        <vt:i4>5</vt:i4>
      </vt:variant>
      <vt:variant>
        <vt:lpwstr>https://www.abs.gov.au/statistics/health/health-conditions-and-risks/national-health-measures-survey/latest-release</vt:lpwstr>
      </vt:variant>
      <vt:variant>
        <vt:lpwstr>nutrient-biomarkers</vt:lpwstr>
      </vt:variant>
      <vt:variant>
        <vt:i4>2424942</vt:i4>
      </vt:variant>
      <vt:variant>
        <vt:i4>579</vt:i4>
      </vt:variant>
      <vt:variant>
        <vt:i4>0</vt:i4>
      </vt:variant>
      <vt:variant>
        <vt:i4>5</vt:i4>
      </vt:variant>
      <vt:variant>
        <vt:lpwstr>https://www.abs.gov.au/statistics/health/health-conditions-and-risks/usual-nutrient-intakes/latest-release</vt:lpwstr>
      </vt:variant>
      <vt:variant>
        <vt:lpwstr/>
      </vt:variant>
      <vt:variant>
        <vt:i4>7274602</vt:i4>
      </vt:variant>
      <vt:variant>
        <vt:i4>576</vt:i4>
      </vt:variant>
      <vt:variant>
        <vt:i4>0</vt:i4>
      </vt:variant>
      <vt:variant>
        <vt:i4>5</vt:i4>
      </vt:variant>
      <vt:variant>
        <vt:lpwstr>https://www.abs.gov.au/articles/iodine</vt:lpwstr>
      </vt:variant>
      <vt:variant>
        <vt:lpwstr/>
      </vt:variant>
      <vt:variant>
        <vt:i4>7274538</vt:i4>
      </vt:variant>
      <vt:variant>
        <vt:i4>573</vt:i4>
      </vt:variant>
      <vt:variant>
        <vt:i4>0</vt:i4>
      </vt:variant>
      <vt:variant>
        <vt:i4>5</vt:i4>
      </vt:variant>
      <vt:variant>
        <vt:lpwstr>https://nzmj.org.nz/media/pages/journal/vol-133-no-1526/6359949b3e-1696471070/vol-133-no-1526.pdf</vt:lpwstr>
      </vt:variant>
      <vt:variant>
        <vt:lpwstr>page=12</vt:lpwstr>
      </vt:variant>
      <vt:variant>
        <vt:i4>1441855</vt:i4>
      </vt:variant>
      <vt:variant>
        <vt:i4>488</vt:i4>
      </vt:variant>
      <vt:variant>
        <vt:i4>0</vt:i4>
      </vt:variant>
      <vt:variant>
        <vt:i4>5</vt:i4>
      </vt:variant>
      <vt:variant>
        <vt:lpwstr/>
      </vt:variant>
      <vt:variant>
        <vt:lpwstr>_Toc212567928</vt:lpwstr>
      </vt:variant>
      <vt:variant>
        <vt:i4>1441855</vt:i4>
      </vt:variant>
      <vt:variant>
        <vt:i4>482</vt:i4>
      </vt:variant>
      <vt:variant>
        <vt:i4>0</vt:i4>
      </vt:variant>
      <vt:variant>
        <vt:i4>5</vt:i4>
      </vt:variant>
      <vt:variant>
        <vt:lpwstr/>
      </vt:variant>
      <vt:variant>
        <vt:lpwstr>_Toc212567927</vt:lpwstr>
      </vt:variant>
      <vt:variant>
        <vt:i4>1441855</vt:i4>
      </vt:variant>
      <vt:variant>
        <vt:i4>476</vt:i4>
      </vt:variant>
      <vt:variant>
        <vt:i4>0</vt:i4>
      </vt:variant>
      <vt:variant>
        <vt:i4>5</vt:i4>
      </vt:variant>
      <vt:variant>
        <vt:lpwstr/>
      </vt:variant>
      <vt:variant>
        <vt:lpwstr>_Toc212567926</vt:lpwstr>
      </vt:variant>
      <vt:variant>
        <vt:i4>1441855</vt:i4>
      </vt:variant>
      <vt:variant>
        <vt:i4>470</vt:i4>
      </vt:variant>
      <vt:variant>
        <vt:i4>0</vt:i4>
      </vt:variant>
      <vt:variant>
        <vt:i4>5</vt:i4>
      </vt:variant>
      <vt:variant>
        <vt:lpwstr/>
      </vt:variant>
      <vt:variant>
        <vt:lpwstr>_Toc212567925</vt:lpwstr>
      </vt:variant>
      <vt:variant>
        <vt:i4>1441855</vt:i4>
      </vt:variant>
      <vt:variant>
        <vt:i4>464</vt:i4>
      </vt:variant>
      <vt:variant>
        <vt:i4>0</vt:i4>
      </vt:variant>
      <vt:variant>
        <vt:i4>5</vt:i4>
      </vt:variant>
      <vt:variant>
        <vt:lpwstr/>
      </vt:variant>
      <vt:variant>
        <vt:lpwstr>_Toc212567924</vt:lpwstr>
      </vt:variant>
      <vt:variant>
        <vt:i4>1441855</vt:i4>
      </vt:variant>
      <vt:variant>
        <vt:i4>458</vt:i4>
      </vt:variant>
      <vt:variant>
        <vt:i4>0</vt:i4>
      </vt:variant>
      <vt:variant>
        <vt:i4>5</vt:i4>
      </vt:variant>
      <vt:variant>
        <vt:lpwstr/>
      </vt:variant>
      <vt:variant>
        <vt:lpwstr>_Toc212567923</vt:lpwstr>
      </vt:variant>
      <vt:variant>
        <vt:i4>1441855</vt:i4>
      </vt:variant>
      <vt:variant>
        <vt:i4>452</vt:i4>
      </vt:variant>
      <vt:variant>
        <vt:i4>0</vt:i4>
      </vt:variant>
      <vt:variant>
        <vt:i4>5</vt:i4>
      </vt:variant>
      <vt:variant>
        <vt:lpwstr/>
      </vt:variant>
      <vt:variant>
        <vt:lpwstr>_Toc212567922</vt:lpwstr>
      </vt:variant>
      <vt:variant>
        <vt:i4>1441855</vt:i4>
      </vt:variant>
      <vt:variant>
        <vt:i4>446</vt:i4>
      </vt:variant>
      <vt:variant>
        <vt:i4>0</vt:i4>
      </vt:variant>
      <vt:variant>
        <vt:i4>5</vt:i4>
      </vt:variant>
      <vt:variant>
        <vt:lpwstr/>
      </vt:variant>
      <vt:variant>
        <vt:lpwstr>_Toc212567921</vt:lpwstr>
      </vt:variant>
      <vt:variant>
        <vt:i4>1441855</vt:i4>
      </vt:variant>
      <vt:variant>
        <vt:i4>440</vt:i4>
      </vt:variant>
      <vt:variant>
        <vt:i4>0</vt:i4>
      </vt:variant>
      <vt:variant>
        <vt:i4>5</vt:i4>
      </vt:variant>
      <vt:variant>
        <vt:lpwstr/>
      </vt:variant>
      <vt:variant>
        <vt:lpwstr>_Toc212567920</vt:lpwstr>
      </vt:variant>
      <vt:variant>
        <vt:i4>1376319</vt:i4>
      </vt:variant>
      <vt:variant>
        <vt:i4>434</vt:i4>
      </vt:variant>
      <vt:variant>
        <vt:i4>0</vt:i4>
      </vt:variant>
      <vt:variant>
        <vt:i4>5</vt:i4>
      </vt:variant>
      <vt:variant>
        <vt:lpwstr/>
      </vt:variant>
      <vt:variant>
        <vt:lpwstr>_Toc212567915</vt:lpwstr>
      </vt:variant>
      <vt:variant>
        <vt:i4>1376319</vt:i4>
      </vt:variant>
      <vt:variant>
        <vt:i4>428</vt:i4>
      </vt:variant>
      <vt:variant>
        <vt:i4>0</vt:i4>
      </vt:variant>
      <vt:variant>
        <vt:i4>5</vt:i4>
      </vt:variant>
      <vt:variant>
        <vt:lpwstr/>
      </vt:variant>
      <vt:variant>
        <vt:lpwstr>_Toc212567914</vt:lpwstr>
      </vt:variant>
      <vt:variant>
        <vt:i4>1376319</vt:i4>
      </vt:variant>
      <vt:variant>
        <vt:i4>422</vt:i4>
      </vt:variant>
      <vt:variant>
        <vt:i4>0</vt:i4>
      </vt:variant>
      <vt:variant>
        <vt:i4>5</vt:i4>
      </vt:variant>
      <vt:variant>
        <vt:lpwstr/>
      </vt:variant>
      <vt:variant>
        <vt:lpwstr>_Toc212567913</vt:lpwstr>
      </vt:variant>
      <vt:variant>
        <vt:i4>1376319</vt:i4>
      </vt:variant>
      <vt:variant>
        <vt:i4>416</vt:i4>
      </vt:variant>
      <vt:variant>
        <vt:i4>0</vt:i4>
      </vt:variant>
      <vt:variant>
        <vt:i4>5</vt:i4>
      </vt:variant>
      <vt:variant>
        <vt:lpwstr/>
      </vt:variant>
      <vt:variant>
        <vt:lpwstr>_Toc212567912</vt:lpwstr>
      </vt:variant>
      <vt:variant>
        <vt:i4>1376319</vt:i4>
      </vt:variant>
      <vt:variant>
        <vt:i4>410</vt:i4>
      </vt:variant>
      <vt:variant>
        <vt:i4>0</vt:i4>
      </vt:variant>
      <vt:variant>
        <vt:i4>5</vt:i4>
      </vt:variant>
      <vt:variant>
        <vt:lpwstr/>
      </vt:variant>
      <vt:variant>
        <vt:lpwstr>_Toc212567911</vt:lpwstr>
      </vt:variant>
      <vt:variant>
        <vt:i4>1376319</vt:i4>
      </vt:variant>
      <vt:variant>
        <vt:i4>404</vt:i4>
      </vt:variant>
      <vt:variant>
        <vt:i4>0</vt:i4>
      </vt:variant>
      <vt:variant>
        <vt:i4>5</vt:i4>
      </vt:variant>
      <vt:variant>
        <vt:lpwstr/>
      </vt:variant>
      <vt:variant>
        <vt:lpwstr>_Toc212567910</vt:lpwstr>
      </vt:variant>
      <vt:variant>
        <vt:i4>1310783</vt:i4>
      </vt:variant>
      <vt:variant>
        <vt:i4>398</vt:i4>
      </vt:variant>
      <vt:variant>
        <vt:i4>0</vt:i4>
      </vt:variant>
      <vt:variant>
        <vt:i4>5</vt:i4>
      </vt:variant>
      <vt:variant>
        <vt:lpwstr/>
      </vt:variant>
      <vt:variant>
        <vt:lpwstr>_Toc212567909</vt:lpwstr>
      </vt:variant>
      <vt:variant>
        <vt:i4>1310783</vt:i4>
      </vt:variant>
      <vt:variant>
        <vt:i4>392</vt:i4>
      </vt:variant>
      <vt:variant>
        <vt:i4>0</vt:i4>
      </vt:variant>
      <vt:variant>
        <vt:i4>5</vt:i4>
      </vt:variant>
      <vt:variant>
        <vt:lpwstr/>
      </vt:variant>
      <vt:variant>
        <vt:lpwstr>_Toc212567908</vt:lpwstr>
      </vt:variant>
      <vt:variant>
        <vt:i4>1310783</vt:i4>
      </vt:variant>
      <vt:variant>
        <vt:i4>386</vt:i4>
      </vt:variant>
      <vt:variant>
        <vt:i4>0</vt:i4>
      </vt:variant>
      <vt:variant>
        <vt:i4>5</vt:i4>
      </vt:variant>
      <vt:variant>
        <vt:lpwstr/>
      </vt:variant>
      <vt:variant>
        <vt:lpwstr>_Toc212567907</vt:lpwstr>
      </vt:variant>
      <vt:variant>
        <vt:i4>1310783</vt:i4>
      </vt:variant>
      <vt:variant>
        <vt:i4>380</vt:i4>
      </vt:variant>
      <vt:variant>
        <vt:i4>0</vt:i4>
      </vt:variant>
      <vt:variant>
        <vt:i4>5</vt:i4>
      </vt:variant>
      <vt:variant>
        <vt:lpwstr/>
      </vt:variant>
      <vt:variant>
        <vt:lpwstr>_Toc212567906</vt:lpwstr>
      </vt:variant>
      <vt:variant>
        <vt:i4>1310783</vt:i4>
      </vt:variant>
      <vt:variant>
        <vt:i4>374</vt:i4>
      </vt:variant>
      <vt:variant>
        <vt:i4>0</vt:i4>
      </vt:variant>
      <vt:variant>
        <vt:i4>5</vt:i4>
      </vt:variant>
      <vt:variant>
        <vt:lpwstr/>
      </vt:variant>
      <vt:variant>
        <vt:lpwstr>_Toc212567905</vt:lpwstr>
      </vt:variant>
      <vt:variant>
        <vt:i4>1310783</vt:i4>
      </vt:variant>
      <vt:variant>
        <vt:i4>368</vt:i4>
      </vt:variant>
      <vt:variant>
        <vt:i4>0</vt:i4>
      </vt:variant>
      <vt:variant>
        <vt:i4>5</vt:i4>
      </vt:variant>
      <vt:variant>
        <vt:lpwstr/>
      </vt:variant>
      <vt:variant>
        <vt:lpwstr>_Toc212567904</vt:lpwstr>
      </vt:variant>
      <vt:variant>
        <vt:i4>1310783</vt:i4>
      </vt:variant>
      <vt:variant>
        <vt:i4>362</vt:i4>
      </vt:variant>
      <vt:variant>
        <vt:i4>0</vt:i4>
      </vt:variant>
      <vt:variant>
        <vt:i4>5</vt:i4>
      </vt:variant>
      <vt:variant>
        <vt:lpwstr/>
      </vt:variant>
      <vt:variant>
        <vt:lpwstr>_Toc212567903</vt:lpwstr>
      </vt:variant>
      <vt:variant>
        <vt:i4>1310783</vt:i4>
      </vt:variant>
      <vt:variant>
        <vt:i4>356</vt:i4>
      </vt:variant>
      <vt:variant>
        <vt:i4>0</vt:i4>
      </vt:variant>
      <vt:variant>
        <vt:i4>5</vt:i4>
      </vt:variant>
      <vt:variant>
        <vt:lpwstr/>
      </vt:variant>
      <vt:variant>
        <vt:lpwstr>_Toc212567902</vt:lpwstr>
      </vt:variant>
      <vt:variant>
        <vt:i4>1310783</vt:i4>
      </vt:variant>
      <vt:variant>
        <vt:i4>350</vt:i4>
      </vt:variant>
      <vt:variant>
        <vt:i4>0</vt:i4>
      </vt:variant>
      <vt:variant>
        <vt:i4>5</vt:i4>
      </vt:variant>
      <vt:variant>
        <vt:lpwstr/>
      </vt:variant>
      <vt:variant>
        <vt:lpwstr>_Toc212567901</vt:lpwstr>
      </vt:variant>
      <vt:variant>
        <vt:i4>1310783</vt:i4>
      </vt:variant>
      <vt:variant>
        <vt:i4>344</vt:i4>
      </vt:variant>
      <vt:variant>
        <vt:i4>0</vt:i4>
      </vt:variant>
      <vt:variant>
        <vt:i4>5</vt:i4>
      </vt:variant>
      <vt:variant>
        <vt:lpwstr/>
      </vt:variant>
      <vt:variant>
        <vt:lpwstr>_Toc212567900</vt:lpwstr>
      </vt:variant>
      <vt:variant>
        <vt:i4>1900606</vt:i4>
      </vt:variant>
      <vt:variant>
        <vt:i4>338</vt:i4>
      </vt:variant>
      <vt:variant>
        <vt:i4>0</vt:i4>
      </vt:variant>
      <vt:variant>
        <vt:i4>5</vt:i4>
      </vt:variant>
      <vt:variant>
        <vt:lpwstr/>
      </vt:variant>
      <vt:variant>
        <vt:lpwstr>_Toc212567899</vt:lpwstr>
      </vt:variant>
      <vt:variant>
        <vt:i4>1900606</vt:i4>
      </vt:variant>
      <vt:variant>
        <vt:i4>332</vt:i4>
      </vt:variant>
      <vt:variant>
        <vt:i4>0</vt:i4>
      </vt:variant>
      <vt:variant>
        <vt:i4>5</vt:i4>
      </vt:variant>
      <vt:variant>
        <vt:lpwstr/>
      </vt:variant>
      <vt:variant>
        <vt:lpwstr>_Toc212567898</vt:lpwstr>
      </vt:variant>
      <vt:variant>
        <vt:i4>1900606</vt:i4>
      </vt:variant>
      <vt:variant>
        <vt:i4>326</vt:i4>
      </vt:variant>
      <vt:variant>
        <vt:i4>0</vt:i4>
      </vt:variant>
      <vt:variant>
        <vt:i4>5</vt:i4>
      </vt:variant>
      <vt:variant>
        <vt:lpwstr/>
      </vt:variant>
      <vt:variant>
        <vt:lpwstr>_Toc212567897</vt:lpwstr>
      </vt:variant>
      <vt:variant>
        <vt:i4>1900606</vt:i4>
      </vt:variant>
      <vt:variant>
        <vt:i4>320</vt:i4>
      </vt:variant>
      <vt:variant>
        <vt:i4>0</vt:i4>
      </vt:variant>
      <vt:variant>
        <vt:i4>5</vt:i4>
      </vt:variant>
      <vt:variant>
        <vt:lpwstr/>
      </vt:variant>
      <vt:variant>
        <vt:lpwstr>_Toc212567896</vt:lpwstr>
      </vt:variant>
      <vt:variant>
        <vt:i4>1900606</vt:i4>
      </vt:variant>
      <vt:variant>
        <vt:i4>314</vt:i4>
      </vt:variant>
      <vt:variant>
        <vt:i4>0</vt:i4>
      </vt:variant>
      <vt:variant>
        <vt:i4>5</vt:i4>
      </vt:variant>
      <vt:variant>
        <vt:lpwstr/>
      </vt:variant>
      <vt:variant>
        <vt:lpwstr>_Toc212567895</vt:lpwstr>
      </vt:variant>
      <vt:variant>
        <vt:i4>1900606</vt:i4>
      </vt:variant>
      <vt:variant>
        <vt:i4>308</vt:i4>
      </vt:variant>
      <vt:variant>
        <vt:i4>0</vt:i4>
      </vt:variant>
      <vt:variant>
        <vt:i4>5</vt:i4>
      </vt:variant>
      <vt:variant>
        <vt:lpwstr/>
      </vt:variant>
      <vt:variant>
        <vt:lpwstr>_Toc212567894</vt:lpwstr>
      </vt:variant>
      <vt:variant>
        <vt:i4>1900606</vt:i4>
      </vt:variant>
      <vt:variant>
        <vt:i4>302</vt:i4>
      </vt:variant>
      <vt:variant>
        <vt:i4>0</vt:i4>
      </vt:variant>
      <vt:variant>
        <vt:i4>5</vt:i4>
      </vt:variant>
      <vt:variant>
        <vt:lpwstr/>
      </vt:variant>
      <vt:variant>
        <vt:lpwstr>_Toc212567893</vt:lpwstr>
      </vt:variant>
      <vt:variant>
        <vt:i4>1900606</vt:i4>
      </vt:variant>
      <vt:variant>
        <vt:i4>296</vt:i4>
      </vt:variant>
      <vt:variant>
        <vt:i4>0</vt:i4>
      </vt:variant>
      <vt:variant>
        <vt:i4>5</vt:i4>
      </vt:variant>
      <vt:variant>
        <vt:lpwstr/>
      </vt:variant>
      <vt:variant>
        <vt:lpwstr>_Toc212567892</vt:lpwstr>
      </vt:variant>
      <vt:variant>
        <vt:i4>1900606</vt:i4>
      </vt:variant>
      <vt:variant>
        <vt:i4>290</vt:i4>
      </vt:variant>
      <vt:variant>
        <vt:i4>0</vt:i4>
      </vt:variant>
      <vt:variant>
        <vt:i4>5</vt:i4>
      </vt:variant>
      <vt:variant>
        <vt:lpwstr/>
      </vt:variant>
      <vt:variant>
        <vt:lpwstr>_Toc212567891</vt:lpwstr>
      </vt:variant>
      <vt:variant>
        <vt:i4>1900606</vt:i4>
      </vt:variant>
      <vt:variant>
        <vt:i4>284</vt:i4>
      </vt:variant>
      <vt:variant>
        <vt:i4>0</vt:i4>
      </vt:variant>
      <vt:variant>
        <vt:i4>5</vt:i4>
      </vt:variant>
      <vt:variant>
        <vt:lpwstr/>
      </vt:variant>
      <vt:variant>
        <vt:lpwstr>_Toc212567890</vt:lpwstr>
      </vt:variant>
      <vt:variant>
        <vt:i4>1835070</vt:i4>
      </vt:variant>
      <vt:variant>
        <vt:i4>278</vt:i4>
      </vt:variant>
      <vt:variant>
        <vt:i4>0</vt:i4>
      </vt:variant>
      <vt:variant>
        <vt:i4>5</vt:i4>
      </vt:variant>
      <vt:variant>
        <vt:lpwstr/>
      </vt:variant>
      <vt:variant>
        <vt:lpwstr>_Toc212567889</vt:lpwstr>
      </vt:variant>
      <vt:variant>
        <vt:i4>1835070</vt:i4>
      </vt:variant>
      <vt:variant>
        <vt:i4>272</vt:i4>
      </vt:variant>
      <vt:variant>
        <vt:i4>0</vt:i4>
      </vt:variant>
      <vt:variant>
        <vt:i4>5</vt:i4>
      </vt:variant>
      <vt:variant>
        <vt:lpwstr/>
      </vt:variant>
      <vt:variant>
        <vt:lpwstr>_Toc212567888</vt:lpwstr>
      </vt:variant>
      <vt:variant>
        <vt:i4>1835070</vt:i4>
      </vt:variant>
      <vt:variant>
        <vt:i4>266</vt:i4>
      </vt:variant>
      <vt:variant>
        <vt:i4>0</vt:i4>
      </vt:variant>
      <vt:variant>
        <vt:i4>5</vt:i4>
      </vt:variant>
      <vt:variant>
        <vt:lpwstr/>
      </vt:variant>
      <vt:variant>
        <vt:lpwstr>_Toc212567887</vt:lpwstr>
      </vt:variant>
      <vt:variant>
        <vt:i4>1835070</vt:i4>
      </vt:variant>
      <vt:variant>
        <vt:i4>260</vt:i4>
      </vt:variant>
      <vt:variant>
        <vt:i4>0</vt:i4>
      </vt:variant>
      <vt:variant>
        <vt:i4>5</vt:i4>
      </vt:variant>
      <vt:variant>
        <vt:lpwstr/>
      </vt:variant>
      <vt:variant>
        <vt:lpwstr>_Toc212567886</vt:lpwstr>
      </vt:variant>
      <vt:variant>
        <vt:i4>1835070</vt:i4>
      </vt:variant>
      <vt:variant>
        <vt:i4>254</vt:i4>
      </vt:variant>
      <vt:variant>
        <vt:i4>0</vt:i4>
      </vt:variant>
      <vt:variant>
        <vt:i4>5</vt:i4>
      </vt:variant>
      <vt:variant>
        <vt:lpwstr/>
      </vt:variant>
      <vt:variant>
        <vt:lpwstr>_Toc212567885</vt:lpwstr>
      </vt:variant>
      <vt:variant>
        <vt:i4>1835070</vt:i4>
      </vt:variant>
      <vt:variant>
        <vt:i4>248</vt:i4>
      </vt:variant>
      <vt:variant>
        <vt:i4>0</vt:i4>
      </vt:variant>
      <vt:variant>
        <vt:i4>5</vt:i4>
      </vt:variant>
      <vt:variant>
        <vt:lpwstr/>
      </vt:variant>
      <vt:variant>
        <vt:lpwstr>_Toc212567884</vt:lpwstr>
      </vt:variant>
      <vt:variant>
        <vt:i4>1835070</vt:i4>
      </vt:variant>
      <vt:variant>
        <vt:i4>242</vt:i4>
      </vt:variant>
      <vt:variant>
        <vt:i4>0</vt:i4>
      </vt:variant>
      <vt:variant>
        <vt:i4>5</vt:i4>
      </vt:variant>
      <vt:variant>
        <vt:lpwstr/>
      </vt:variant>
      <vt:variant>
        <vt:lpwstr>_Toc212567883</vt:lpwstr>
      </vt:variant>
      <vt:variant>
        <vt:i4>1835070</vt:i4>
      </vt:variant>
      <vt:variant>
        <vt:i4>236</vt:i4>
      </vt:variant>
      <vt:variant>
        <vt:i4>0</vt:i4>
      </vt:variant>
      <vt:variant>
        <vt:i4>5</vt:i4>
      </vt:variant>
      <vt:variant>
        <vt:lpwstr/>
      </vt:variant>
      <vt:variant>
        <vt:lpwstr>_Toc212567882</vt:lpwstr>
      </vt:variant>
      <vt:variant>
        <vt:i4>1835070</vt:i4>
      </vt:variant>
      <vt:variant>
        <vt:i4>230</vt:i4>
      </vt:variant>
      <vt:variant>
        <vt:i4>0</vt:i4>
      </vt:variant>
      <vt:variant>
        <vt:i4>5</vt:i4>
      </vt:variant>
      <vt:variant>
        <vt:lpwstr/>
      </vt:variant>
      <vt:variant>
        <vt:lpwstr>_Toc212567881</vt:lpwstr>
      </vt:variant>
      <vt:variant>
        <vt:i4>1835070</vt:i4>
      </vt:variant>
      <vt:variant>
        <vt:i4>224</vt:i4>
      </vt:variant>
      <vt:variant>
        <vt:i4>0</vt:i4>
      </vt:variant>
      <vt:variant>
        <vt:i4>5</vt:i4>
      </vt:variant>
      <vt:variant>
        <vt:lpwstr/>
      </vt:variant>
      <vt:variant>
        <vt:lpwstr>_Toc212567880</vt:lpwstr>
      </vt:variant>
      <vt:variant>
        <vt:i4>1245246</vt:i4>
      </vt:variant>
      <vt:variant>
        <vt:i4>218</vt:i4>
      </vt:variant>
      <vt:variant>
        <vt:i4>0</vt:i4>
      </vt:variant>
      <vt:variant>
        <vt:i4>5</vt:i4>
      </vt:variant>
      <vt:variant>
        <vt:lpwstr/>
      </vt:variant>
      <vt:variant>
        <vt:lpwstr>_Toc212567879</vt:lpwstr>
      </vt:variant>
      <vt:variant>
        <vt:i4>1245246</vt:i4>
      </vt:variant>
      <vt:variant>
        <vt:i4>212</vt:i4>
      </vt:variant>
      <vt:variant>
        <vt:i4>0</vt:i4>
      </vt:variant>
      <vt:variant>
        <vt:i4>5</vt:i4>
      </vt:variant>
      <vt:variant>
        <vt:lpwstr/>
      </vt:variant>
      <vt:variant>
        <vt:lpwstr>_Toc212567878</vt:lpwstr>
      </vt:variant>
      <vt:variant>
        <vt:i4>1245246</vt:i4>
      </vt:variant>
      <vt:variant>
        <vt:i4>206</vt:i4>
      </vt:variant>
      <vt:variant>
        <vt:i4>0</vt:i4>
      </vt:variant>
      <vt:variant>
        <vt:i4>5</vt:i4>
      </vt:variant>
      <vt:variant>
        <vt:lpwstr/>
      </vt:variant>
      <vt:variant>
        <vt:lpwstr>_Toc212567877</vt:lpwstr>
      </vt:variant>
      <vt:variant>
        <vt:i4>1245246</vt:i4>
      </vt:variant>
      <vt:variant>
        <vt:i4>200</vt:i4>
      </vt:variant>
      <vt:variant>
        <vt:i4>0</vt:i4>
      </vt:variant>
      <vt:variant>
        <vt:i4>5</vt:i4>
      </vt:variant>
      <vt:variant>
        <vt:lpwstr/>
      </vt:variant>
      <vt:variant>
        <vt:lpwstr>_Toc212567876</vt:lpwstr>
      </vt:variant>
      <vt:variant>
        <vt:i4>1245246</vt:i4>
      </vt:variant>
      <vt:variant>
        <vt:i4>194</vt:i4>
      </vt:variant>
      <vt:variant>
        <vt:i4>0</vt:i4>
      </vt:variant>
      <vt:variant>
        <vt:i4>5</vt:i4>
      </vt:variant>
      <vt:variant>
        <vt:lpwstr/>
      </vt:variant>
      <vt:variant>
        <vt:lpwstr>_Toc212567875</vt:lpwstr>
      </vt:variant>
      <vt:variant>
        <vt:i4>1245246</vt:i4>
      </vt:variant>
      <vt:variant>
        <vt:i4>188</vt:i4>
      </vt:variant>
      <vt:variant>
        <vt:i4>0</vt:i4>
      </vt:variant>
      <vt:variant>
        <vt:i4>5</vt:i4>
      </vt:variant>
      <vt:variant>
        <vt:lpwstr/>
      </vt:variant>
      <vt:variant>
        <vt:lpwstr>_Toc212567874</vt:lpwstr>
      </vt:variant>
      <vt:variant>
        <vt:i4>1245246</vt:i4>
      </vt:variant>
      <vt:variant>
        <vt:i4>182</vt:i4>
      </vt:variant>
      <vt:variant>
        <vt:i4>0</vt:i4>
      </vt:variant>
      <vt:variant>
        <vt:i4>5</vt:i4>
      </vt:variant>
      <vt:variant>
        <vt:lpwstr/>
      </vt:variant>
      <vt:variant>
        <vt:lpwstr>_Toc212567873</vt:lpwstr>
      </vt:variant>
      <vt:variant>
        <vt:i4>1245246</vt:i4>
      </vt:variant>
      <vt:variant>
        <vt:i4>176</vt:i4>
      </vt:variant>
      <vt:variant>
        <vt:i4>0</vt:i4>
      </vt:variant>
      <vt:variant>
        <vt:i4>5</vt:i4>
      </vt:variant>
      <vt:variant>
        <vt:lpwstr/>
      </vt:variant>
      <vt:variant>
        <vt:lpwstr>_Toc212567872</vt:lpwstr>
      </vt:variant>
      <vt:variant>
        <vt:i4>1245246</vt:i4>
      </vt:variant>
      <vt:variant>
        <vt:i4>170</vt:i4>
      </vt:variant>
      <vt:variant>
        <vt:i4>0</vt:i4>
      </vt:variant>
      <vt:variant>
        <vt:i4>5</vt:i4>
      </vt:variant>
      <vt:variant>
        <vt:lpwstr/>
      </vt:variant>
      <vt:variant>
        <vt:lpwstr>_Toc212567871</vt:lpwstr>
      </vt:variant>
      <vt:variant>
        <vt:i4>1245246</vt:i4>
      </vt:variant>
      <vt:variant>
        <vt:i4>164</vt:i4>
      </vt:variant>
      <vt:variant>
        <vt:i4>0</vt:i4>
      </vt:variant>
      <vt:variant>
        <vt:i4>5</vt:i4>
      </vt:variant>
      <vt:variant>
        <vt:lpwstr/>
      </vt:variant>
      <vt:variant>
        <vt:lpwstr>_Toc212567870</vt:lpwstr>
      </vt:variant>
      <vt:variant>
        <vt:i4>1179710</vt:i4>
      </vt:variant>
      <vt:variant>
        <vt:i4>158</vt:i4>
      </vt:variant>
      <vt:variant>
        <vt:i4>0</vt:i4>
      </vt:variant>
      <vt:variant>
        <vt:i4>5</vt:i4>
      </vt:variant>
      <vt:variant>
        <vt:lpwstr/>
      </vt:variant>
      <vt:variant>
        <vt:lpwstr>_Toc212567869</vt:lpwstr>
      </vt:variant>
      <vt:variant>
        <vt:i4>1179710</vt:i4>
      </vt:variant>
      <vt:variant>
        <vt:i4>152</vt:i4>
      </vt:variant>
      <vt:variant>
        <vt:i4>0</vt:i4>
      </vt:variant>
      <vt:variant>
        <vt:i4>5</vt:i4>
      </vt:variant>
      <vt:variant>
        <vt:lpwstr/>
      </vt:variant>
      <vt:variant>
        <vt:lpwstr>_Toc212567868</vt:lpwstr>
      </vt:variant>
      <vt:variant>
        <vt:i4>1179710</vt:i4>
      </vt:variant>
      <vt:variant>
        <vt:i4>146</vt:i4>
      </vt:variant>
      <vt:variant>
        <vt:i4>0</vt:i4>
      </vt:variant>
      <vt:variant>
        <vt:i4>5</vt:i4>
      </vt:variant>
      <vt:variant>
        <vt:lpwstr/>
      </vt:variant>
      <vt:variant>
        <vt:lpwstr>_Toc212567867</vt:lpwstr>
      </vt:variant>
      <vt:variant>
        <vt:i4>1179710</vt:i4>
      </vt:variant>
      <vt:variant>
        <vt:i4>140</vt:i4>
      </vt:variant>
      <vt:variant>
        <vt:i4>0</vt:i4>
      </vt:variant>
      <vt:variant>
        <vt:i4>5</vt:i4>
      </vt:variant>
      <vt:variant>
        <vt:lpwstr/>
      </vt:variant>
      <vt:variant>
        <vt:lpwstr>_Toc212567866</vt:lpwstr>
      </vt:variant>
      <vt:variant>
        <vt:i4>1179710</vt:i4>
      </vt:variant>
      <vt:variant>
        <vt:i4>134</vt:i4>
      </vt:variant>
      <vt:variant>
        <vt:i4>0</vt:i4>
      </vt:variant>
      <vt:variant>
        <vt:i4>5</vt:i4>
      </vt:variant>
      <vt:variant>
        <vt:lpwstr/>
      </vt:variant>
      <vt:variant>
        <vt:lpwstr>_Toc212567865</vt:lpwstr>
      </vt:variant>
      <vt:variant>
        <vt:i4>1179710</vt:i4>
      </vt:variant>
      <vt:variant>
        <vt:i4>128</vt:i4>
      </vt:variant>
      <vt:variant>
        <vt:i4>0</vt:i4>
      </vt:variant>
      <vt:variant>
        <vt:i4>5</vt:i4>
      </vt:variant>
      <vt:variant>
        <vt:lpwstr/>
      </vt:variant>
      <vt:variant>
        <vt:lpwstr>_Toc212567864</vt:lpwstr>
      </vt:variant>
      <vt:variant>
        <vt:i4>1179710</vt:i4>
      </vt:variant>
      <vt:variant>
        <vt:i4>122</vt:i4>
      </vt:variant>
      <vt:variant>
        <vt:i4>0</vt:i4>
      </vt:variant>
      <vt:variant>
        <vt:i4>5</vt:i4>
      </vt:variant>
      <vt:variant>
        <vt:lpwstr/>
      </vt:variant>
      <vt:variant>
        <vt:lpwstr>_Toc212567863</vt:lpwstr>
      </vt:variant>
      <vt:variant>
        <vt:i4>1179710</vt:i4>
      </vt:variant>
      <vt:variant>
        <vt:i4>116</vt:i4>
      </vt:variant>
      <vt:variant>
        <vt:i4>0</vt:i4>
      </vt:variant>
      <vt:variant>
        <vt:i4>5</vt:i4>
      </vt:variant>
      <vt:variant>
        <vt:lpwstr/>
      </vt:variant>
      <vt:variant>
        <vt:lpwstr>_Toc212567862</vt:lpwstr>
      </vt:variant>
      <vt:variant>
        <vt:i4>1179710</vt:i4>
      </vt:variant>
      <vt:variant>
        <vt:i4>110</vt:i4>
      </vt:variant>
      <vt:variant>
        <vt:i4>0</vt:i4>
      </vt:variant>
      <vt:variant>
        <vt:i4>5</vt:i4>
      </vt:variant>
      <vt:variant>
        <vt:lpwstr/>
      </vt:variant>
      <vt:variant>
        <vt:lpwstr>_Toc212567861</vt:lpwstr>
      </vt:variant>
      <vt:variant>
        <vt:i4>1179710</vt:i4>
      </vt:variant>
      <vt:variant>
        <vt:i4>104</vt:i4>
      </vt:variant>
      <vt:variant>
        <vt:i4>0</vt:i4>
      </vt:variant>
      <vt:variant>
        <vt:i4>5</vt:i4>
      </vt:variant>
      <vt:variant>
        <vt:lpwstr/>
      </vt:variant>
      <vt:variant>
        <vt:lpwstr>_Toc212567860</vt:lpwstr>
      </vt:variant>
      <vt:variant>
        <vt:i4>1114174</vt:i4>
      </vt:variant>
      <vt:variant>
        <vt:i4>98</vt:i4>
      </vt:variant>
      <vt:variant>
        <vt:i4>0</vt:i4>
      </vt:variant>
      <vt:variant>
        <vt:i4>5</vt:i4>
      </vt:variant>
      <vt:variant>
        <vt:lpwstr/>
      </vt:variant>
      <vt:variant>
        <vt:lpwstr>_Toc212567859</vt:lpwstr>
      </vt:variant>
      <vt:variant>
        <vt:i4>1114174</vt:i4>
      </vt:variant>
      <vt:variant>
        <vt:i4>92</vt:i4>
      </vt:variant>
      <vt:variant>
        <vt:i4>0</vt:i4>
      </vt:variant>
      <vt:variant>
        <vt:i4>5</vt:i4>
      </vt:variant>
      <vt:variant>
        <vt:lpwstr/>
      </vt:variant>
      <vt:variant>
        <vt:lpwstr>_Toc212567858</vt:lpwstr>
      </vt:variant>
      <vt:variant>
        <vt:i4>1114174</vt:i4>
      </vt:variant>
      <vt:variant>
        <vt:i4>86</vt:i4>
      </vt:variant>
      <vt:variant>
        <vt:i4>0</vt:i4>
      </vt:variant>
      <vt:variant>
        <vt:i4>5</vt:i4>
      </vt:variant>
      <vt:variant>
        <vt:lpwstr/>
      </vt:variant>
      <vt:variant>
        <vt:lpwstr>_Toc212567857</vt:lpwstr>
      </vt:variant>
      <vt:variant>
        <vt:i4>1114174</vt:i4>
      </vt:variant>
      <vt:variant>
        <vt:i4>80</vt:i4>
      </vt:variant>
      <vt:variant>
        <vt:i4>0</vt:i4>
      </vt:variant>
      <vt:variant>
        <vt:i4>5</vt:i4>
      </vt:variant>
      <vt:variant>
        <vt:lpwstr/>
      </vt:variant>
      <vt:variant>
        <vt:lpwstr>_Toc212567856</vt:lpwstr>
      </vt:variant>
      <vt:variant>
        <vt:i4>1114174</vt:i4>
      </vt:variant>
      <vt:variant>
        <vt:i4>74</vt:i4>
      </vt:variant>
      <vt:variant>
        <vt:i4>0</vt:i4>
      </vt:variant>
      <vt:variant>
        <vt:i4>5</vt:i4>
      </vt:variant>
      <vt:variant>
        <vt:lpwstr/>
      </vt:variant>
      <vt:variant>
        <vt:lpwstr>_Toc212567855</vt:lpwstr>
      </vt:variant>
      <vt:variant>
        <vt:i4>1114174</vt:i4>
      </vt:variant>
      <vt:variant>
        <vt:i4>68</vt:i4>
      </vt:variant>
      <vt:variant>
        <vt:i4>0</vt:i4>
      </vt:variant>
      <vt:variant>
        <vt:i4>5</vt:i4>
      </vt:variant>
      <vt:variant>
        <vt:lpwstr/>
      </vt:variant>
      <vt:variant>
        <vt:lpwstr>_Toc212567854</vt:lpwstr>
      </vt:variant>
      <vt:variant>
        <vt:i4>1114174</vt:i4>
      </vt:variant>
      <vt:variant>
        <vt:i4>62</vt:i4>
      </vt:variant>
      <vt:variant>
        <vt:i4>0</vt:i4>
      </vt:variant>
      <vt:variant>
        <vt:i4>5</vt:i4>
      </vt:variant>
      <vt:variant>
        <vt:lpwstr/>
      </vt:variant>
      <vt:variant>
        <vt:lpwstr>_Toc212567853</vt:lpwstr>
      </vt:variant>
      <vt:variant>
        <vt:i4>1114174</vt:i4>
      </vt:variant>
      <vt:variant>
        <vt:i4>56</vt:i4>
      </vt:variant>
      <vt:variant>
        <vt:i4>0</vt:i4>
      </vt:variant>
      <vt:variant>
        <vt:i4>5</vt:i4>
      </vt:variant>
      <vt:variant>
        <vt:lpwstr/>
      </vt:variant>
      <vt:variant>
        <vt:lpwstr>_Toc212567852</vt:lpwstr>
      </vt:variant>
      <vt:variant>
        <vt:i4>1114174</vt:i4>
      </vt:variant>
      <vt:variant>
        <vt:i4>50</vt:i4>
      </vt:variant>
      <vt:variant>
        <vt:i4>0</vt:i4>
      </vt:variant>
      <vt:variant>
        <vt:i4>5</vt:i4>
      </vt:variant>
      <vt:variant>
        <vt:lpwstr/>
      </vt:variant>
      <vt:variant>
        <vt:lpwstr>_Toc212567851</vt:lpwstr>
      </vt:variant>
      <vt:variant>
        <vt:i4>1114174</vt:i4>
      </vt:variant>
      <vt:variant>
        <vt:i4>44</vt:i4>
      </vt:variant>
      <vt:variant>
        <vt:i4>0</vt:i4>
      </vt:variant>
      <vt:variant>
        <vt:i4>5</vt:i4>
      </vt:variant>
      <vt:variant>
        <vt:lpwstr/>
      </vt:variant>
      <vt:variant>
        <vt:lpwstr>_Toc212567850</vt:lpwstr>
      </vt:variant>
      <vt:variant>
        <vt:i4>1048638</vt:i4>
      </vt:variant>
      <vt:variant>
        <vt:i4>38</vt:i4>
      </vt:variant>
      <vt:variant>
        <vt:i4>0</vt:i4>
      </vt:variant>
      <vt:variant>
        <vt:i4>5</vt:i4>
      </vt:variant>
      <vt:variant>
        <vt:lpwstr/>
      </vt:variant>
      <vt:variant>
        <vt:lpwstr>_Toc212567849</vt:lpwstr>
      </vt:variant>
      <vt:variant>
        <vt:i4>1048638</vt:i4>
      </vt:variant>
      <vt:variant>
        <vt:i4>32</vt:i4>
      </vt:variant>
      <vt:variant>
        <vt:i4>0</vt:i4>
      </vt:variant>
      <vt:variant>
        <vt:i4>5</vt:i4>
      </vt:variant>
      <vt:variant>
        <vt:lpwstr/>
      </vt:variant>
      <vt:variant>
        <vt:lpwstr>_Toc212567848</vt:lpwstr>
      </vt:variant>
      <vt:variant>
        <vt:i4>1048638</vt:i4>
      </vt:variant>
      <vt:variant>
        <vt:i4>26</vt:i4>
      </vt:variant>
      <vt:variant>
        <vt:i4>0</vt:i4>
      </vt:variant>
      <vt:variant>
        <vt:i4>5</vt:i4>
      </vt:variant>
      <vt:variant>
        <vt:lpwstr/>
      </vt:variant>
      <vt:variant>
        <vt:lpwstr>_Toc212567847</vt:lpwstr>
      </vt:variant>
      <vt:variant>
        <vt:i4>1048638</vt:i4>
      </vt:variant>
      <vt:variant>
        <vt:i4>20</vt:i4>
      </vt:variant>
      <vt:variant>
        <vt:i4>0</vt:i4>
      </vt:variant>
      <vt:variant>
        <vt:i4>5</vt:i4>
      </vt:variant>
      <vt:variant>
        <vt:lpwstr/>
      </vt:variant>
      <vt:variant>
        <vt:lpwstr>_Toc212567846</vt:lpwstr>
      </vt:variant>
      <vt:variant>
        <vt:i4>1048638</vt:i4>
      </vt:variant>
      <vt:variant>
        <vt:i4>14</vt:i4>
      </vt:variant>
      <vt:variant>
        <vt:i4>0</vt:i4>
      </vt:variant>
      <vt:variant>
        <vt:i4>5</vt:i4>
      </vt:variant>
      <vt:variant>
        <vt:lpwstr/>
      </vt:variant>
      <vt:variant>
        <vt:lpwstr>_Toc212567845</vt:lpwstr>
      </vt:variant>
      <vt:variant>
        <vt:i4>1048638</vt:i4>
      </vt:variant>
      <vt:variant>
        <vt:i4>8</vt:i4>
      </vt:variant>
      <vt:variant>
        <vt:i4>0</vt:i4>
      </vt:variant>
      <vt:variant>
        <vt:i4>5</vt:i4>
      </vt:variant>
      <vt:variant>
        <vt:lpwstr/>
      </vt:variant>
      <vt:variant>
        <vt:lpwstr>_Toc212567844</vt:lpwstr>
      </vt:variant>
      <vt:variant>
        <vt:i4>1048638</vt:i4>
      </vt:variant>
      <vt:variant>
        <vt:i4>2</vt:i4>
      </vt:variant>
      <vt:variant>
        <vt:i4>0</vt:i4>
      </vt:variant>
      <vt:variant>
        <vt:i4>5</vt:i4>
      </vt:variant>
      <vt:variant>
        <vt:lpwstr/>
      </vt:variant>
      <vt:variant>
        <vt:lpwstr>_Toc212567843</vt:lpwstr>
      </vt:variant>
      <vt:variant>
        <vt:i4>7405690</vt:i4>
      </vt:variant>
      <vt:variant>
        <vt:i4>3</vt:i4>
      </vt:variant>
      <vt:variant>
        <vt:i4>0</vt:i4>
      </vt:variant>
      <vt:variant>
        <vt:i4>5</vt:i4>
      </vt:variant>
      <vt:variant>
        <vt:lpwstr>https://www.nhmrc.gov.au/research-policy/gender-equity/statement-sex-and-gender-health-and-medical-research</vt:lpwstr>
      </vt:variant>
      <vt:variant>
        <vt:lpwstr/>
      </vt:variant>
      <vt:variant>
        <vt:i4>5963860</vt:i4>
      </vt:variant>
      <vt:variant>
        <vt:i4>0</vt:i4>
      </vt:variant>
      <vt:variant>
        <vt:i4>0</vt:i4>
      </vt:variant>
      <vt:variant>
        <vt:i4>5</vt:i4>
      </vt:variant>
      <vt:variant>
        <vt:lpwstr>https://afcd.foodstandards.gov.au/foodsbynutrientsearch.aspx?nutrientID=I</vt:lpwstr>
      </vt:variant>
      <vt:variant>
        <vt:lpwstr/>
      </vt:variant>
      <vt:variant>
        <vt:i4>5505120</vt:i4>
      </vt:variant>
      <vt:variant>
        <vt:i4>3</vt:i4>
      </vt:variant>
      <vt:variant>
        <vt:i4>0</vt:i4>
      </vt:variant>
      <vt:variant>
        <vt:i4>5</vt:i4>
      </vt:variant>
      <vt:variant>
        <vt:lpwstr>mailto:jennifer.savenake@nhmrc.gov.au</vt:lpwstr>
      </vt:variant>
      <vt:variant>
        <vt:lpwstr/>
      </vt:variant>
      <vt:variant>
        <vt:i4>4128780</vt:i4>
      </vt:variant>
      <vt:variant>
        <vt:i4>0</vt:i4>
      </vt:variant>
      <vt:variant>
        <vt:i4>0</vt:i4>
      </vt:variant>
      <vt:variant>
        <vt:i4>5</vt:i4>
      </vt:variant>
      <vt:variant>
        <vt:lpwstr>mailto:Mary.Wasson@nhmrc.gov.au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 Draft Iodine evidence summary report</dc:title>
  <dc:subject/>
  <dc:creator>NHMRC</dc:creator>
  <cp:keywords/>
  <cp:lastModifiedBy>Mary Wasson</cp:lastModifiedBy>
  <cp:revision>61</cp:revision>
  <dcterms:created xsi:type="dcterms:W3CDTF">2025-10-21T03:22:00Z</dcterms:created>
  <dcterms:modified xsi:type="dcterms:W3CDTF">2025-11-07T00:41:00Z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_dlc_DocIdItemGuid">
    <vt:lpwstr>09cbf3e6-8356-4716-8d32-f0a76a3f2715</vt:lpwstr>
  </property>
  <property fmtid="{D5CDD505-2E9C-101B-9397-08002B2CF9AE}" pid="4" name="MSIP_Label_fba3502d-09f9-4350-b49d-9cee4033cd14_Enabled">
    <vt:lpwstr>true</vt:lpwstr>
  </property>
  <property fmtid="{D5CDD505-2E9C-101B-9397-08002B2CF9AE}" pid="5" name="MSIP_Label_fba3502d-09f9-4350-b49d-9cee4033cd14_SetDate">
    <vt:lpwstr>2022-10-13T06:04:02Z</vt:lpwstr>
  </property>
  <property fmtid="{D5CDD505-2E9C-101B-9397-08002B2CF9AE}" pid="6" name="MSIP_Label_fba3502d-09f9-4350-b49d-9cee4033cd14_Method">
    <vt:lpwstr>Privileged</vt:lpwstr>
  </property>
  <property fmtid="{D5CDD505-2E9C-101B-9397-08002B2CF9AE}" pid="7" name="MSIP_Label_fba3502d-09f9-4350-b49d-9cee4033cd14_Name">
    <vt:lpwstr>UNOFFICIAL</vt:lpwstr>
  </property>
  <property fmtid="{D5CDD505-2E9C-101B-9397-08002B2CF9AE}" pid="8" name="MSIP_Label_fba3502d-09f9-4350-b49d-9cee4033cd14_SiteId">
    <vt:lpwstr>402fca06-dc9c-412f-9bf9-1a335a4671f7</vt:lpwstr>
  </property>
  <property fmtid="{D5CDD505-2E9C-101B-9397-08002B2CF9AE}" pid="9" name="MSIP_Label_fba3502d-09f9-4350-b49d-9cee4033cd14_ActionId">
    <vt:lpwstr>ef7eee2f-1119-4254-8ad8-5deea4bd6f59</vt:lpwstr>
  </property>
  <property fmtid="{D5CDD505-2E9C-101B-9397-08002B2CF9AE}" pid="10" name="MSIP_Label_fba3502d-09f9-4350-b49d-9cee4033cd14_ContentBits">
    <vt:lpwstr>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ediaServiceImageTags">
    <vt:lpwstr/>
  </property>
  <property fmtid="{D5CDD505-2E9C-101B-9397-08002B2CF9AE}" pid="18" name="docLang">
    <vt:lpwstr>en</vt:lpwstr>
  </property>
</Properties>
</file>